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pStyle w:val="VerseVADKicker"/>
        <w:jc w:val="center"/>
      </w:pPr>
      <w:r>
        <w:t>VERSEVAD TRAINING PATHWAY · AUTHORIZED INSTRUCTOR TRAINING</w:t>
      </w:r>
    </w:p>
    <w:p>
      <w:pPr>
        <w:pStyle w:val="Title"/>
        <w:jc w:val="center"/>
      </w:pPr>
      <w:r>
        <w:t>VerseVAD Authorized Instructor Training</w:t>
      </w:r>
    </w:p>
    <w:p>
      <w:pPr>
        <w:pStyle w:val="Subtitle"/>
        <w:jc w:val="center"/>
      </w:pPr>
      <w:r>
        <w:t>Independent-Study Learner Manual</w:t>
      </w:r>
    </w:p>
    <w:tbl>
      <w:tblPr>
        <w:tblW w:type="dxa" w:w="6000"/>
        <w:jc w:val="center"/>
        <w:tblLook w:firstColumn="1" w:firstRow="1" w:lastColumn="0" w:lastRow="0" w:noHBand="0" w:noVBand="1" w:val="04A0"/>
        <w:tblLayout w:type="fixed"/>
        <w:tblBorders>
          <w:top w:val="single" w:sz="0" w:space="0" w:color="8A3B20"/>
          <w:left w:val="single" w:sz="0" w:space="0" w:color="8A3B20"/>
          <w:bottom w:val="single" w:sz="0" w:space="0" w:color="8A3B20"/>
          <w:right w:val="single" w:sz="0" w:space="0" w:color="8A3B20"/>
          <w:insideH w:val="single" w:sz="0" w:space="0" w:color="8A3B20"/>
          <w:insideV w:val="single" w:sz="0" w:space="0" w:color="8A3B20"/>
        </w:tblBorders>
        <w:tblCaption w:val="Decorative cover rule"/>
        <w:tblDescription w:val="Rust-colored separator beneath the training title."/>
      </w:tblPr>
      <w:tblGrid>
        <w:gridCol w:w="9360"/>
      </w:tblGrid>
      <w:tr>
        <w:tc>
          <w:tcPr>
            <w:tcW w:type="dxa" w:w="9360"/>
            <w:shd w:fill="8A3B20"/>
            <w:tcMar>
              <w:top w:w="18" w:type="dxa"/>
              <w:start w:w="0" w:type="dxa"/>
              <w:bottom w:w="18" w:type="dxa"/>
              <w:end w:w="0" w:type="dxa"/>
            </w:tcMar>
          </w:tcPr>
          <w:p>
            <w:r/>
          </w:p>
        </w:tc>
      </w:tr>
    </w:tbl>
    <w:p/>
    <w:tbl>
      <w:tblPr>
        <w:tblW w:type="dxa" w:w="6700"/>
        <w:jc w:val="center"/>
        <w:tblLook w:firstColumn="1" w:firstRow="1" w:lastColumn="0" w:lastRow="0" w:noHBand="0" w:noVBand="1" w:val="04A0"/>
        <w:tblLayout w:type="fixed"/>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aption w:val="Training document metadata"/>
        <w:tblDescription w:val="Purpose, study time, prerequisite, versions, preparation date, and private distribution status."/>
      </w:tblPr>
      <w:tblGrid>
        <w:gridCol w:w="4680"/>
        <w:gridCol w:w="4680"/>
      </w:tblGrid>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PURPOSE</w:t>
            </w:r>
          </w:p>
        </w:tc>
        <w:tc>
          <w:tcPr>
            <w:tcW w:type="dxa" w:w="4800"/>
            <w:tcMar>
              <w:top w:w="65" w:type="dxa"/>
              <w:start w:w="100" w:type="dxa"/>
              <w:bottom w:w="65" w:type="dxa"/>
              <w:end w:w="100" w:type="dxa"/>
            </w:tcMar>
            <w:vAlign w:val="center"/>
          </w:tcPr>
          <w:p>
            <w:pPr>
              <w:spacing w:after="0"/>
            </w:pPr>
            <w:r>
              <w:rPr>
                <w:sz w:val="18"/>
              </w:rPr>
              <w:t>A 15–25 hours plus observed teaching independent-study course aligned to VerseVAD 1.0.0</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ESTIMATED STUDY</w:t>
            </w:r>
          </w:p>
        </w:tc>
        <w:tc>
          <w:tcPr>
            <w:tcW w:type="dxa" w:w="4800"/>
            <w:tcMar>
              <w:top w:w="65" w:type="dxa"/>
              <w:start w:w="100" w:type="dxa"/>
              <w:bottom w:w="65" w:type="dxa"/>
              <w:end w:w="100" w:type="dxa"/>
            </w:tcMar>
            <w:vAlign w:val="center"/>
          </w:tcPr>
          <w:p>
            <w:pPr>
              <w:spacing w:after="0"/>
            </w:pPr>
            <w:r>
              <w:rPr>
                <w:sz w:val="18"/>
              </w:rPr>
              <w:t>15–25 hours plus observed teaching</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PREREQUISITE</w:t>
            </w:r>
          </w:p>
        </w:tc>
        <w:tc>
          <w:tcPr>
            <w:tcW w:type="dxa" w:w="4800"/>
            <w:tcMar>
              <w:top w:w="65" w:type="dxa"/>
              <w:start w:w="100" w:type="dxa"/>
              <w:bottom w:w="65" w:type="dxa"/>
              <w:end w:w="100" w:type="dxa"/>
            </w:tcMar>
            <w:vAlign w:val="center"/>
          </w:tcPr>
          <w:p>
            <w:pPr>
              <w:spacing w:after="0"/>
            </w:pPr>
            <w:r>
              <w:rPr>
                <w:sz w:val="18"/>
              </w:rPr>
              <w:t>VerseVAD Analyst Level 1 for Foundations/Level 1 instruction; Level 2 for advanced corpus/research instruction</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TRAINING VERSION</w:t>
            </w:r>
          </w:p>
        </w:tc>
        <w:tc>
          <w:tcPr>
            <w:tcW w:type="dxa" w:w="4800"/>
            <w:tcMar>
              <w:top w:w="65" w:type="dxa"/>
              <w:start w:w="100" w:type="dxa"/>
              <w:bottom w:w="65" w:type="dxa"/>
              <w:end w:w="100" w:type="dxa"/>
            </w:tcMar>
            <w:vAlign w:val="center"/>
          </w:tcPr>
          <w:p>
            <w:pPr>
              <w:spacing w:after="0"/>
            </w:pPr>
            <w:r>
              <w:rPr>
                <w:sz w:val="18"/>
              </w:rPr>
              <w:t>1.0 — Free Course Edition</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SOFTWARE BASIS</w:t>
            </w:r>
          </w:p>
        </w:tc>
        <w:tc>
          <w:tcPr>
            <w:tcW w:type="dxa" w:w="4800"/>
            <w:tcMar>
              <w:top w:w="65" w:type="dxa"/>
              <w:start w:w="100" w:type="dxa"/>
              <w:bottom w:w="65" w:type="dxa"/>
              <w:end w:w="100" w:type="dxa"/>
            </w:tcMar>
            <w:vAlign w:val="center"/>
          </w:tcPr>
          <w:p>
            <w:pPr>
              <w:spacing w:after="0"/>
            </w:pPr>
            <w:r>
              <w:rPr>
                <w:sz w:val="18"/>
              </w:rPr>
              <w:t>VerseVAD 1.0.0 · implementation a7d93c6</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PREPARED</w:t>
            </w:r>
          </w:p>
        </w:tc>
        <w:tc>
          <w:tcPr>
            <w:tcW w:type="dxa" w:w="4800"/>
            <w:tcMar>
              <w:top w:w="65" w:type="dxa"/>
              <w:start w:w="100" w:type="dxa"/>
              <w:bottom w:w="65" w:type="dxa"/>
              <w:end w:w="100" w:type="dxa"/>
            </w:tcMar>
            <w:vAlign w:val="center"/>
          </w:tcPr>
          <w:p>
            <w:pPr>
              <w:spacing w:after="0"/>
            </w:pPr>
            <w:r>
              <w:rPr>
                <w:sz w:val="18"/>
              </w:rPr>
              <w:t>August 1, 2026</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DISTRIBUTION</w:t>
            </w:r>
          </w:p>
        </w:tc>
        <w:tc>
          <w:tcPr>
            <w:tcW w:type="dxa" w:w="4800"/>
            <w:tcMar>
              <w:top w:w="65" w:type="dxa"/>
              <w:start w:w="100" w:type="dxa"/>
              <w:bottom w:w="65" w:type="dxa"/>
              <w:end w:w="100" w:type="dxa"/>
            </w:tcMar>
            <w:vAlign w:val="center"/>
          </w:tcPr>
          <w:p>
            <w:pPr>
              <w:spacing w:after="0"/>
            </w:pPr>
            <w:r>
              <w:rPr>
                <w:sz w:val="18"/>
              </w:rPr>
              <w:t>Free VerseVAD Training Material</w:t>
            </w:r>
          </w:p>
        </w:tc>
      </w:tr>
    </w:tbl>
    <w:p/>
    <w:tbl>
      <w:tblPr>
        <w:tblW w:type="dxa" w:w="6700"/>
        <w:jc w:val="center"/>
        <w:tblLook w:firstColumn="1" w:firstRow="1" w:lastColumn="0" w:lastRow="0" w:noHBand="0" w:noVBand="1" w:val="04A0"/>
        <w:tblLayout w:type="fixed"/>
        <w:tblCaption w:val="Private distribution notice"/>
        <w:tblDescription w:val="Private Training Material / Not for Public Distribution"/>
      </w:tblPr>
      <w:tblGrid>
        <w:gridCol w:w="9360"/>
      </w:tblGrid>
      <w:tr>
        <w:tc>
          <w:tcPr>
            <w:tcW w:type="dxa" w:w="9360"/>
            <w:shd w:fill="F4E9E3"/>
            <w:tcMar>
              <w:top w:w="140" w:type="dxa"/>
              <w:start w:w="170" w:type="dxa"/>
              <w:bottom w:w="140" w:type="dxa"/>
              <w:end w:w="170" w:type="dxa"/>
            </w:tcMar>
          </w:tcPr>
          <w:p>
            <w:pPr>
              <w:spacing w:after="0"/>
            </w:pPr>
            <w:r>
              <w:rPr>
                <w:b/>
                <w:color w:val="8A3B20"/>
              </w:rPr>
              <w:t>Free VerseVAD Training Material</w:t>
            </w:r>
          </w:p>
        </w:tc>
      </w:tr>
    </w:tbl>
    <w:p>
      <w:r/>
    </w:p>
    <w:p>
      <w:pPr>
        <w:pStyle w:val="Heading1"/>
      </w:pPr>
      <w:r>
        <w:t>Contents and Course Map</w:t>
      </w:r>
    </w:p>
    <w:p>
      <w:r>
        <w:rPr>
          <w:i/>
          <w:color w:val="5E6B75"/>
          <w:sz w:val="18"/>
        </w:rPr>
        <w:t>Use Word's Navigation pane to move among structured headings. This field-free map renders consistently across Word installations.</w:t>
      </w:r>
    </w:p>
    <w:p>
      <w:pPr>
        <w:spacing w:after="80"/>
      </w:pPr>
      <w:r>
        <w:rPr>
          <w:b/>
          <w:color w:val="1F4D78"/>
        </w:rPr>
        <w:t>Course Orientation</w:t>
      </w:r>
    </w:p>
    <w:p>
      <w:pPr>
        <w:spacing w:after="80"/>
      </w:pPr>
      <w:r>
        <w:rPr>
          <w:b w:val="0"/>
          <w:color w:val="5E6B75"/>
        </w:rPr>
        <w:t>I1 · Adult Learning and Course Facilitation</w:t>
      </w:r>
    </w:p>
    <w:p>
      <w:pPr>
        <w:spacing w:after="80"/>
      </w:pPr>
      <w:r>
        <w:rPr>
          <w:b w:val="0"/>
          <w:color w:val="5E6B75"/>
        </w:rPr>
        <w:t>I2 · Teaching Metrics Without Oversimplifying</w:t>
      </w:r>
    </w:p>
    <w:p>
      <w:pPr>
        <w:spacing w:after="80"/>
      </w:pPr>
      <w:r>
        <w:rPr>
          <w:b w:val="0"/>
          <w:color w:val="5E6B75"/>
        </w:rPr>
        <w:t>I3 · Demonstrating the Software</w:t>
      </w:r>
    </w:p>
    <w:p>
      <w:pPr>
        <w:spacing w:after="80"/>
      </w:pPr>
      <w:r>
        <w:rPr>
          <w:b w:val="0"/>
          <w:color w:val="5E6B75"/>
        </w:rPr>
        <w:t>I4 · Facilitating Computational Close Reading</w:t>
      </w:r>
    </w:p>
    <w:p>
      <w:pPr>
        <w:spacing w:after="80"/>
      </w:pPr>
      <w:r>
        <w:rPr>
          <w:b w:val="0"/>
          <w:color w:val="5E6B75"/>
        </w:rPr>
        <w:t>I5 · Assessment, Rubrics, and Calibration</w:t>
      </w:r>
    </w:p>
    <w:p>
      <w:pPr>
        <w:spacing w:after="80"/>
      </w:pPr>
      <w:r>
        <w:rPr>
          <w:b w:val="0"/>
          <w:color w:val="5E6B75"/>
        </w:rPr>
        <w:t>I6 · Accessibility and Inclusive Instruction</w:t>
      </w:r>
    </w:p>
    <w:p>
      <w:pPr>
        <w:spacing w:after="80"/>
      </w:pPr>
      <w:r>
        <w:rPr>
          <w:b w:val="0"/>
          <w:color w:val="5E6B75"/>
        </w:rPr>
        <w:t>I7 · Teaching Limitations, Ethics, and Responsible Claims</w:t>
      </w:r>
    </w:p>
    <w:p>
      <w:pPr>
        <w:spacing w:after="80"/>
      </w:pPr>
      <w:r>
        <w:rPr>
          <w:b w:val="0"/>
          <w:color w:val="5E6B75"/>
        </w:rPr>
        <w:t>I8 · Curriculum Fidelity and Version Management</w:t>
      </w:r>
    </w:p>
    <w:p>
      <w:pPr>
        <w:spacing w:after="80"/>
      </w:pPr>
      <w:r>
        <w:rPr>
          <w:b w:val="0"/>
          <w:color w:val="5E6B75"/>
        </w:rPr>
        <w:t>I9 · Support, Boundaries, and Escalation</w:t>
      </w:r>
    </w:p>
    <w:p>
      <w:pPr>
        <w:spacing w:after="80"/>
      </w:pPr>
      <w:r>
        <w:rPr>
          <w:b w:val="0"/>
          <w:color w:val="5E6B75"/>
        </w:rPr>
        <w:t>I10 · Authorization Practicum</w:t>
      </w:r>
    </w:p>
    <w:p>
      <w:pPr>
        <w:spacing w:after="80"/>
      </w:pPr>
      <w:r>
        <w:rPr>
          <w:b/>
          <w:color w:val="1F4D78"/>
        </w:rPr>
        <w:t>Course Synthesis and Method Reference</w:t>
      </w:r>
    </w:p>
    <w:p>
      <w:pPr>
        <w:spacing w:after="80"/>
      </w:pPr>
      <w:r>
        <w:rPr>
          <w:b/>
          <w:color w:val="1F4D78"/>
        </w:rPr>
        <w:t>Final Conceptual Assessment</w:t>
      </w:r>
    </w:p>
    <w:p>
      <w:pPr>
        <w:spacing w:after="80"/>
      </w:pPr>
      <w:r>
        <w:rPr>
          <w:b/>
          <w:color w:val="1F4D78"/>
        </w:rPr>
        <w:t>Applied Assessment Bridge</w:t>
      </w:r>
    </w:p>
    <w:p>
      <w:pPr>
        <w:spacing w:after="80"/>
      </w:pPr>
      <w:r>
        <w:rPr>
          <w:b/>
          <w:color w:val="1F4D78"/>
        </w:rPr>
        <w:t>Glossary</w:t>
      </w:r>
    </w:p>
    <w:p>
      <w:pPr>
        <w:pStyle w:val="Heading1"/>
      </w:pPr>
      <w:r>
        <w:t>Course Orientation</w:t>
      </w:r>
    </w:p>
    <w:p>
      <w:pPr>
        <w:pStyle w:val="Heading2"/>
      </w:pPr>
      <w:r>
        <w:t>Purpose and audience</w:t>
      </w:r>
    </w:p>
    <w:p>
      <w:r>
        <w:t>A facilitation and authorization-readiness course covering adult learning, accurate metric instruction, demonstration, assessment, accessibility, ethics, version fidelity, support, and observed teaching.</w:t>
      </w:r>
    </w:p>
    <w:p>
      <w:r>
        <w:t>**Audience:** Qualified educators preparing to teach an owner-approved VerseVAD course scope</w:t>
      </w:r>
    </w:p>
    <w:p>
      <w:r>
        <w:t>**Prerequisite:** VerseVAD Analyst Level 1 for Foundations/Level 1 instruction; Level 2 for advanced corpus/research instruction</w:t>
      </w:r>
    </w:p>
    <w:p>
      <w:r>
        <w:t>**Estimated independent-study time:** 15–25 hours plus observed teaching</w:t>
      </w:r>
    </w:p>
    <w:tbl>
      <w:tblPr>
        <w:tblW w:type="dxa" w:w="9360"/>
        <w:jc w:val="center"/>
        <w:tblLook w:firstColumn="1" w:firstRow="1" w:lastColumn="0" w:lastRow="0" w:noHBand="0" w:noVBand="1" w:val="04A0"/>
        <w:tblLayout w:type="fixed"/>
        <w:tblBorders>
          <w:top w:val="single" w:sz="6" w:space="0" w:color="8A3B20"/>
          <w:left w:val="single" w:sz="6" w:space="0" w:color="8A3B20"/>
          <w:bottom w:val="single" w:sz="6" w:space="0" w:color="8A3B20"/>
          <w:right w:val="single" w:sz="6" w:space="0" w:color="8A3B20"/>
          <w:insideH w:val="single" w:sz="6" w:space="0" w:color="8A3B20"/>
          <w:insideV w:val="single" w:sz="6" w:space="0" w:color="8A3B20"/>
        </w:tblBorders>
        <w:tblCaption w:val="Caution callout"/>
        <w:tblDescription w:val="This draft package supports learning and evaluation. It does not itself issue a certificate, confer instructor authorization, or replace owner-approved credential administration."/>
      </w:tblPr>
      <w:tblGrid>
        <w:gridCol w:w="9360"/>
      </w:tblGrid>
      <w:tr>
        <w:trPr>
          <w:tblHeader w:val="true"/>
        </w:trPr>
        <w:tc>
          <w:tcPr>
            <w:tcW w:type="dxa" w:w="9360"/>
            <w:shd w:fill="F4E9E3"/>
            <w:tcMar>
              <w:top w:w="140" w:type="dxa"/>
              <w:start w:w="160" w:type="dxa"/>
              <w:bottom w:w="140" w:type="dxa"/>
              <w:end w:w="160" w:type="dxa"/>
            </w:tcMar>
          </w:tcPr>
          <w:p>
            <w:pPr>
              <w:spacing w:after="0"/>
            </w:pPr>
            <w:r>
              <w:rPr>
                <w:b/>
                <w:color w:val="8A3B20"/>
              </w:rPr>
              <w:t xml:space="preserve">CAUTION: </w:t>
            </w:r>
            <w:r>
              <w:t>This course package supports learning and evaluation. It does not itself issue a certificate, confer instructor authorization, or replace owner-approved credential administration.</w:t>
            </w:r>
          </w:p>
        </w:tc>
      </w:tr>
    </w:tbl>
    <w:p>
      <w:pPr>
        <w:spacing w:after="0"/>
      </w:pPr>
    </w:p>
    <w:p>
      <w:pPr>
        <w:pStyle w:val="Heading2"/>
      </w:pPr>
      <w:r>
        <w:t>Assessed course outcomes</w:t>
      </w:r>
    </w:p>
    <w:p>
      <w:pPr>
        <w:pStyle w:val="ListBullet"/>
      </w:pPr>
      <w:r>
        <w:t>Design standards-aligned VerseVAD instruction for adult learners.</w:t>
      </w:r>
    </w:p>
    <w:p>
      <w:pPr>
        <w:pStyle w:val="ListBullet"/>
      </w:pPr>
      <w:r>
        <w:t>Explain methods accurately without oversimplifying or overclaiming.</w:t>
      </w:r>
    </w:p>
    <w:p>
      <w:pPr>
        <w:pStyle w:val="ListBullet"/>
      </w:pPr>
      <w:r>
        <w:t>Demonstrate the software accessibly and recover from problems transparently.</w:t>
      </w:r>
    </w:p>
    <w:p>
      <w:pPr>
        <w:pStyle w:val="ListBullet"/>
      </w:pPr>
      <w:r>
        <w:t>Facilitate computational close reading and productive disagreement.</w:t>
      </w:r>
    </w:p>
    <w:p>
      <w:pPr>
        <w:pStyle w:val="ListBullet"/>
      </w:pPr>
      <w:r>
        <w:t>Assess and calibrate methodological performance fairly.</w:t>
      </w:r>
    </w:p>
    <w:p>
      <w:pPr>
        <w:pStyle w:val="ListBullet"/>
      </w:pPr>
      <w:r>
        <w:t>Apply accessibility, ethics, privacy, support, and version-management standards.</w:t>
      </w:r>
    </w:p>
    <w:p>
      <w:pPr>
        <w:pStyle w:val="ListBullet"/>
      </w:pPr>
      <w:r>
        <w:t>Complete an observed scope-appropriate teaching practicum.</w:t>
      </w:r>
    </w:p>
    <w:p>
      <w:pPr>
        <w:pStyle w:val="Heading2"/>
      </w:pPr>
      <w:r>
        <w:t>Recommended independent-study rhythm</w:t>
      </w:r>
    </w:p>
    <w:p>
      <w:pPr>
        <w:pStyle w:val="ListNumber"/>
      </w:pPr>
      <w:r>
        <w:t>Preview the module purpose and write an initial prediction or question.</w:t>
      </w:r>
    </w:p>
    <w:p>
      <w:pPr>
        <w:pStyle w:val="ListNumber"/>
      </w:pPr>
      <w:r>
        <w:t>Read the method explanation and define unfamiliar terms in your own words.</w:t>
      </w:r>
    </w:p>
    <w:p>
      <w:pPr>
        <w:pStyle w:val="ListNumber"/>
      </w:pPr>
      <w:r>
        <w:t>Complete the guided workflow in VerseVAD with an approved public-domain or synthetic text.</w:t>
      </w:r>
    </w:p>
    <w:p>
      <w:pPr>
        <w:pStyle w:val="ListNumber"/>
      </w:pPr>
      <w:r>
        <w:t>Audit coverage, denominators, settings, warnings, and evidence before interpreting.</w:t>
      </w:r>
    </w:p>
    <w:p>
      <w:pPr>
        <w:pStyle w:val="ListNumber"/>
      </w:pPr>
      <w:r>
        <w:t>Complete the practice case and compare your decision with the module rule.</w:t>
      </w:r>
    </w:p>
    <w:p>
      <w:pPr>
        <w:pStyle w:val="ListNumber"/>
      </w:pPr>
      <w:r>
        <w:t>Record one transferable principle and one unresolved question in a private research notebook.</w:t>
      </w:r>
    </w:p>
    <w:p>
      <w:pPr>
        <w:pStyle w:val="Heading2"/>
      </w:pPr>
      <w:r>
        <w:t>Course-wide method covenant</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Course-wide method safeguards"/>
        <w:tblDescription w:val="Current VerseVAD safeguards governing source fidelity, missingness, comparison, persistence, and interpretation."/>
      </w:tblPr>
      <w:tblGrid>
        <w:gridCol w:w="4680"/>
        <w:gridCol w:w="4680"/>
      </w:tblGrid>
      <w:tr>
        <w:trPr>
          <w:cantSplit/>
          <w:trHeight w:hRule="atLeast"/>
          <w:tblHeader w:val="true"/>
        </w:trPr>
        <w:tc>
          <w:tcPr>
            <w:tcW w:type="dxa" w:w="2100"/>
            <w:tcMar>
              <w:top w:w="75" w:type="dxa"/>
              <w:start w:w="100" w:type="dxa"/>
              <w:bottom w:w="75" w:type="dxa"/>
              <w:end w:w="100" w:type="dxa"/>
            </w:tcMar>
            <w:vAlign w:val="center"/>
            <w:shd w:fill="E8EEF5"/>
          </w:tcPr>
          <w:p>
            <w:pPr>
              <w:spacing w:after="0" w:line="264" w:lineRule="auto"/>
            </w:pPr>
            <w:r>
              <w:rPr>
                <w:b/>
                <w:color w:val="1F4D78"/>
                <w:sz w:val="17"/>
              </w:rPr>
              <w:t>Safeguard</w:t>
            </w:r>
          </w:p>
        </w:tc>
        <w:tc>
          <w:tcPr>
            <w:tcW w:type="dxa" w:w="7260"/>
            <w:tcMar>
              <w:top w:w="75" w:type="dxa"/>
              <w:start w:w="100" w:type="dxa"/>
              <w:bottom w:w="75" w:type="dxa"/>
              <w:end w:w="100" w:type="dxa"/>
            </w:tcMar>
            <w:vAlign w:val="center"/>
            <w:shd w:fill="E8EEF5"/>
          </w:tcPr>
          <w:p>
            <w:pPr>
              <w:spacing w:after="0" w:line="264" w:lineRule="auto"/>
            </w:pPr>
            <w:r>
              <w:rPr>
                <w:b/>
                <w:color w:val="1F4D78"/>
                <w:sz w:val="17"/>
              </w:rPr>
              <w:t>Required practice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Evidence, not verdict</w:t>
            </w:r>
          </w:p>
        </w:tc>
        <w:tc>
          <w:tcPr>
            <w:tcW w:type="dxa" w:w="7260"/>
            <w:tcMar>
              <w:top w:w="75" w:type="dxa"/>
              <w:start w:w="100" w:type="dxa"/>
              <w:bottom w:w="75" w:type="dxa"/>
              <w:end w:w="100" w:type="dxa"/>
            </w:tcMar>
            <w:vAlign w:val="center"/>
          </w:tcPr>
          <w:p>
            <w:pPr>
              <w:spacing w:after="0" w:line="264" w:lineRule="auto"/>
            </w:pPr>
            <w:r>
              <w:rPr>
                <w:sz w:val="17"/>
              </w:rPr>
              <w:t>VerseVAD reports inspectable lexical and formal evidence. It does not identify a poem's true emotion, speaker psychology, authorial intention, literary quality, or correct interpretation.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Source fidelity</w:t>
            </w:r>
          </w:p>
        </w:tc>
        <w:tc>
          <w:tcPr>
            <w:tcW w:type="dxa" w:w="7260"/>
            <w:tcMar>
              <w:top w:w="75" w:type="dxa"/>
              <w:start w:w="100" w:type="dxa"/>
              <w:bottom w:w="75" w:type="dxa"/>
              <w:end w:w="100" w:type="dxa"/>
            </w:tcMar>
            <w:vAlign w:val="center"/>
          </w:tcPr>
          <w:p>
            <w:pPr>
              <w:spacing w:after="0" w:line="264" w:lineRule="auto"/>
            </w:pPr>
            <w:r>
              <w:rPr>
                <w:sz w:val="17"/>
              </w:rPr>
              <w:t>Original spelling, punctuation, lineation, and stanza boundaries remain part of the preserved source. Normalization occurs only in a traceable processing representation.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Missingness</w:t>
            </w:r>
          </w:p>
        </w:tc>
        <w:tc>
          <w:tcPr>
            <w:tcW w:type="dxa" w:w="7260"/>
            <w:tcMar>
              <w:top w:w="75" w:type="dxa"/>
              <w:start w:w="100" w:type="dxa"/>
              <w:bottom w:w="75" w:type="dxa"/>
              <w:end w:w="100" w:type="dxa"/>
            </w:tcMar>
            <w:vAlign w:val="center"/>
          </w:tcPr>
          <w:p>
            <w:pPr>
              <w:spacing w:after="0" w:line="264" w:lineRule="auto"/>
            </w:pPr>
            <w:r>
              <w:rPr>
                <w:sz w:val="17"/>
              </w:rPr>
              <w:t>Unmatched, unresolved, ineligible, suppressed, and unavailable evidence remain distinct. VerseVAD does not replace a missing rating with zero or a neutral midpoint.</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Weighting and stopwords</w:t>
            </w:r>
          </w:p>
        </w:tc>
        <w:tc>
          <w:tcPr>
            <w:tcW w:type="dxa" w:w="7260"/>
            <w:tcMar>
              <w:top w:w="75" w:type="dxa"/>
              <w:start w:w="100" w:type="dxa"/>
              <w:bottom w:w="75" w:type="dxa"/>
              <w:end w:w="100" w:type="dxa"/>
            </w:tcMar>
            <w:vAlign w:val="center"/>
          </w:tcPr>
          <w:p>
            <w:pPr>
              <w:spacing w:after="0" w:line="264" w:lineRule="auto"/>
            </w:pPr>
            <w:r>
              <w:rPr>
                <w:sz w:val="17"/>
              </w:rPr>
              <w:t>Token weighting retains repetition; type weighting gives each retained distinct form one contribution. All-matched and stopword-excluded views answer different questions and must be named in comparison work.</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Coverage</w:t>
            </w:r>
          </w:p>
        </w:tc>
        <w:tc>
          <w:tcPr>
            <w:tcW w:type="dxa" w:w="7260"/>
            <w:tcMar>
              <w:top w:w="75" w:type="dxa"/>
              <w:start w:w="100" w:type="dxa"/>
              <w:bottom w:w="75" w:type="dxa"/>
              <w:end w:w="100" w:type="dxa"/>
            </w:tcMar>
            <w:vAlign w:val="center"/>
          </w:tcPr>
          <w:p>
            <w:pPr>
              <w:spacing w:after="0" w:line="264" w:lineRule="auto"/>
            </w:pPr>
            <w:r>
              <w:rPr>
                <w:sz w:val="17"/>
              </w:rPr>
              <w:t>Every interpretation must name its eligible denominator, matched evidence, and coverage. Coverage is an evidence-sufficiency description, not a confidence interval or probability that an interpretation is true.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Comparison</w:t>
            </w:r>
          </w:p>
        </w:tc>
        <w:tc>
          <w:tcPr>
            <w:tcW w:type="dxa" w:w="7260"/>
            <w:tcMar>
              <w:top w:w="75" w:type="dxa"/>
              <w:start w:w="100" w:type="dxa"/>
              <w:bottom w:w="75" w:type="dxa"/>
              <w:end w:w="100" w:type="dxa"/>
            </w:tcMar>
            <w:vAlign w:val="center"/>
          </w:tcPr>
          <w:p>
            <w:pPr>
              <w:spacing w:after="0" w:line="264" w:lineRule="auto"/>
            </w:pPr>
            <w:r>
              <w:rPr>
                <w:sz w:val="17"/>
              </w:rPr>
              <w:t>Compare Poems applies one shared configuration to two through ten poems, displays poem values side by side, and reports descriptive range where meaningful. Range is not an effect size or significance test.</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VerseMap</w:t>
            </w:r>
          </w:p>
        </w:tc>
        <w:tc>
          <w:tcPr>
            <w:tcW w:type="dxa" w:w="7260"/>
            <w:tcMar>
              <w:top w:w="75" w:type="dxa"/>
              <w:start w:w="100" w:type="dxa"/>
              <w:bottom w:w="75" w:type="dxa"/>
              <w:end w:w="100" w:type="dxa"/>
            </w:tcMar>
            <w:vAlign w:val="center"/>
          </w:tcPr>
          <w:p>
            <w:pPr>
              <w:spacing w:after="0" w:line="264" w:lineRule="auto"/>
            </w:pPr>
            <w:r>
              <w:rPr>
                <w:sz w:val="17"/>
              </w:rPr>
              <w:t>VerseMap Standard Profile 1.0 is fixed, token weighted, stopword excluded for lexical features, content-POS aware, length normalized where required, and sound free. PCA supplies two display axes; neighbors use coverage-aware weighted standardized Euclidean distance in the fuller feature space.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Prosody</w:t>
            </w:r>
          </w:p>
        </w:tc>
        <w:tc>
          <w:tcPr>
            <w:tcW w:type="dxa" w:w="7260"/>
            <w:tcMar>
              <w:top w:w="75" w:type="dxa"/>
              <w:start w:w="100" w:type="dxa"/>
              <w:bottom w:w="75" w:type="dxa"/>
              <w:end w:w="100" w:type="dxa"/>
            </w:tcMar>
            <w:vAlign w:val="center"/>
          </w:tcPr>
          <w:p>
            <w:pPr>
              <w:spacing w:after="0" w:line="264" w:lineRule="auto"/>
            </w:pPr>
            <w:r>
              <w:rPr>
                <w:sz w:val="17"/>
              </w:rPr>
              <w:t>A CMUdict absence remains unmatched. G2P output is provisional and contributes no confirmed sound evidence until approved or edited as a session-only pronunciation override.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Persistence</w:t>
            </w:r>
          </w:p>
        </w:tc>
        <w:tc>
          <w:tcPr>
            <w:tcW w:type="dxa" w:w="7260"/>
            <w:tcMar>
              <w:top w:w="75" w:type="dxa"/>
              <w:start w:w="100" w:type="dxa"/>
              <w:bottom w:w="75" w:type="dxa"/>
              <w:end w:w="100" w:type="dxa"/>
            </w:tcMar>
            <w:vAlign w:val="center"/>
          </w:tcPr>
          <w:p>
            <w:pPr>
              <w:spacing w:after="0" w:line="264" w:lineRule="auto"/>
            </w:pPr>
            <w:r>
              <w:rPr>
                <w:sz w:val="17"/>
              </w:rPr>
              <w:t>Saved analyses require an explicit title and save action. Local projects, personal corpora, profiles, and research libraries persist in ignored private storage; hosted-cloud research storage is session-limited.</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Exports</w:t>
            </w:r>
          </w:p>
        </w:tc>
        <w:tc>
          <w:tcPr>
            <w:tcW w:type="dxa" w:w="7260"/>
            <w:tcMar>
              <w:top w:w="75" w:type="dxa"/>
              <w:start w:w="100" w:type="dxa"/>
              <w:bottom w:w="75" w:type="dxa"/>
              <w:end w:w="100" w:type="dxa"/>
            </w:tcMar>
            <w:vAlign w:val="center"/>
          </w:tcPr>
          <w:p>
            <w:pPr>
              <w:spacing w:after="0" w:line="264" w:lineRule="auto"/>
            </w:pPr>
            <w:r>
              <w:rPr>
                <w:sz w:val="17"/>
              </w:rPr>
              <w:t>The interface rounds for readability, while exports preserve calculation precision, settings, resource and software versions, coverage, warnings, and evidence needed for audit. Research notes are excluded by default.</w:t>
            </w:r>
          </w:p>
        </w:tc>
      </w:tr>
    </w:tbl>
    <w:p>
      <w:pPr>
        <w:pStyle w:val="Heading2"/>
      </w:pPr>
      <w:r>
        <w:t>Public-domain practice-text policy</w:t>
      </w:r>
    </w:p>
    <w:p>
      <w:r>
        <w:t>Choose a complete poem whose public-domain status is confirmed for the learner's jurisdiction and whose edition can be cited. Do not reproduce a modern edited version merely because the underlying poem is old. Record source URL or bibliographic citation, access date, and any transcription intervention. Training prompts may name suggested authors or works, but this manual does not reproduce full poems.</w:t>
      </w:r>
    </w:p>
    <w:tbl>
      <w:tblPr>
        <w:tblW w:type="dxa" w:w="9360"/>
        <w:jc w:val="center"/>
        <w:tblLook w:firstColumn="1" w:firstRow="1" w:lastColumn="0" w:lastRow="0" w:noHBand="0" w:noVBand="1" w:val="04A0"/>
        <w:tblLayout w:type="fixed"/>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Caption w:val="Note callout"/>
        <w:tblDescription w:val="Suitable starting points include rights-cleared editions of Blake, Dickinson, Shakespeare, Burns, Poe, Hopkins, and other public-domain authors. Verify the specific edition before use."/>
      </w:tblPr>
      <w:tblGrid>
        <w:gridCol w:w="9360"/>
      </w:tblGrid>
      <w:tr>
        <w:trPr>
          <w:tblHeader w:val="true"/>
        </w:trPr>
        <w:tc>
          <w:tcPr>
            <w:tcW w:type="dxa" w:w="9360"/>
            <w:shd w:fill="E8EEF5"/>
            <w:tcMar>
              <w:top w:w="140" w:type="dxa"/>
              <w:start w:w="160" w:type="dxa"/>
              <w:bottom w:w="140" w:type="dxa"/>
              <w:end w:w="160" w:type="dxa"/>
            </w:tcMar>
          </w:tcPr>
          <w:p>
            <w:pPr>
              <w:spacing w:after="0"/>
            </w:pPr>
            <w:r>
              <w:rPr>
                <w:b/>
                <w:color w:val="2E74B5"/>
              </w:rPr>
              <w:t xml:space="preserve">NOTE: </w:t>
            </w:r>
            <w:r>
              <w:t>Suitable starting points include rights-cleared editions of Blake, Dickinson, Shakespeare, Burns, Poe, Hopkins, and other public-domain authors. Verify the specific edition before use.</w:t>
            </w:r>
          </w:p>
        </w:tc>
      </w:tr>
    </w:tbl>
    <w:p>
      <w:pPr>
        <w:spacing w:after="0"/>
      </w:pPr>
    </w:p>
    <w:p>
      <w:pPr>
        <w:pStyle w:val="Heading2"/>
      </w:pPr>
      <w:r>
        <w:t>Assessment structure</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Course assessment structure"/>
        <w:tblDescription w:val="Conceptual, applied, passing, and credential-administration requirements."/>
      </w:tblPr>
      <w:tblGrid>
        <w:gridCol w:w="4680"/>
        <w:gridCol w:w="4680"/>
      </w:tblGrid>
      <w:tr>
        <w:trPr>
          <w:cantSplit/>
          <w:trHeight w:hRule="atLeast"/>
          <w:tblHeader w:val="true"/>
        </w:trPr>
        <w:tc>
          <w:tcPr>
            <w:tcW w:type="dxa" w:w="2500"/>
            <w:tcMar>
              <w:top w:w="75" w:type="dxa"/>
              <w:start w:w="100" w:type="dxa"/>
              <w:bottom w:w="75" w:type="dxa"/>
              <w:end w:w="100" w:type="dxa"/>
            </w:tcMar>
            <w:vAlign w:val="center"/>
            <w:shd w:fill="E8EEF5"/>
          </w:tcPr>
          <w:p>
            <w:pPr>
              <w:spacing w:after="0" w:line="264" w:lineRule="auto"/>
            </w:pPr>
            <w:r>
              <w:rPr>
                <w:b/>
                <w:color w:val="1F4D78"/>
                <w:sz w:val="17"/>
              </w:rPr>
              <w:t>Component</w:t>
            </w:r>
          </w:p>
        </w:tc>
        <w:tc>
          <w:tcPr>
            <w:tcW w:type="dxa" w:w="6860"/>
            <w:tcMar>
              <w:top w:w="75" w:type="dxa"/>
              <w:start w:w="100" w:type="dxa"/>
              <w:bottom w:w="75" w:type="dxa"/>
              <w:end w:w="100" w:type="dxa"/>
            </w:tcMar>
            <w:vAlign w:val="center"/>
            <w:shd w:fill="E8EEF5"/>
          </w:tcPr>
          <w:p>
            <w:pPr>
              <w:spacing w:after="0" w:line="264" w:lineRule="auto"/>
            </w:pPr>
            <w:r>
              <w:rPr>
                <w:b/>
                <w:color w:val="1F4D78"/>
                <w:sz w:val="17"/>
              </w:rPr>
              <w:t>Requirement</w:t>
            </w:r>
          </w:p>
        </w:tc>
      </w:tr>
      <w:tr>
        <w:trPr>
          <w:cantSplit/>
          <w:trHeight w:hRule="atLeast"/>
        </w:trPr>
        <w:tc>
          <w:tcPr>
            <w:tcW w:type="dxa" w:w="2500"/>
            <w:tcMar>
              <w:top w:w="75" w:type="dxa"/>
              <w:start w:w="100" w:type="dxa"/>
              <w:bottom w:w="75" w:type="dxa"/>
              <w:end w:w="100" w:type="dxa"/>
            </w:tcMar>
            <w:vAlign w:val="center"/>
          </w:tcPr>
          <w:p>
            <w:pPr>
              <w:spacing w:after="0" w:line="264" w:lineRule="auto"/>
            </w:pPr>
            <w:r>
              <w:rPr>
                <w:sz w:val="17"/>
              </w:rPr>
              <w:t>Conceptual assessment</w:t>
            </w:r>
          </w:p>
        </w:tc>
        <w:tc>
          <w:tcPr>
            <w:tcW w:type="dxa" w:w="6860"/>
            <w:tcMar>
              <w:top w:w="75" w:type="dxa"/>
              <w:start w:w="100" w:type="dxa"/>
              <w:bottom w:w="75" w:type="dxa"/>
              <w:end w:w="100" w:type="dxa"/>
            </w:tcMar>
            <w:vAlign w:val="center"/>
          </w:tcPr>
          <w:p>
            <w:pPr>
              <w:spacing w:after="0" w:line="264" w:lineRule="auto"/>
            </w:pPr>
            <w:r>
              <w:rPr>
                <w:sz w:val="17"/>
              </w:rPr>
              <w:t>30 one-best-answer scenario and method items; 24 correct required.</w:t>
            </w:r>
          </w:p>
        </w:tc>
      </w:tr>
      <w:tr>
        <w:trPr>
          <w:cantSplit/>
          <w:trHeight w:hRule="atLeast"/>
        </w:trPr>
        <w:tc>
          <w:tcPr>
            <w:tcW w:type="dxa" w:w="2500"/>
            <w:tcMar>
              <w:top w:w="75" w:type="dxa"/>
              <w:start w:w="100" w:type="dxa"/>
              <w:bottom w:w="75" w:type="dxa"/>
              <w:end w:w="100" w:type="dxa"/>
            </w:tcMar>
            <w:vAlign w:val="center"/>
          </w:tcPr>
          <w:p>
            <w:pPr>
              <w:spacing w:after="0" w:line="264" w:lineRule="auto"/>
            </w:pPr>
            <w:r>
              <w:rPr>
                <w:sz w:val="17"/>
              </w:rPr>
              <w:t>Applied assessment</w:t>
            </w:r>
          </w:p>
        </w:tc>
        <w:tc>
          <w:tcPr>
            <w:tcW w:type="dxa" w:w="6860"/>
            <w:tcMar>
              <w:top w:w="75" w:type="dxa"/>
              <w:start w:w="100" w:type="dxa"/>
              <w:bottom w:w="75" w:type="dxa"/>
              <w:end w:w="100" w:type="dxa"/>
            </w:tcMar>
            <w:vAlign w:val="center"/>
          </w:tcPr>
          <w:p>
            <w:pPr>
              <w:spacing w:after="0" w:line="264" w:lineRule="auto"/>
            </w:pPr>
            <w:r>
              <w:rPr>
                <w:sz w:val="17"/>
              </w:rPr>
              <w:t>Authorization-Readiness Teaching Practicum</w:t>
            </w:r>
          </w:p>
        </w:tc>
      </w:tr>
      <w:tr>
        <w:trPr>
          <w:cantSplit/>
          <w:trHeight w:hRule="atLeast"/>
        </w:trPr>
        <w:tc>
          <w:tcPr>
            <w:tcW w:type="dxa" w:w="2500"/>
            <w:tcMar>
              <w:top w:w="75" w:type="dxa"/>
              <w:start w:w="100" w:type="dxa"/>
              <w:bottom w:w="75" w:type="dxa"/>
              <w:end w:w="100" w:type="dxa"/>
            </w:tcMar>
            <w:vAlign w:val="center"/>
          </w:tcPr>
          <w:p>
            <w:pPr>
              <w:spacing w:after="0" w:line="264" w:lineRule="auto"/>
            </w:pPr>
            <w:r>
              <w:rPr>
                <w:sz w:val="17"/>
              </w:rPr>
              <w:t>Passing rule</w:t>
            </w:r>
          </w:p>
        </w:tc>
        <w:tc>
          <w:tcPr>
            <w:tcW w:type="dxa" w:w="6860"/>
            <w:tcMar>
              <w:top w:w="75" w:type="dxa"/>
              <w:start w:w="100" w:type="dxa"/>
              <w:bottom w:w="75" w:type="dxa"/>
              <w:end w:w="100" w:type="dxa"/>
            </w:tcMar>
            <w:vAlign w:val="center"/>
          </w:tcPr>
          <w:p>
            <w:pPr>
              <w:spacing w:after="0" w:line="264" w:lineRule="auto"/>
            </w:pPr>
            <w:r>
              <w:rPr>
                <w:sz w:val="17"/>
              </w:rPr>
              <w:t>80% overall (24/30), satisfactory observed practicum, and no critical instructional, ethical, accessibility, or methodological error</w:t>
            </w:r>
          </w:p>
        </w:tc>
      </w:tr>
      <w:tr>
        <w:trPr>
          <w:cantSplit/>
          <w:trHeight w:hRule="atLeast"/>
        </w:trPr>
        <w:tc>
          <w:tcPr>
            <w:tcW w:type="dxa" w:w="2500"/>
            <w:tcMar>
              <w:top w:w="75" w:type="dxa"/>
              <w:start w:w="100" w:type="dxa"/>
              <w:bottom w:w="75" w:type="dxa"/>
              <w:end w:w="100" w:type="dxa"/>
            </w:tcMar>
            <w:vAlign w:val="center"/>
          </w:tcPr>
          <w:p>
            <w:pPr>
              <w:spacing w:after="0" w:line="264" w:lineRule="auto"/>
            </w:pPr>
            <w:r>
              <w:rPr>
                <w:sz w:val="17"/>
              </w:rPr>
              <w:t>Credential boundary</w:t>
            </w:r>
          </w:p>
        </w:tc>
        <w:tc>
          <w:tcPr>
            <w:tcW w:type="dxa" w:w="6860"/>
            <w:tcMar>
              <w:top w:w="75" w:type="dxa"/>
              <w:start w:w="100" w:type="dxa"/>
              <w:bottom w:w="75" w:type="dxa"/>
              <w:end w:w="100" w:type="dxa"/>
            </w:tcMar>
            <w:vAlign w:val="center"/>
          </w:tcPr>
          <w:p>
            <w:pPr>
              <w:spacing w:after="0" w:line="264" w:lineRule="auto"/>
            </w:pPr>
            <w:r>
              <w:rPr>
                <w:sz w:val="17"/>
              </w:rPr>
              <w:t>Course completion records support owner-approved decisions; no certificate or authorization is generated by these documents.</w:t>
            </w:r>
          </w:p>
        </w:tc>
      </w:tr>
    </w:tbl>
    <w:p>
      <w:pPr>
        <w:pStyle w:val="Heading1"/>
      </w:pPr>
      <w:r>
        <w:t>I1 · Adult Learning and Course Facilitation</w:t>
      </w:r>
    </w:p>
    <w:p>
      <w:r>
        <w:rPr>
          <w:b/>
        </w:rPr>
        <w:t xml:space="preserve">Module purpose. </w:t>
      </w:r>
      <w:r>
        <w:t>Design active, respectful learning sequences that connect VerseVAD methods to learners' prior literary and technical knowledge.</w:t>
      </w:r>
    </w:p>
    <w:p>
      <w:pPr>
        <w:pStyle w:val="Heading2"/>
      </w:pPr>
      <w:r>
        <w:t>Learning objectives</w:t>
      </w:r>
    </w:p>
    <w:p>
      <w:pPr>
        <w:pStyle w:val="ListBullet"/>
      </w:pPr>
      <w:r>
        <w:t>Write observable outcomes aligned with practice and assessment.</w:t>
      </w:r>
    </w:p>
    <w:p>
      <w:pPr>
        <w:pStyle w:val="ListBullet"/>
      </w:pPr>
      <w:r>
        <w:t>Use explanation, demonstration, guided practice, independent practice, and reflection.</w:t>
      </w:r>
    </w:p>
    <w:p>
      <w:pPr>
        <w:pStyle w:val="ListBullet"/>
      </w:pPr>
      <w:r>
        <w:t>Elicit prior knowledge without assuming programming or statistics expertise.</w:t>
      </w:r>
    </w:p>
    <w:p>
      <w:pPr>
        <w:pStyle w:val="ListBullet"/>
      </w:pPr>
      <w:r>
        <w:t>Manage cognitive load through progressive disclosure.</w:t>
      </w:r>
    </w:p>
    <w:p>
      <w:pPr>
        <w:pStyle w:val="Heading2"/>
      </w:pPr>
      <w:r>
        <w:t>Why this method matters</w:t>
      </w:r>
    </w:p>
    <w:p>
      <w:r>
        <w:t>Design active, respectful learning sequences that connect VerseVAD methods to learners' prior literary and technical knowledge.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**Instructor authority does not replace evidence of learner understanding and independent methodological judgment.**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I1 core concepts"/>
        <w:tblDescription w:val="Definitions and operational meanings for Adult Learning and Course Facilitation."/>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Backward design</w:t>
            </w:r>
          </w:p>
        </w:tc>
        <w:tc>
          <w:tcPr>
            <w:tcW w:type="dxa" w:w="7160"/>
            <w:tcMar>
              <w:top w:w="75" w:type="dxa"/>
              <w:start w:w="100" w:type="dxa"/>
              <w:bottom w:w="75" w:type="dxa"/>
              <w:end w:w="100" w:type="dxa"/>
            </w:tcMar>
            <w:vAlign w:val="center"/>
          </w:tcPr>
          <w:p>
            <w:pPr>
              <w:spacing w:after="0" w:line="264" w:lineRule="auto"/>
            </w:pPr>
            <w:r>
              <w:rPr>
                <w:sz w:val="17"/>
              </w:rPr>
              <w:t>Begin with the judgment learners must demonstrate, then align activities, evidence, and assessment.</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Active learning</w:t>
            </w:r>
          </w:p>
        </w:tc>
        <w:tc>
          <w:tcPr>
            <w:tcW w:type="dxa" w:w="7160"/>
            <w:tcMar>
              <w:top w:w="75" w:type="dxa"/>
              <w:start w:w="100" w:type="dxa"/>
              <w:bottom w:w="75" w:type="dxa"/>
              <w:end w:w="100" w:type="dxa"/>
            </w:tcMar>
            <w:vAlign w:val="center"/>
          </w:tcPr>
          <w:p>
            <w:pPr>
              <w:spacing w:after="0" w:line="264" w:lineRule="auto"/>
            </w:pPr>
            <w:r>
              <w:rPr>
                <w:sz w:val="17"/>
              </w:rPr>
              <w:t>Learners should predict, operate, interpret, challenge, and explain—not merely watch an instructor click through reports.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Psychological safety</w:t>
            </w:r>
          </w:p>
        </w:tc>
        <w:tc>
          <w:tcPr>
            <w:tcW w:type="dxa" w:w="7160"/>
            <w:tcMar>
              <w:top w:w="75" w:type="dxa"/>
              <w:start w:w="100" w:type="dxa"/>
              <w:bottom w:w="75" w:type="dxa"/>
              <w:end w:w="100" w:type="dxa"/>
            </w:tcMar>
            <w:vAlign w:val="center"/>
          </w:tcPr>
          <w:p>
            <w:pPr>
              <w:spacing w:after="0" w:line="264" w:lineRule="auto"/>
            </w:pPr>
            <w:r>
              <w:rPr>
                <w:sz w:val="17"/>
              </w:rPr>
              <w:t>Method questions and interpretive disagreement should be normalized; uncertainty is part of responsible computational humanities.</w:t>
            </w:r>
          </w:p>
        </w:tc>
      </w:tr>
    </w:tbl>
    <w:p>
      <w:pPr>
        <w:pStyle w:val="Heading2"/>
      </w:pPr>
      <w:r>
        <w:t>Guided VerseVAD workflow</w:t>
      </w:r>
    </w:p>
    <w:p>
      <w:pPr>
        <w:pStyle w:val="ListNumber"/>
      </w:pPr>
      <w:r>
        <w:t>Define audience, prerequisite knowledge, and scope.</w:t>
      </w:r>
    </w:p>
    <w:p>
      <w:pPr>
        <w:pStyle w:val="ListNumber"/>
      </w:pPr>
      <w:r>
        <w:t>Write measurable learning outcomes.</w:t>
      </w:r>
    </w:p>
    <w:p>
      <w:pPr>
        <w:pStyle w:val="ListNumber"/>
      </w:pPr>
      <w:r>
        <w:t>Select one public-domain case with manageable length and known instructional purpose.</w:t>
      </w:r>
    </w:p>
    <w:p>
      <w:pPr>
        <w:pStyle w:val="ListNumber"/>
      </w:pPr>
      <w:r>
        <w:t>Sequence brief explanation, live demonstration, guided interpretation, and learner practice.</w:t>
      </w:r>
    </w:p>
    <w:p>
      <w:pPr>
        <w:pStyle w:val="ListNumber"/>
      </w:pPr>
      <w:r>
        <w:t>Build checks for understanding before independent work.</w:t>
      </w:r>
    </w:p>
    <w:p>
      <w:pPr>
        <w:pStyle w:val="ListNumber"/>
      </w:pPr>
      <w:r>
        <w:t>Collect reflection and revise the lesson from evidence.</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n instructor lectures for ninety minutes on every VerseVAD metric, then asks beginners to produce an independent analysis without guided practice."/>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An instructor lectures for ninety minutes on every VerseVAD metric, then asks beginners to produce an independent analysis without guided practice.</w:t>
            </w:r>
          </w:p>
        </w:tc>
      </w:tr>
    </w:tbl>
    <w:p>
      <w:pPr>
        <w:spacing w:after="0"/>
      </w:pPr>
    </w:p>
    <w:p>
      <w:pPr>
        <w:pStyle w:val="ListBullet"/>
      </w:pPr>
      <w:r>
        <w:t>Diagnose the alignment and cognitive-load problems.</w:t>
      </w:r>
    </w:p>
    <w:p>
      <w:pPr>
        <w:pStyle w:val="ListBullet"/>
      </w:pPr>
      <w:r>
        <w:t>Redesign a 30-minute segment with active practice.</w:t>
      </w:r>
    </w:p>
    <w:p>
      <w:pPr>
        <w:pStyle w:val="ListBullet"/>
      </w:pPr>
      <w:r>
        <w:t>Write two formative checks.</w:t>
      </w:r>
    </w:p>
    <w:p>
      <w:pPr>
        <w:pStyle w:val="ListBullet"/>
      </w:pPr>
      <w:r>
        <w:t>Plan an inclusive way to surface prior knowledge.</w:t>
      </w:r>
    </w:p>
    <w:p>
      <w:pPr>
        <w:pStyle w:val="Heading2"/>
      </w:pPr>
      <w:r>
        <w:t>Interpretation protocol</w:t>
      </w:r>
    </w:p>
    <w:p>
      <w:pPr>
        <w:pStyle w:val="ListNumber"/>
      </w:pPr>
      <w:r>
        <w:t>Treat confusion as instructional evidence.</w:t>
      </w:r>
    </w:p>
    <w:p>
      <w:pPr>
        <w:pStyle w:val="ListNumber"/>
      </w:pPr>
      <w:r>
        <w:t>Match terminology depth to the course level.</w:t>
      </w:r>
    </w:p>
    <w:p>
      <w:pPr>
        <w:pStyle w:val="ListNumber"/>
      </w:pPr>
      <w:r>
        <w:t>Use learner explanations to assess transfer.</w:t>
      </w:r>
    </w:p>
    <w:p>
      <w:pPr>
        <w:pStyle w:val="ListNumber"/>
      </w:pPr>
      <w:r>
        <w:t>Provide time for uncertainty and revision.</w:t>
      </w:r>
    </w:p>
    <w:p>
      <w:r>
        <w:rPr>
          <w:b/>
        </w:rPr>
        <w:t xml:space="preserve">Model decision. </w:t>
      </w:r>
      <w:r>
        <w:t>Redesign the session around observable outcomes, short explanation, modeled use, guided practice, checks for understanding, and independent transfer.</w:t>
      </w:r>
    </w:p>
    <w:p>
      <w:pPr>
        <w:pStyle w:val="Heading2"/>
      </w:pPr>
      <w:r>
        <w:t>Limitations and common failure modes</w:t>
      </w:r>
    </w:p>
    <w:p>
      <w:pPr>
        <w:pStyle w:val="ListBullet"/>
      </w:pPr>
      <w:r>
        <w:t>Activity alone does not guarantee learning without alignment and feedback.</w:t>
      </w:r>
    </w:p>
    <w:p>
      <w:pPr>
        <w:pStyle w:val="ListBullet"/>
      </w:pPr>
      <w:r>
        <w:t>Learners may have uneven access to licensed datasets or capable hardware.</w:t>
      </w:r>
    </w:p>
    <w:p>
      <w:pPr>
        <w:pStyle w:val="ListBullet"/>
      </w:pPr>
      <w:r>
        <w:t>A single case can overfit the lesson to one poetic tradition.</w:t>
      </w:r>
    </w:p>
    <w:p>
      <w:r>
        <w:rPr>
          <w:b/>
        </w:rPr>
        <w:t xml:space="preserve">Reject these shortcuts: </w:t>
      </w:r>
      <w:r>
        <w:t>Cover every feature quickly so the class is comprehensive.; Assume advanced literary knowledge implies software fluency.; Treat silence after a demonstration as proof of mastery..</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Instructor authority does not replace evidence of learner understanding and independent methodological judgment.</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I2 · Teaching Metrics Without Oversimplifying</w:t>
      </w:r>
    </w:p>
    <w:p>
      <w:r>
        <w:rPr>
          <w:b/>
        </w:rPr>
        <w:t xml:space="preserve">Module purpose. </w:t>
      </w:r>
      <w:r>
        <w:t>Explain statistical and lexical measures accurately in plain language while preserving denominators, scales, uncertainty, and interpretive boundaries.</w:t>
      </w:r>
    </w:p>
    <w:p>
      <w:pPr>
        <w:pStyle w:val="Heading2"/>
      </w:pPr>
      <w:r>
        <w:t>Learning objectives</w:t>
      </w:r>
    </w:p>
    <w:p>
      <w:pPr>
        <w:pStyle w:val="ListBullet"/>
      </w:pPr>
      <w:r>
        <w:t>Use definition, calculation, denominator, example, and limitation as a teaching sequence.</w:t>
      </w:r>
    </w:p>
    <w:p>
      <w:pPr>
        <w:pStyle w:val="ListBullet"/>
      </w:pPr>
      <w:r>
        <w:t>Distinguish means, cumulative loads, dispersion, coverage, range, z-scores, PCA, and distance.</w:t>
      </w:r>
    </w:p>
    <w:p>
      <w:pPr>
        <w:pStyle w:val="ListBullet"/>
      </w:pPr>
      <w:r>
        <w:t>Correct deterministic or psychological language respectfully.</w:t>
      </w:r>
    </w:p>
    <w:p>
      <w:pPr>
        <w:pStyle w:val="ListBullet"/>
      </w:pPr>
      <w:r>
        <w:t>Use analogies without replacing the actual method.</w:t>
      </w:r>
    </w:p>
    <w:p>
      <w:pPr>
        <w:pStyle w:val="Heading2"/>
      </w:pPr>
      <w:r>
        <w:t>Why this method matters</w:t>
      </w:r>
    </w:p>
    <w:p>
      <w:r>
        <w:t>Explain statistical and lexical measures accurately in plain language while preserving denominators, scales, uncertainty, and interpretive boundaries.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**Plain-language teaching must never erase the source, denominator, direction, or limitation that gives a metric meaning.**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I2 core concepts"/>
        <w:tblDescription w:val="Definitions and operational meanings for Teaching Metrics Without Oversimplifying."/>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Five-part explanation</w:t>
            </w:r>
          </w:p>
        </w:tc>
        <w:tc>
          <w:tcPr>
            <w:tcW w:type="dxa" w:w="7160"/>
            <w:tcMar>
              <w:top w:w="75" w:type="dxa"/>
              <w:start w:w="100" w:type="dxa"/>
              <w:bottom w:w="75" w:type="dxa"/>
              <w:end w:w="100" w:type="dxa"/>
            </w:tcMar>
            <w:vAlign w:val="center"/>
          </w:tcPr>
          <w:p>
            <w:pPr>
              <w:spacing w:after="0" w:line="264" w:lineRule="auto"/>
            </w:pPr>
            <w:r>
              <w:rPr>
                <w:sz w:val="17"/>
              </w:rPr>
              <w:t>Name what is measured, how it is summarized, what evidence is eligible, what a result can suggest, and what it cannot establish.</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Direction and scale</w:t>
            </w:r>
          </w:p>
        </w:tc>
        <w:tc>
          <w:tcPr>
            <w:tcW w:type="dxa" w:w="7160"/>
            <w:tcMar>
              <w:top w:w="75" w:type="dxa"/>
              <w:start w:w="100" w:type="dxa"/>
              <w:bottom w:w="75" w:type="dxa"/>
              <w:end w:w="100" w:type="dxa"/>
            </w:tcMar>
            <w:vAlign w:val="center"/>
          </w:tcPr>
          <w:p>
            <w:pPr>
              <w:spacing w:after="0" w:line="264" w:lineRule="auto"/>
            </w:pPr>
            <w:r>
              <w:rPr>
                <w:sz w:val="17"/>
              </w:rPr>
              <w:t>Learners need anchors and direction—such as higher Zipf meaning more frequent—before interpretation.</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Construct separation</w:t>
            </w:r>
          </w:p>
        </w:tc>
        <w:tc>
          <w:tcPr>
            <w:tcW w:type="dxa" w:w="7160"/>
            <w:tcMar>
              <w:top w:w="75" w:type="dxa"/>
              <w:start w:w="100" w:type="dxa"/>
              <w:bottom w:w="75" w:type="dxa"/>
              <w:end w:w="100" w:type="dxa"/>
            </w:tcMar>
            <w:vAlign w:val="center"/>
          </w:tcPr>
          <w:p>
            <w:pPr>
              <w:spacing w:after="0" w:line="264" w:lineRule="auto"/>
            </w:pPr>
            <w:r>
              <w:rPr>
                <w:sz w:val="17"/>
              </w:rPr>
              <w:t>Similar-looking numbers can represent different constructs and denominators; teaching should resist a single master score.</w:t>
            </w:r>
          </w:p>
        </w:tc>
      </w:tr>
    </w:tbl>
    <w:p>
      <w:pPr>
        <w:pStyle w:val="Heading2"/>
      </w:pPr>
      <w:r>
        <w:t>Guided VerseVAD workflow</w:t>
      </w:r>
    </w:p>
    <w:p>
      <w:pPr>
        <w:pStyle w:val="ListNumber"/>
      </w:pPr>
      <w:r>
        <w:t>Begin with a learner-facing question.</w:t>
      </w:r>
    </w:p>
    <w:p>
      <w:pPr>
        <w:pStyle w:val="ListNumber"/>
      </w:pPr>
      <w:r>
        <w:t>Define the construct without software labels.</w:t>
      </w:r>
    </w:p>
    <w:p>
      <w:pPr>
        <w:pStyle w:val="ListNumber"/>
      </w:pPr>
      <w:r>
        <w:t>Show the denominator and one hand-calculated miniature example.</w:t>
      </w:r>
    </w:p>
    <w:p>
      <w:pPr>
        <w:pStyle w:val="ListNumber"/>
      </w:pPr>
      <w:r>
        <w:t>Demonstrate the interface result and evidence trace.</w:t>
      </w:r>
    </w:p>
    <w:p>
      <w:pPr>
        <w:pStyle w:val="ListNumber"/>
      </w:pPr>
      <w:r>
        <w:t>Ask learners to generate a defensible and an indefensible sentence.</w:t>
      </w:r>
    </w:p>
    <w:p>
      <w:pPr>
        <w:pStyle w:val="ListNumber"/>
      </w:pPr>
      <w:r>
        <w:t>Close with a transfer question using a different poem.</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learner says that 72 percent fear association means 72 percent of readers feel fear. The instructor wants to correct the claim without shutting down interpretation."/>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learner says that 72 percent fear association means 72 percent of readers feel fear. The instructor wants to correct the claim without shutting down interpretation.</w:t>
            </w:r>
          </w:p>
        </w:tc>
      </w:tr>
    </w:tbl>
    <w:p>
      <w:pPr>
        <w:spacing w:after="0"/>
      </w:pPr>
    </w:p>
    <w:p>
      <w:pPr>
        <w:pStyle w:val="ListBullet"/>
      </w:pPr>
      <w:r>
        <w:t>Write a respectful correction.</w:t>
      </w:r>
    </w:p>
    <w:p>
      <w:pPr>
        <w:pStyle w:val="ListBullet"/>
      </w:pPr>
      <w:r>
        <w:t>Explain the multi-label denominator.</w:t>
      </w:r>
    </w:p>
    <w:p>
      <w:pPr>
        <w:pStyle w:val="ListBullet"/>
      </w:pPr>
      <w:r>
        <w:t>Connect the result to local lexical evidence.</w:t>
      </w:r>
    </w:p>
    <w:p>
      <w:pPr>
        <w:pStyle w:val="ListBullet"/>
      </w:pPr>
      <w:r>
        <w:t>Offer a question that preserves the learner's interpretive curiosity.</w:t>
      </w:r>
    </w:p>
    <w:p>
      <w:pPr>
        <w:pStyle w:val="Heading2"/>
      </w:pPr>
      <w:r>
        <w:t>Interpretation protocol</w:t>
      </w:r>
    </w:p>
    <w:p>
      <w:pPr>
        <w:pStyle w:val="ListNumber"/>
      </w:pPr>
      <w:r>
        <w:t>Correct the construct before debating the reading.</w:t>
      </w:r>
    </w:p>
    <w:p>
      <w:pPr>
        <w:pStyle w:val="ListNumber"/>
      </w:pPr>
      <w:r>
        <w:t>Keep plain language and technical accuracy together.</w:t>
      </w:r>
    </w:p>
    <w:p>
      <w:pPr>
        <w:pStyle w:val="ListNumber"/>
      </w:pPr>
      <w:r>
        <w:t>Use uncertainty as a prompt for inspection.</w:t>
      </w:r>
    </w:p>
    <w:p>
      <w:pPr>
        <w:pStyle w:val="ListNumber"/>
      </w:pPr>
      <w:r>
        <w:t>Require learners to name source and settings.</w:t>
      </w:r>
    </w:p>
    <w:p>
      <w:r>
        <w:rPr>
          <w:b/>
        </w:rPr>
        <w:t xml:space="preserve">Model decision. </w:t>
      </w:r>
      <w:r>
        <w:t>Clarify that the percentage describes eligible lexical associations, inspect the contributing words, and invite a revised interpretive claim about how that diction functions.</w:t>
      </w:r>
    </w:p>
    <w:p>
      <w:pPr>
        <w:pStyle w:val="Heading2"/>
      </w:pPr>
      <w:r>
        <w:t>Limitations and common failure modes</w:t>
      </w:r>
    </w:p>
    <w:p>
      <w:pPr>
        <w:pStyle w:val="ListBullet"/>
      </w:pPr>
      <w:r>
        <w:t>An analogy can import misleading assumptions.</w:t>
      </w:r>
    </w:p>
    <w:p>
      <w:pPr>
        <w:pStyle w:val="ListBullet"/>
      </w:pPr>
      <w:r>
        <w:t>Too many decimal places can create false precision.</w:t>
      </w:r>
    </w:p>
    <w:p>
      <w:pPr>
        <w:pStyle w:val="ListBullet"/>
      </w:pPr>
      <w:r>
        <w:t>Simplifying labels without denominators encourages construct confusion.</w:t>
      </w:r>
    </w:p>
    <w:p>
      <w:r>
        <w:rPr>
          <w:b/>
        </w:rPr>
        <w:t xml:space="preserve">Reject these shortcuts: </w:t>
      </w:r>
      <w:r>
        <w:t>Accept the reader-response interpretation because it is pedagogically engaging.; Correct the learner by saying numbers have no role in interpretation.; Replace the percentage with a PoetryID label and continue..</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Plain-language teaching must never erase the source, denominator, direction, or limitation that gives a metric meaning.</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I3 · Demonstrating the Software</w:t>
      </w:r>
    </w:p>
    <w:p>
      <w:r>
        <w:rPr>
          <w:b/>
        </w:rPr>
        <w:t xml:space="preserve">Module purpose. </w:t>
      </w:r>
      <w:r>
        <w:t>Deliver reliable live or recorded demonstrations that expose method choices, recovery paths, and evidence rather than presenting a flawless black-box performance.</w:t>
      </w:r>
    </w:p>
    <w:p>
      <w:pPr>
        <w:pStyle w:val="Heading2"/>
      </w:pPr>
      <w:r>
        <w:t>Learning objectives</w:t>
      </w:r>
    </w:p>
    <w:p>
      <w:pPr>
        <w:pStyle w:val="ListBullet"/>
      </w:pPr>
      <w:r>
        <w:t>Prepare installation, resource, browser, audio, and sample-text checks.</w:t>
      </w:r>
    </w:p>
    <w:p>
      <w:pPr>
        <w:pStyle w:val="ListBullet"/>
      </w:pPr>
      <w:r>
        <w:t>Narrate purpose before clicks and method before results.</w:t>
      </w:r>
    </w:p>
    <w:p>
      <w:pPr>
        <w:pStyle w:val="ListBullet"/>
      </w:pPr>
      <w:r>
        <w:t>Use zoom, pacing, focus, and verbal description accessibly.</w:t>
      </w:r>
    </w:p>
    <w:p>
      <w:pPr>
        <w:pStyle w:val="ListBullet"/>
      </w:pPr>
      <w:r>
        <w:t>Recover transparently from warnings, missing resources, and unexpected output.</w:t>
      </w:r>
    </w:p>
    <w:p>
      <w:pPr>
        <w:pStyle w:val="Heading2"/>
      </w:pPr>
      <w:r>
        <w:t>Why this method matters</w:t>
      </w:r>
    </w:p>
    <w:p>
      <w:r>
        <w:t>Deliver reliable live or recorded demonstrations that expose method choices, recovery paths, and evidence rather than presenting a flawless black-box performance.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**Never demonstrate or interpret a result as available when the interface reports a missing resource, unresolved dependency, or failed analysis.**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I3 core concepts"/>
        <w:tblDescription w:val="Definitions and operational meanings for Demonstrating the Software."/>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Demonstration contract</w:t>
            </w:r>
          </w:p>
        </w:tc>
        <w:tc>
          <w:tcPr>
            <w:tcW w:type="dxa" w:w="7160"/>
            <w:tcMar>
              <w:top w:w="75" w:type="dxa"/>
              <w:start w:w="100" w:type="dxa"/>
              <w:bottom w:w="75" w:type="dxa"/>
              <w:end w:w="100" w:type="dxa"/>
            </w:tcMar>
            <w:vAlign w:val="center"/>
          </w:tcPr>
          <w:p>
            <w:pPr>
              <w:spacing w:after="0" w:line="264" w:lineRule="auto"/>
            </w:pPr>
            <w:r>
              <w:rPr>
                <w:sz w:val="17"/>
              </w:rPr>
              <w:t>Tell learners what question the demonstration answers, what they should watch, and what they will do afterward.</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Visible methodology</w:t>
            </w:r>
          </w:p>
        </w:tc>
        <w:tc>
          <w:tcPr>
            <w:tcW w:type="dxa" w:w="7160"/>
            <w:tcMar>
              <w:top w:w="75" w:type="dxa"/>
              <w:start w:w="100" w:type="dxa"/>
              <w:bottom w:w="75" w:type="dxa"/>
              <w:end w:w="100" w:type="dxa"/>
            </w:tcMar>
            <w:vAlign w:val="center"/>
          </w:tcPr>
          <w:p>
            <w:pPr>
              <w:spacing w:after="0" w:line="264" w:lineRule="auto"/>
            </w:pPr>
            <w:r>
              <w:rPr>
                <w:sz w:val="17"/>
              </w:rPr>
              <w:t>Pause at profile, weighting, stopword, source, and coverage controls so learners understand that results are configured.</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Recovery modeling</w:t>
            </w:r>
          </w:p>
        </w:tc>
        <w:tc>
          <w:tcPr>
            <w:tcW w:type="dxa" w:w="7160"/>
            <w:tcMar>
              <w:top w:w="75" w:type="dxa"/>
              <w:start w:w="100" w:type="dxa"/>
              <w:bottom w:w="75" w:type="dxa"/>
              <w:end w:w="100" w:type="dxa"/>
            </w:tcMar>
            <w:vAlign w:val="center"/>
          </w:tcPr>
          <w:p>
            <w:pPr>
              <w:spacing w:after="0" w:line="264" w:lineRule="auto"/>
            </w:pPr>
            <w:r>
              <w:rPr>
                <w:sz w:val="17"/>
              </w:rPr>
              <w:t>An error or warning can teach diagnostics, limits, and support boundaries when the instructor responds calmly and accurately.</w:t>
            </w:r>
          </w:p>
        </w:tc>
      </w:tr>
    </w:tbl>
    <w:p>
      <w:pPr>
        <w:pStyle w:val="Heading2"/>
      </w:pPr>
      <w:r>
        <w:t>Guided VerseVAD workflow</w:t>
      </w:r>
    </w:p>
    <w:p>
      <w:pPr>
        <w:pStyle w:val="ListNumber"/>
      </w:pPr>
      <w:r>
        <w:t>Run a preflight on the exact computer, browser, resources, audio, and text.</w:t>
      </w:r>
    </w:p>
    <w:p>
      <w:pPr>
        <w:pStyle w:val="ListNumber"/>
      </w:pPr>
      <w:r>
        <w:t>Prepare a short public-domain fallback text and offline screenshots.</w:t>
      </w:r>
    </w:p>
    <w:p>
      <w:pPr>
        <w:pStyle w:val="ListNumber"/>
      </w:pPr>
      <w:r>
        <w:t>State the analytical question and expected learner observations.</w:t>
      </w:r>
    </w:p>
    <w:p>
      <w:pPr>
        <w:pStyle w:val="ListNumber"/>
      </w:pPr>
      <w:r>
        <w:t>Demonstrate input, profile, configuration, analysis, coverage, evidence, and export.</w:t>
      </w:r>
    </w:p>
    <w:p>
      <w:pPr>
        <w:pStyle w:val="ListNumber"/>
      </w:pPr>
      <w:r>
        <w:t>Invite a learner to repeat a bounded task.</w:t>
      </w:r>
    </w:p>
    <w:p>
      <w:pPr>
        <w:pStyle w:val="ListNumber"/>
      </w:pPr>
      <w:r>
        <w:t>Record unexpected behavior and escalate reproducible software defects.</w:t>
      </w:r>
    </w:p>
    <w:p>
      <w:pPr>
        <w:keepNext/>
        <w:jc w:val="center"/>
      </w:pPr>
      <w:r/>
    </w:p>
    <w:p>
      <w:pPr>
        <w:pStyle w:val="Caption"/>
        <w:jc w:val="center"/>
      </w:pPr>
      <w:r>
        <w:t>Figure 1. A demonstration should orient learners before introducing analytical controls.</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During a workshop, the concreteness resource is missing and a pronunciation warning appears. The instructor dismisses both and continues interpreting the unavailable results."/>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During a workshop, the concreteness resource is missing and a pronunciation warning appears. The instructor dismisses both and continues interpreting the unavailable results.</w:t>
            </w:r>
          </w:p>
        </w:tc>
      </w:tr>
    </w:tbl>
    <w:p>
      <w:pPr>
        <w:spacing w:after="0"/>
      </w:pPr>
    </w:p>
    <w:p>
      <w:pPr>
        <w:pStyle w:val="ListBullet"/>
      </w:pPr>
      <w:r>
        <w:t>Plan the immediate response.</w:t>
      </w:r>
    </w:p>
    <w:p>
      <w:pPr>
        <w:pStyle w:val="ListBullet"/>
      </w:pPr>
      <w:r>
        <w:t>Separate missing-resource and pronunciation-review issues.</w:t>
      </w:r>
    </w:p>
    <w:p>
      <w:pPr>
        <w:pStyle w:val="ListBullet"/>
      </w:pPr>
      <w:r>
        <w:t>Write a transparent learner explanation.</w:t>
      </w:r>
    </w:p>
    <w:p>
      <w:pPr>
        <w:pStyle w:val="ListBullet"/>
      </w:pPr>
      <w:r>
        <w:t>Create a post-session defect or setup record.</w:t>
      </w:r>
    </w:p>
    <w:p>
      <w:pPr>
        <w:pStyle w:val="Heading2"/>
      </w:pPr>
      <w:r>
        <w:t>Interpretation protocol</w:t>
      </w:r>
    </w:p>
    <w:p>
      <w:pPr>
        <w:pStyle w:val="ListNumber"/>
      </w:pPr>
      <w:r>
        <w:t>Narrate what changed after each control.</w:t>
      </w:r>
    </w:p>
    <w:p>
      <w:pPr>
        <w:pStyle w:val="ListNumber"/>
      </w:pPr>
      <w:r>
        <w:t>Do not scroll past warnings.</w:t>
      </w:r>
    </w:p>
    <w:p>
      <w:pPr>
        <w:pStyle w:val="ListNumber"/>
      </w:pPr>
      <w:r>
        <w:t>Use the same terminology as current labels and documentation.</w:t>
      </w:r>
    </w:p>
    <w:p>
      <w:pPr>
        <w:pStyle w:val="ListNumber"/>
      </w:pPr>
      <w:r>
        <w:t>Model how to stop when evidence is unavailable.</w:t>
      </w:r>
    </w:p>
    <w:p>
      <w:r>
        <w:rPr>
          <w:b/>
        </w:rPr>
        <w:t xml:space="preserve">Model decision. </w:t>
      </w:r>
      <w:r>
        <w:t>Pause, explain which evidence is unavailable or conditional, use a verified fallback if needed, and document the setup or software issue for follow-up.</w:t>
      </w:r>
    </w:p>
    <w:p>
      <w:pPr>
        <w:pStyle w:val="Heading2"/>
      </w:pPr>
      <w:r>
        <w:t>Limitations and common failure modes</w:t>
      </w:r>
    </w:p>
    <w:p>
      <w:pPr>
        <w:pStyle w:val="ListBullet"/>
      </w:pPr>
      <w:r>
        <w:t>A recorded demo can become obsolete after interface or method changes.</w:t>
      </w:r>
    </w:p>
    <w:p>
      <w:pPr>
        <w:pStyle w:val="ListBullet"/>
      </w:pPr>
      <w:r>
        <w:t>Cloud and local persistence differ.</w:t>
      </w:r>
    </w:p>
    <w:p>
      <w:pPr>
        <w:pStyle w:val="ListBullet"/>
      </w:pPr>
      <w:r>
        <w:t>A fast network or powerful instructor machine may hide learner constraints.</w:t>
      </w:r>
    </w:p>
    <w:p>
      <w:r>
        <w:rPr>
          <w:b/>
        </w:rPr>
        <w:t xml:space="preserve">Reject these shortcuts: </w:t>
      </w:r>
      <w:r>
        <w:t>Hide warnings so learners remain confident in the tool.; Improvise a numerical result from memory.; Install an unverified dataset during the live interpretation and continue without provenance..</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Never demonstrate or interpret a result as available when the interface reports a missing resource, unresolved dependency, or failed analysis.</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I4 · Facilitating Computational Close Reading</w:t>
      </w:r>
    </w:p>
    <w:p>
      <w:r>
        <w:rPr>
          <w:b/>
        </w:rPr>
        <w:t xml:space="preserve">Module purpose. </w:t>
      </w:r>
      <w:r>
        <w:t>Help learners move recursively between poem, measurement, evidence trace, alternative explanation, and revised interpretation.</w:t>
      </w:r>
    </w:p>
    <w:p>
      <w:pPr>
        <w:pStyle w:val="Heading2"/>
      </w:pPr>
      <w:r>
        <w:t>Learning objectives</w:t>
      </w:r>
    </w:p>
    <w:p>
      <w:pPr>
        <w:pStyle w:val="ListBullet"/>
      </w:pPr>
      <w:r>
        <w:t>Use inquiry prompts that return learners to textual particulars.</w:t>
      </w:r>
    </w:p>
    <w:p>
      <w:pPr>
        <w:pStyle w:val="ListBullet"/>
      </w:pPr>
      <w:r>
        <w:t>Facilitate disagreement between human expectation and computational evidence.</w:t>
      </w:r>
    </w:p>
    <w:p>
      <w:pPr>
        <w:pStyle w:val="ListBullet"/>
      </w:pPr>
      <w:r>
        <w:t>Sequence aggregate, distribution, and local evidence.</w:t>
      </w:r>
    </w:p>
    <w:p>
      <w:pPr>
        <w:pStyle w:val="ListBullet"/>
      </w:pPr>
      <w:r>
        <w:t>Avoid turning class discussion into score ranking.</w:t>
      </w:r>
    </w:p>
    <w:p>
      <w:pPr>
        <w:pStyle w:val="Heading2"/>
      </w:pPr>
      <w:r>
        <w:t>Why this method matters</w:t>
      </w:r>
    </w:p>
    <w:p>
      <w:r>
        <w:t>Help learners move recursively between poem, measurement, evidence trace, alternative explanation, and revised interpretation.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**A classroom should use VerseVAD to expand and challenge close reading, not replace interpretive dialogue with numerical authority.**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I4 core concepts"/>
        <w:tblDescription w:val="Definitions and operational meanings for Facilitating Computational Close Reading."/>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Interpretive loop</w:t>
            </w:r>
          </w:p>
        </w:tc>
        <w:tc>
          <w:tcPr>
            <w:tcW w:type="dxa" w:w="7160"/>
            <w:tcMar>
              <w:top w:w="75" w:type="dxa"/>
              <w:start w:w="100" w:type="dxa"/>
              <w:bottom w:w="75" w:type="dxa"/>
              <w:end w:w="100" w:type="dxa"/>
            </w:tcMar>
            <w:vAlign w:val="center"/>
          </w:tcPr>
          <w:p>
            <w:pPr>
              <w:spacing w:after="0" w:line="264" w:lineRule="auto"/>
            </w:pPr>
            <w:r>
              <w:rPr>
                <w:sz w:val="17"/>
              </w:rPr>
              <w:t>Prediction, measurement, audit, passage return, revision, and counter-reading form a cycle rather than a one-way pipeline.</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Productive mismatch</w:t>
            </w:r>
          </w:p>
        </w:tc>
        <w:tc>
          <w:tcPr>
            <w:tcW w:type="dxa" w:w="7160"/>
            <w:tcMar>
              <w:top w:w="75" w:type="dxa"/>
              <w:start w:w="100" w:type="dxa"/>
              <w:bottom w:w="75" w:type="dxa"/>
              <w:end w:w="100" w:type="dxa"/>
            </w:tcMar>
            <w:vAlign w:val="center"/>
          </w:tcPr>
          <w:p>
            <w:pPr>
              <w:spacing w:after="0" w:line="264" w:lineRule="auto"/>
            </w:pPr>
            <w:r>
              <w:rPr>
                <w:sz w:val="17"/>
              </w:rPr>
              <w:t>Unexpected results can expose a weak hypothesis, a coverage problem, a contextual linguistic feature, or a genuinely illuminating tension.</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Evidence roles</w:t>
            </w:r>
          </w:p>
        </w:tc>
        <w:tc>
          <w:tcPr>
            <w:tcW w:type="dxa" w:w="7160"/>
            <w:tcMar>
              <w:top w:w="75" w:type="dxa"/>
              <w:start w:w="100" w:type="dxa"/>
              <w:bottom w:w="75" w:type="dxa"/>
              <w:end w:w="100" w:type="dxa"/>
            </w:tcMar>
            <w:vAlign w:val="center"/>
          </w:tcPr>
          <w:p>
            <w:pPr>
              <w:spacing w:after="0" w:line="264" w:lineRule="auto"/>
            </w:pPr>
            <w:r>
              <w:rPr>
                <w:sz w:val="17"/>
              </w:rPr>
              <w:t>A result may support, complicate, redirect, or fail to address a reading; learners should name which role it plays.</w:t>
            </w:r>
          </w:p>
        </w:tc>
      </w:tr>
    </w:tbl>
    <w:p>
      <w:pPr>
        <w:pStyle w:val="Heading2"/>
      </w:pPr>
      <w:r>
        <w:t>Guided VerseVAD workflow</w:t>
      </w:r>
    </w:p>
    <w:p>
      <w:pPr>
        <w:pStyle w:val="ListNumber"/>
      </w:pPr>
      <w:r>
        <w:t>Ask learners to predict a pattern before analysis.</w:t>
      </w:r>
    </w:p>
    <w:p>
      <w:pPr>
        <w:pStyle w:val="ListNumber"/>
      </w:pPr>
      <w:r>
        <w:t>Run the smallest relevant module set.</w:t>
      </w:r>
    </w:p>
    <w:p>
      <w:pPr>
        <w:pStyle w:val="ListNumber"/>
      </w:pPr>
      <w:r>
        <w:t>Check coverage and evidence before discussing interpretation.</w:t>
      </w:r>
    </w:p>
    <w:p>
      <w:pPr>
        <w:pStyle w:val="ListNumber"/>
      </w:pPr>
      <w:r>
        <w:t>Locate words, lines, or structural units that drive the result.</w:t>
      </w:r>
    </w:p>
    <w:p>
      <w:pPr>
        <w:pStyle w:val="ListNumber"/>
      </w:pPr>
      <w:r>
        <w:t>Invite competing explanations from multiple learners.</w:t>
      </w:r>
    </w:p>
    <w:p>
      <w:pPr>
        <w:pStyle w:val="ListNumber"/>
      </w:pPr>
      <w:r>
        <w:t>Require a revised claim that states evidence and limitation.</w:t>
      </w:r>
    </w:p>
    <w:p>
      <w:pPr>
        <w:keepNext/>
        <w:jc w:val="center"/>
      </w:pPr>
      <w:r/>
    </w:p>
    <w:p>
      <w:pPr>
        <w:pStyle w:val="Caption"/>
        <w:jc w:val="center"/>
      </w:pPr>
      <w:r>
        <w:t>Figure 2. Coverage is a teaching checkpoint before interpretation.</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class expects a lament to have low valence, but the mean is high because repeated words such as love, bright, and heaven dominate matched evidence."/>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class expects a lament to have low valence, but the mean is high because repeated words such as love, bright, and heaven dominate matched evidence.</w:t>
            </w:r>
          </w:p>
        </w:tc>
      </w:tr>
    </w:tbl>
    <w:p>
      <w:pPr>
        <w:spacing w:after="0"/>
      </w:pPr>
    </w:p>
    <w:p>
      <w:pPr>
        <w:pStyle w:val="ListBullet"/>
      </w:pPr>
      <w:r>
        <w:t>Generate four facilitation questions.</w:t>
      </w:r>
    </w:p>
    <w:p>
      <w:pPr>
        <w:pStyle w:val="ListBullet"/>
      </w:pPr>
      <w:r>
        <w:t>Use token/type sensitivity to investigate repetition.</w:t>
      </w:r>
    </w:p>
    <w:p>
      <w:pPr>
        <w:pStyle w:val="ListBullet"/>
      </w:pPr>
      <w:r>
        <w:t>Ask what context changes lexical valence in the poem.</w:t>
      </w:r>
    </w:p>
    <w:p>
      <w:pPr>
        <w:pStyle w:val="ListBullet"/>
      </w:pPr>
      <w:r>
        <w:t>Draft a revised class claim.</w:t>
      </w:r>
    </w:p>
    <w:p>
      <w:pPr>
        <w:pStyle w:val="Heading2"/>
      </w:pPr>
      <w:r>
        <w:t>Interpretation protocol</w:t>
      </w:r>
    </w:p>
    <w:p>
      <w:pPr>
        <w:pStyle w:val="ListNumber"/>
      </w:pPr>
      <w:r>
        <w:t>Reward revision rather than correct prediction.</w:t>
      </w:r>
    </w:p>
    <w:p>
      <w:pPr>
        <w:pStyle w:val="ListNumber"/>
      </w:pPr>
      <w:r>
        <w:t>Ask who or what is absent from the denominator.</w:t>
      </w:r>
    </w:p>
    <w:p>
      <w:pPr>
        <w:pStyle w:val="ListNumber"/>
      </w:pPr>
      <w:r>
        <w:t>Preserve multiple defensible readings.</w:t>
      </w:r>
    </w:p>
    <w:p>
      <w:pPr>
        <w:pStyle w:val="ListNumber"/>
      </w:pPr>
      <w:r>
        <w:t>Connect numerical patterns to rhetoric and form.</w:t>
      </w:r>
    </w:p>
    <w:p>
      <w:r>
        <w:rPr>
          <w:b/>
        </w:rPr>
        <w:t xml:space="preserve">Model decision. </w:t>
      </w:r>
      <w:r>
        <w:t>Use the mismatch to inspect repetition, weighting, context, and contributing words, then facilitate revised competing interpretations rather than choosing a winning score.</w:t>
      </w:r>
    </w:p>
    <w:p>
      <w:pPr>
        <w:pStyle w:val="Heading2"/>
      </w:pPr>
      <w:r>
        <w:t>Limitations and common failure modes</w:t>
      </w:r>
    </w:p>
    <w:p>
      <w:pPr>
        <w:pStyle w:val="ListBullet"/>
      </w:pPr>
      <w:r>
        <w:t>Discussion can privilege confident statistical language over literary insight.</w:t>
      </w:r>
    </w:p>
    <w:p>
      <w:pPr>
        <w:pStyle w:val="ListBullet"/>
      </w:pPr>
      <w:r>
        <w:t>A surprising score may be a data-quality issue rather than an interpretive revelation.</w:t>
      </w:r>
    </w:p>
    <w:p>
      <w:pPr>
        <w:pStyle w:val="ListBullet"/>
      </w:pPr>
      <w:r>
        <w:t>Learners may overgeneralize from one demonstration poem.</w:t>
      </w:r>
    </w:p>
    <w:p>
      <w:r>
        <w:rPr>
          <w:b/>
        </w:rPr>
        <w:t xml:space="preserve">Reject these shortcuts: </w:t>
      </w:r>
      <w:r>
        <w:t>Tell the class their initial reading was objectively wrong.; Switch lexicons until the expected low value appears.; Ignore the aggregate because contextual language always overrides norms..</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A classroom should use VerseVAD to expand and challenge close reading, not replace interpretive dialogue with numerical authority.</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I5 · Assessment, Rubrics, and Calibration</w:t>
      </w:r>
    </w:p>
    <w:p>
      <w:r>
        <w:rPr>
          <w:b/>
        </w:rPr>
        <w:t xml:space="preserve">Module purpose. </w:t>
      </w:r>
      <w:r>
        <w:t>Assess software operation, methodological judgment, evidence interpretation, and literary synthesis with transparent standards and calibrated scoring.</w:t>
      </w:r>
    </w:p>
    <w:p>
      <w:pPr>
        <w:pStyle w:val="Heading2"/>
      </w:pPr>
      <w:r>
        <w:t>Learning objectives</w:t>
      </w:r>
    </w:p>
    <w:p>
      <w:pPr>
        <w:pStyle w:val="ListBullet"/>
      </w:pPr>
      <w:r>
        <w:t>Align assessment tasks with stated course outcomes.</w:t>
      </w:r>
    </w:p>
    <w:p>
      <w:pPr>
        <w:pStyle w:val="ListBullet"/>
      </w:pPr>
      <w:r>
        <w:t>Write one-best-answer items with plausible distractors.</w:t>
      </w:r>
    </w:p>
    <w:p>
      <w:pPr>
        <w:pStyle w:val="ListBullet"/>
      </w:pPr>
      <w:r>
        <w:t>Use analytic rubrics and critical-error rules.</w:t>
      </w:r>
    </w:p>
    <w:p>
      <w:pPr>
        <w:pStyle w:val="ListBullet"/>
      </w:pPr>
      <w:r>
        <w:t>Calibrate evaluators on anchor responses and document disagreements.</w:t>
      </w:r>
    </w:p>
    <w:p>
      <w:pPr>
        <w:pStyle w:val="Heading2"/>
      </w:pPr>
      <w:r>
        <w:t>Why this method matters</w:t>
      </w:r>
    </w:p>
    <w:p>
      <w:r>
        <w:t>Assess software operation, methodological judgment, evidence interpretation, and literary synthesis with transparent standards and calibrated scoring.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**Authorization or completion decisions require evidence of applied methodological judgment, not only an overall quiz or rubric total.**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I5 core concepts"/>
        <w:tblDescription w:val="Definitions and operational meanings for Assessment, Rubrics, and Calibration."/>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Multiple evidence sources</w:t>
            </w:r>
          </w:p>
        </w:tc>
        <w:tc>
          <w:tcPr>
            <w:tcW w:type="dxa" w:w="7160"/>
            <w:tcMar>
              <w:top w:w="75" w:type="dxa"/>
              <w:start w:w="100" w:type="dxa"/>
              <w:bottom w:w="75" w:type="dxa"/>
              <w:end w:w="100" w:type="dxa"/>
            </w:tcMar>
            <w:vAlign w:val="center"/>
          </w:tcPr>
          <w:p>
            <w:pPr>
              <w:spacing w:after="0" w:line="264" w:lineRule="auto"/>
            </w:pPr>
            <w:r>
              <w:rPr>
                <w:sz w:val="17"/>
              </w:rPr>
              <w:t>A course should normally assess conceptual understanding and applied use rather than credentialing from quiz recall alone.</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Critical errors</w:t>
            </w:r>
          </w:p>
        </w:tc>
        <w:tc>
          <w:tcPr>
            <w:tcW w:type="dxa" w:w="7160"/>
            <w:tcMar>
              <w:top w:w="75" w:type="dxa"/>
              <w:start w:w="100" w:type="dxa"/>
              <w:bottom w:w="75" w:type="dxa"/>
              <w:end w:w="100" w:type="dxa"/>
            </w:tcMar>
            <w:vAlign w:val="center"/>
          </w:tcPr>
          <w:p>
            <w:pPr>
              <w:spacing w:after="0" w:line="264" w:lineRule="auto"/>
            </w:pPr>
            <w:r>
              <w:rPr>
                <w:sz w:val="17"/>
              </w:rPr>
              <w:t>Claims that fabricate evidence, erase missingness, violate privacy, or turn association into diagnosis can require remediation regardless of total score.</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Calibration</w:t>
            </w:r>
          </w:p>
        </w:tc>
        <w:tc>
          <w:tcPr>
            <w:tcW w:type="dxa" w:w="7160"/>
            <w:tcMar>
              <w:top w:w="75" w:type="dxa"/>
              <w:start w:w="100" w:type="dxa"/>
              <w:bottom w:w="75" w:type="dxa"/>
              <w:end w:w="100" w:type="dxa"/>
            </w:tcMar>
            <w:vAlign w:val="center"/>
          </w:tcPr>
          <w:p>
            <w:pPr>
              <w:spacing w:after="0" w:line="264" w:lineRule="auto"/>
            </w:pPr>
            <w:r>
              <w:rPr>
                <w:sz w:val="17"/>
              </w:rPr>
              <w:t>Evaluators score shared samples, compare rationales, refine descriptors, and record decisions before high-stakes scoring.</w:t>
            </w:r>
          </w:p>
        </w:tc>
      </w:tr>
    </w:tbl>
    <w:p>
      <w:pPr>
        <w:pStyle w:val="Heading2"/>
      </w:pPr>
      <w:r>
        <w:t>Guided VerseVAD workflow</w:t>
      </w:r>
    </w:p>
    <w:p>
      <w:pPr>
        <w:pStyle w:val="ListNumber"/>
      </w:pPr>
      <w:r>
        <w:t>Map each outcome to an assessment task.</w:t>
      </w:r>
    </w:p>
    <w:p>
      <w:pPr>
        <w:pStyle w:val="ListNumber"/>
      </w:pPr>
      <w:r>
        <w:t>Specify observable evidence and performance levels.</w:t>
      </w:r>
    </w:p>
    <w:p>
      <w:pPr>
        <w:pStyle w:val="ListNumber"/>
      </w:pPr>
      <w:r>
        <w:t>Pilot items for ambiguity and unintended clues.</w:t>
      </w:r>
    </w:p>
    <w:p>
      <w:pPr>
        <w:pStyle w:val="ListNumber"/>
      </w:pPr>
      <w:r>
        <w:t>Select at least two anchor responses at different quality levels.</w:t>
      </w:r>
    </w:p>
    <w:p>
      <w:pPr>
        <w:pStyle w:val="ListNumber"/>
      </w:pPr>
      <w:r>
        <w:t>Calibrate, double-score a sample, and resolve material disagreement.</w:t>
      </w:r>
    </w:p>
    <w:p>
      <w:pPr>
        <w:pStyle w:val="ListNumber"/>
      </w:pPr>
      <w:r>
        <w:t>Record scores, remediation, reassessment, and version of the instrument securely.</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Two evaluators give the same capstone a score of 91 and 68. One rewards interpretive originality; the other penalizes missing coverage documentation heavily."/>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Two evaluators give the same capstone a score of 91 and 68. One rewards interpretive originality; the other penalizes missing coverage documentation heavily.</w:t>
            </w:r>
          </w:p>
        </w:tc>
      </w:tr>
    </w:tbl>
    <w:p>
      <w:pPr>
        <w:spacing w:after="0"/>
      </w:pPr>
    </w:p>
    <w:p>
      <w:pPr>
        <w:pStyle w:val="ListBullet"/>
      </w:pPr>
      <w:r>
        <w:t>Locate the rubric ambiguity.</w:t>
      </w:r>
    </w:p>
    <w:p>
      <w:pPr>
        <w:pStyle w:val="ListBullet"/>
      </w:pPr>
      <w:r>
        <w:t>Define the critical methodology threshold.</w:t>
      </w:r>
    </w:p>
    <w:p>
      <w:pPr>
        <w:pStyle w:val="ListBullet"/>
      </w:pPr>
      <w:r>
        <w:t>Plan calibration with anchor evidence.</w:t>
      </w:r>
    </w:p>
    <w:p>
      <w:pPr>
        <w:pStyle w:val="ListBullet"/>
      </w:pPr>
      <w:r>
        <w:t>Write a fair reassessment path.</w:t>
      </w:r>
    </w:p>
    <w:p>
      <w:pPr>
        <w:pStyle w:val="Heading2"/>
      </w:pPr>
      <w:r>
        <w:t>Interpretation protocol</w:t>
      </w:r>
    </w:p>
    <w:p>
      <w:pPr>
        <w:pStyle w:val="ListNumber"/>
      </w:pPr>
      <w:r>
        <w:t>Score the evidence described by the rubric.</w:t>
      </w:r>
    </w:p>
    <w:p>
      <w:pPr>
        <w:pStyle w:val="ListNumber"/>
      </w:pPr>
      <w:r>
        <w:t>Keep originality separate from methodological minimums.</w:t>
      </w:r>
    </w:p>
    <w:p>
      <w:pPr>
        <w:pStyle w:val="ListNumber"/>
      </w:pPr>
      <w:r>
        <w:t>Document judgment at category boundaries.</w:t>
      </w:r>
    </w:p>
    <w:p>
      <w:pPr>
        <w:pStyle w:val="ListNumber"/>
      </w:pPr>
      <w:r>
        <w:t>Use remediation diagnostically.</w:t>
      </w:r>
    </w:p>
    <w:p>
      <w:r>
        <w:rPr>
          <w:b/>
        </w:rPr>
        <w:t xml:space="preserve">Model decision. </w:t>
      </w:r>
      <w:r>
        <w:t>Clarify weighted criteria and critical requirements, calibrate both evaluators on anchor work, rescore with documented rationale, and offer remediation if required.</w:t>
      </w:r>
    </w:p>
    <w:p>
      <w:pPr>
        <w:pStyle w:val="Heading2"/>
      </w:pPr>
      <w:r>
        <w:t>Limitations and common failure modes</w:t>
      </w:r>
    </w:p>
    <w:p>
      <w:pPr>
        <w:pStyle w:val="ListBullet"/>
      </w:pPr>
      <w:r>
        <w:t>A highly detailed rubric can create false objectivity.</w:t>
      </w:r>
    </w:p>
    <w:p>
      <w:pPr>
        <w:pStyle w:val="ListBullet"/>
      </w:pPr>
      <w:r>
        <w:t>Single-rater scoring remains vulnerable to drift.</w:t>
      </w:r>
    </w:p>
    <w:p>
      <w:pPr>
        <w:pStyle w:val="ListBullet"/>
      </w:pPr>
      <w:r>
        <w:t>Multiple-choice performance cannot demonstrate software competence alone.</w:t>
      </w:r>
    </w:p>
    <w:p>
      <w:r>
        <w:rPr>
          <w:b/>
        </w:rPr>
        <w:t xml:space="preserve">Reject these shortcuts: </w:t>
      </w:r>
      <w:r>
        <w:t>Average the two scores without discussing the methodological disagreement.; Let interpretive originality compensate for fabricated or undocumented evidence.; Change the rubric after seeing the candidate's identity..</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Authorization or completion decisions require evidence of applied methodological judgment, not only an overall quiz or rubric total.</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I6 · Accessibility and Inclusive Instruction</w:t>
      </w:r>
    </w:p>
    <w:p>
      <w:r>
        <w:rPr>
          <w:b/>
        </w:rPr>
        <w:t xml:space="preserve">Module purpose. </w:t>
      </w:r>
      <w:r>
        <w:t>Design VerseVAD instruction that remains perceivable, operable, understandable, and flexible across disability, device, statistical background, and language experience.</w:t>
      </w:r>
    </w:p>
    <w:p>
      <w:pPr>
        <w:pStyle w:val="Heading2"/>
      </w:pPr>
      <w:r>
        <w:t>Learning objectives</w:t>
      </w:r>
    </w:p>
    <w:p>
      <w:pPr>
        <w:pStyle w:val="ListBullet"/>
      </w:pPr>
      <w:r>
        <w:t>Provide keyboard-accessible, high-contrast, text-equivalent instructional materials.</w:t>
      </w:r>
    </w:p>
    <w:p>
      <w:pPr>
        <w:pStyle w:val="ListBullet"/>
      </w:pPr>
      <w:r>
        <w:t>Describe charts and software actions verbally and in writing.</w:t>
      </w:r>
    </w:p>
    <w:p>
      <w:pPr>
        <w:pStyle w:val="ListBullet"/>
      </w:pPr>
      <w:r>
        <w:t>Offer equivalent participation routes without lowering outcomes.</w:t>
      </w:r>
    </w:p>
    <w:p>
      <w:pPr>
        <w:pStyle w:val="ListBullet"/>
      </w:pPr>
      <w:r>
        <w:t>Audit sample texts and discussion norms for cultural and linguistic inclusion.</w:t>
      </w:r>
    </w:p>
    <w:p>
      <w:pPr>
        <w:pStyle w:val="Heading2"/>
      </w:pPr>
      <w:r>
        <w:t>Why this method matters</w:t>
      </w:r>
    </w:p>
    <w:p>
      <w:r>
        <w:t>Design VerseVAD instruction that remains perceivable, operable, understandable, and flexible across disability, device, statistical background, and language experience.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**No required learning outcome should depend solely on color, sound, hover, fine pointer control, or an inaccessible document.**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I6 core concepts"/>
        <w:tblDescription w:val="Definitions and operational meanings for Accessibility and Inclusive Instruction."/>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Multiple means</w:t>
            </w:r>
          </w:p>
        </w:tc>
        <w:tc>
          <w:tcPr>
            <w:tcW w:type="dxa" w:w="7160"/>
            <w:tcMar>
              <w:top w:w="75" w:type="dxa"/>
              <w:start w:w="100" w:type="dxa"/>
              <w:bottom w:w="75" w:type="dxa"/>
              <w:end w:w="100" w:type="dxa"/>
            </w:tcMar>
            <w:vAlign w:val="center"/>
          </w:tcPr>
          <w:p>
            <w:pPr>
              <w:spacing w:after="0" w:line="264" w:lineRule="auto"/>
            </w:pPr>
            <w:r>
              <w:rPr>
                <w:sz w:val="17"/>
              </w:rPr>
              <w:t>Present essential information through spoken explanation, structured text, accessible tables, alt text, and demonstration—not color or pointer location alone.</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Equivalent access</w:t>
            </w:r>
          </w:p>
        </w:tc>
        <w:tc>
          <w:tcPr>
            <w:tcW w:type="dxa" w:w="7160"/>
            <w:tcMar>
              <w:top w:w="75" w:type="dxa"/>
              <w:start w:w="100" w:type="dxa"/>
              <w:bottom w:w="75" w:type="dxa"/>
              <w:end w:w="100" w:type="dxa"/>
            </w:tcMar>
            <w:vAlign w:val="center"/>
          </w:tcPr>
          <w:p>
            <w:pPr>
              <w:spacing w:after="0" w:line="264" w:lineRule="auto"/>
            </w:pPr>
            <w:r>
              <w:rPr>
                <w:sz w:val="17"/>
              </w:rPr>
              <w:t>Alternatives should assess the same analytical judgment even when interaction mode differs.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Inclusive examples</w:t>
            </w:r>
          </w:p>
        </w:tc>
        <w:tc>
          <w:tcPr>
            <w:tcW w:type="dxa" w:w="7160"/>
            <w:tcMar>
              <w:top w:w="75" w:type="dxa"/>
              <w:start w:w="100" w:type="dxa"/>
              <w:bottom w:w="75" w:type="dxa"/>
              <w:end w:w="100" w:type="dxa"/>
            </w:tcMar>
            <w:vAlign w:val="center"/>
          </w:tcPr>
          <w:p>
            <w:pPr>
              <w:spacing w:after="0" w:line="264" w:lineRule="auto"/>
            </w:pPr>
            <w:r>
              <w:rPr>
                <w:sz w:val="17"/>
              </w:rPr>
              <w:t>Dialectal, historical, multilingual, and noncanonical texts require discussion of model and lexicon coverage rather than deficit framing.</w:t>
            </w:r>
          </w:p>
        </w:tc>
      </w:tr>
    </w:tbl>
    <w:p>
      <w:pPr>
        <w:pStyle w:val="Heading2"/>
      </w:pPr>
      <w:r>
        <w:t>Guided VerseVAD workflow</w:t>
      </w:r>
    </w:p>
    <w:p>
      <w:pPr>
        <w:pStyle w:val="ListNumber"/>
      </w:pPr>
      <w:r>
        <w:t>Check heading structure, reading order, contrast, alt text, captions, and table headers.</w:t>
      </w:r>
    </w:p>
    <w:p>
      <w:pPr>
        <w:pStyle w:val="ListNumber"/>
      </w:pPr>
      <w:r>
        <w:t>Test keyboard navigation and zoom in the teaching environment.</w:t>
      </w:r>
    </w:p>
    <w:p>
      <w:pPr>
        <w:pStyle w:val="ListNumber"/>
      </w:pPr>
      <w:r>
        <w:t>Provide files and setup instructions in advance.</w:t>
      </w:r>
    </w:p>
    <w:p>
      <w:pPr>
        <w:pStyle w:val="ListNumber"/>
      </w:pPr>
      <w:r>
        <w:t>Narrate visual changes and avoid color-only distinctions.</w:t>
      </w:r>
    </w:p>
    <w:p>
      <w:pPr>
        <w:pStyle w:val="ListNumber"/>
      </w:pPr>
      <w:r>
        <w:t>Offer accessible text, recording, transcript, and equivalent assignment routes.</w:t>
      </w:r>
    </w:p>
    <w:p>
      <w:pPr>
        <w:pStyle w:val="ListNumber"/>
      </w:pPr>
      <w:r>
        <w:t>Solicit accommodation needs privately and revise based on feedback.</w:t>
      </w:r>
    </w:p>
    <w:p>
      <w:pPr>
        <w:keepNext/>
        <w:jc w:val="center"/>
      </w:pPr>
      <w:r/>
    </w:p>
    <w:p>
      <w:pPr>
        <w:pStyle w:val="Caption"/>
        <w:jc w:val="center"/>
      </w:pPr>
      <w:r>
        <w:t>Figure 3. Analytical relationships must be available through labels and description, not color alone.</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lesson asks learners to identify poems by colored VerseMap points, uses tiny screenshots without alt text, and grades participation through rapid mouse-based navigation."/>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lesson asks learners to identify poems by colored VerseMap points, uses tiny screenshots without alt text, and grades participation through rapid mouse-based navigation.</w:t>
            </w:r>
          </w:p>
        </w:tc>
      </w:tr>
    </w:tbl>
    <w:p>
      <w:pPr>
        <w:spacing w:after="0"/>
      </w:pPr>
    </w:p>
    <w:p>
      <w:pPr>
        <w:pStyle w:val="ListBullet"/>
      </w:pPr>
      <w:r>
        <w:t>Identify access barriers.</w:t>
      </w:r>
    </w:p>
    <w:p>
      <w:pPr>
        <w:pStyle w:val="ListBullet"/>
      </w:pPr>
      <w:r>
        <w:t>Redesign the map explanation with redundant labels.</w:t>
      </w:r>
    </w:p>
    <w:p>
      <w:pPr>
        <w:pStyle w:val="ListBullet"/>
      </w:pPr>
      <w:r>
        <w:t>Create an equivalent keyboard/text pathway.</w:t>
      </w:r>
    </w:p>
    <w:p>
      <w:pPr>
        <w:pStyle w:val="ListBullet"/>
      </w:pPr>
      <w:r>
        <w:t>Write useful alt text for one analytical chart.</w:t>
      </w:r>
    </w:p>
    <w:p>
      <w:pPr>
        <w:pStyle w:val="Heading2"/>
      </w:pPr>
      <w:r>
        <w:t>Interpretation protocol</w:t>
      </w:r>
    </w:p>
    <w:p>
      <w:pPr>
        <w:pStyle w:val="ListNumber"/>
      </w:pPr>
      <w:r>
        <w:t>Describe the analytical relationship, not decorative appearance.</w:t>
      </w:r>
    </w:p>
    <w:p>
      <w:pPr>
        <w:pStyle w:val="ListNumber"/>
      </w:pPr>
      <w:r>
        <w:t>Name points and groups in text as well as color.</w:t>
      </w:r>
    </w:p>
    <w:p>
      <w:pPr>
        <w:pStyle w:val="ListNumber"/>
      </w:pPr>
      <w:r>
        <w:t>Allow processing time for unfamiliar terminology.</w:t>
      </w:r>
    </w:p>
    <w:p>
      <w:pPr>
        <w:pStyle w:val="ListNumber"/>
      </w:pPr>
      <w:r>
        <w:t>Avoid treating lower coverage for a dialect as textual deficiency.</w:t>
      </w:r>
    </w:p>
    <w:p>
      <w:r>
        <w:rPr>
          <w:b/>
        </w:rPr>
        <w:t xml:space="preserve">Model decision. </w:t>
      </w:r>
      <w:r>
        <w:t>Add textual labels, verbal descriptions, structured accessible materials, and an equivalent non-mouse task that assesses the same VerseMap reasoning.</w:t>
      </w:r>
    </w:p>
    <w:p>
      <w:pPr>
        <w:pStyle w:val="Heading2"/>
      </w:pPr>
      <w:r>
        <w:t>Limitations and common failure modes</w:t>
      </w:r>
    </w:p>
    <w:p>
      <w:pPr>
        <w:pStyle w:val="ListBullet"/>
      </w:pPr>
      <w:r>
        <w:t>Automated accessibility checks cannot evaluate pedagogical clarity fully.</w:t>
      </w:r>
    </w:p>
    <w:p>
      <w:pPr>
        <w:pStyle w:val="ListBullet"/>
      </w:pPr>
      <w:r>
        <w:t>Audio pronunciation playback may not be accessible or appropriate for every learner.</w:t>
      </w:r>
    </w:p>
    <w:p>
      <w:pPr>
        <w:pStyle w:val="ListBullet"/>
      </w:pPr>
      <w:r>
        <w:t>Accessibility needs vary and require direct consultation.</w:t>
      </w:r>
    </w:p>
    <w:p>
      <w:r>
        <w:rPr>
          <w:b/>
        </w:rPr>
        <w:t xml:space="preserve">Reject these shortcuts: </w:t>
      </w:r>
      <w:r>
        <w:t>Tell learners to ask a classmate to interpret inaccessible charts.; Remove the analytical task entirely for anyone requesting accommodation.; Assume Streamlit accessibility automatically makes every teaching artifact accessible..</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No required learning outcome should depend solely on color, sound, hover, fine pointer control, or an inaccessible document.</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I7 · Teaching Limitations, Ethics, and Responsible Claims</w:t>
      </w:r>
    </w:p>
    <w:p>
      <w:r>
        <w:rPr>
          <w:b/>
        </w:rPr>
        <w:t xml:space="preserve">Module purpose. </w:t>
      </w:r>
      <w:r>
        <w:t>Make uncertainty, resource bias, copyright, privacy, and interpretive restraint active parts of instruction rather than end-of-course disclaimers.</w:t>
      </w:r>
    </w:p>
    <w:p>
      <w:pPr>
        <w:pStyle w:val="Heading2"/>
      </w:pPr>
      <w:r>
        <w:t>Learning objectives</w:t>
      </w:r>
    </w:p>
    <w:p>
      <w:pPr>
        <w:pStyle w:val="ListBullet"/>
      </w:pPr>
      <w:r>
        <w:t>Teach learners to inspect missingness and model fit before interpretation.</w:t>
      </w:r>
    </w:p>
    <w:p>
      <w:pPr>
        <w:pStyle w:val="ListBullet"/>
      </w:pPr>
      <w:r>
        <w:t>Separate lexical association from psychological, intentional, or evaluative claims.</w:t>
      </w:r>
    </w:p>
    <w:p>
      <w:pPr>
        <w:pStyle w:val="ListBullet"/>
      </w:pPr>
      <w:r>
        <w:t>Use lawful public-domain or permissioned instructional texts.</w:t>
      </w:r>
    </w:p>
    <w:p>
      <w:pPr>
        <w:pStyle w:val="ListBullet"/>
      </w:pPr>
      <w:r>
        <w:t>Protect learner writing, notes, and research data.</w:t>
      </w:r>
    </w:p>
    <w:p>
      <w:pPr>
        <w:pStyle w:val="Heading2"/>
      </w:pPr>
      <w:r>
        <w:t>Why this method matters</w:t>
      </w:r>
    </w:p>
    <w:p>
      <w:r>
        <w:t>Make uncertainty, resource bias, copyright, privacy, and interpretive restraint active parts of instruction rather than end-of-course disclaimers.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**Never infer or publicly disclose a learner's psychological state, identity, or intention from VerseVAD results.**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I7 core concepts"/>
        <w:tblDescription w:val="Definitions and operational meanings for Teaching Limitations, Ethics, and Responsible Claims."/>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Limitations as reasoning</w:t>
            </w:r>
          </w:p>
        </w:tc>
        <w:tc>
          <w:tcPr>
            <w:tcW w:type="dxa" w:w="7160"/>
            <w:tcMar>
              <w:top w:w="75" w:type="dxa"/>
              <w:start w:w="100" w:type="dxa"/>
              <w:bottom w:w="75" w:type="dxa"/>
              <w:end w:w="100" w:type="dxa"/>
            </w:tcMar>
            <w:vAlign w:val="center"/>
          </w:tcPr>
          <w:p>
            <w:pPr>
              <w:spacing w:after="0" w:line="264" w:lineRule="auto"/>
            </w:pPr>
            <w:r>
              <w:rPr>
                <w:sz w:val="17"/>
              </w:rPr>
              <w:t>A limitation should change the confidence, scope, or wording of a claim and may motivate a sensitivity check.</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Resource bias</w:t>
            </w:r>
          </w:p>
        </w:tc>
        <w:tc>
          <w:tcPr>
            <w:tcW w:type="dxa" w:w="7160"/>
            <w:tcMar>
              <w:top w:w="75" w:type="dxa"/>
              <w:start w:w="100" w:type="dxa"/>
              <w:bottom w:w="75" w:type="dxa"/>
              <w:end w:w="100" w:type="dxa"/>
            </w:tcMar>
            <w:vAlign w:val="center"/>
          </w:tcPr>
          <w:p>
            <w:pPr>
              <w:spacing w:after="0" w:line="264" w:lineRule="auto"/>
            </w:pPr>
            <w:r>
              <w:rPr>
                <w:sz w:val="17"/>
              </w:rPr>
              <w:t>Lexicons and models reflect populations, genres, periods, and annotation choices that may not fit all poetry equally.</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Ethical modeling</w:t>
            </w:r>
          </w:p>
        </w:tc>
        <w:tc>
          <w:tcPr>
            <w:tcW w:type="dxa" w:w="7160"/>
            <w:tcMar>
              <w:top w:w="75" w:type="dxa"/>
              <w:start w:w="100" w:type="dxa"/>
              <w:bottom w:w="75" w:type="dxa"/>
              <w:end w:w="100" w:type="dxa"/>
            </w:tcMar>
            <w:vAlign w:val="center"/>
          </w:tcPr>
          <w:p>
            <w:pPr>
              <w:spacing w:after="0" w:line="264" w:lineRule="auto"/>
            </w:pPr>
            <w:r>
              <w:rPr>
                <w:sz w:val="17"/>
              </w:rPr>
              <w:t>Instructor language establishes whether learners treat scores as evidence or as authority over poems and people.</w:t>
            </w:r>
          </w:p>
        </w:tc>
      </w:tr>
    </w:tbl>
    <w:p>
      <w:pPr>
        <w:pStyle w:val="Heading2"/>
      </w:pPr>
      <w:r>
        <w:t>Guided VerseVAD workflow</w:t>
      </w:r>
    </w:p>
    <w:p>
      <w:pPr>
        <w:pStyle w:val="ListNumber"/>
      </w:pPr>
      <w:r>
        <w:t>Choose a rights-cleared text and document its source.</w:t>
      </w:r>
    </w:p>
    <w:p>
      <w:pPr>
        <w:pStyle w:val="ListNumber"/>
      </w:pPr>
      <w:r>
        <w:t>Predict likely coverage or model limitations.</w:t>
      </w:r>
    </w:p>
    <w:p>
      <w:pPr>
        <w:pStyle w:val="ListNumber"/>
      </w:pPr>
      <w:r>
        <w:t>Model inspection of warnings and unmatched evidence.</w:t>
      </w:r>
    </w:p>
    <w:p>
      <w:pPr>
        <w:pStyle w:val="ListNumber"/>
      </w:pPr>
      <w:r>
        <w:t>Ask learners to revise an overclaim.</w:t>
      </w:r>
    </w:p>
    <w:p>
      <w:pPr>
        <w:pStyle w:val="ListNumber"/>
      </w:pPr>
      <w:r>
        <w:t>Keep private notes and learner work out of default exports.</w:t>
      </w:r>
    </w:p>
    <w:p>
      <w:pPr>
        <w:pStyle w:val="ListNumber"/>
      </w:pPr>
      <w:r>
        <w:t>Explain when to stop, seek expertise, or use another method.</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n instructor describes a low-dominance result in a student's unpublished poem as evidence that the student feels powerless, then exports class notes with the poem attached."/>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An instructor describes a low-dominance result in a student's unpublished poem as evidence that the student feels powerless, then exports class notes with the poem attached.</w:t>
            </w:r>
          </w:p>
        </w:tc>
      </w:tr>
    </w:tbl>
    <w:p>
      <w:pPr>
        <w:spacing w:after="0"/>
      </w:pPr>
    </w:p>
    <w:p>
      <w:pPr>
        <w:pStyle w:val="ListBullet"/>
      </w:pPr>
      <w:r>
        <w:t>Identify interpretive and privacy harms.</w:t>
      </w:r>
    </w:p>
    <w:p>
      <w:pPr>
        <w:pStyle w:val="ListBullet"/>
      </w:pPr>
      <w:r>
        <w:t>Write a corrective statement.</w:t>
      </w:r>
    </w:p>
    <w:p>
      <w:pPr>
        <w:pStyle w:val="ListBullet"/>
      </w:pPr>
      <w:r>
        <w:t>Design a safer text and notes workflow.</w:t>
      </w:r>
    </w:p>
    <w:p>
      <w:pPr>
        <w:pStyle w:val="ListBullet"/>
      </w:pPr>
      <w:r>
        <w:t>Plan learner remediation on lexical association language.</w:t>
      </w:r>
    </w:p>
    <w:p>
      <w:pPr>
        <w:pStyle w:val="Heading2"/>
      </w:pPr>
      <w:r>
        <w:t>Interpretation protocol</w:t>
      </w:r>
    </w:p>
    <w:p>
      <w:pPr>
        <w:pStyle w:val="ListNumber"/>
      </w:pPr>
      <w:r>
        <w:t>Discuss language evidence, not learner psychology.</w:t>
      </w:r>
    </w:p>
    <w:p>
      <w:pPr>
        <w:pStyle w:val="ListNumber"/>
      </w:pPr>
      <w:r>
        <w:t>Make privacy choices explicit before analysis.</w:t>
      </w:r>
    </w:p>
    <w:p>
      <w:pPr>
        <w:pStyle w:val="ListNumber"/>
      </w:pPr>
      <w:r>
        <w:t>Treat coverage inequity as a method issue.</w:t>
      </w:r>
    </w:p>
    <w:p>
      <w:pPr>
        <w:pStyle w:val="ListNumber"/>
      </w:pPr>
      <w:r>
        <w:t>Use uncertainty to invite close reading.</w:t>
      </w:r>
    </w:p>
    <w:p>
      <w:r>
        <w:rPr>
          <w:b/>
        </w:rPr>
        <w:t xml:space="preserve">Model decision. </w:t>
      </w:r>
      <w:r>
        <w:t>Withdraw the psychological claim, protect the unpublished text and notes, explain lexical dominance accurately, and use an authorized privacy-preserving teaching workflow.</w:t>
      </w:r>
    </w:p>
    <w:p>
      <w:pPr>
        <w:pStyle w:val="Heading2"/>
      </w:pPr>
      <w:r>
        <w:t>Limitations and common failure modes</w:t>
      </w:r>
    </w:p>
    <w:p>
      <w:pPr>
        <w:pStyle w:val="ListBullet"/>
      </w:pPr>
      <w:r>
        <w:t>Instructor enthusiasm can unintentionally amplify software authority.</w:t>
      </w:r>
    </w:p>
    <w:p>
      <w:pPr>
        <w:pStyle w:val="ListBullet"/>
      </w:pPr>
      <w:r>
        <w:t>Classroom consent may not authorize public redistribution.</w:t>
      </w:r>
    </w:p>
    <w:p>
      <w:pPr>
        <w:pStyle w:val="ListBullet"/>
      </w:pPr>
      <w:r>
        <w:t>Historical slurs or harmful content require contextual and support planning.</w:t>
      </w:r>
    </w:p>
    <w:p>
      <w:r>
        <w:rPr>
          <w:b/>
        </w:rPr>
        <w:t xml:space="preserve">Reject these shortcuts: </w:t>
      </w:r>
      <w:r>
        <w:t>Keep the example because authentic student work is pedagogically valuable.; Replace dominance with valence and repeat the claim.; Ask the student to opt out publicly after the export has been shared..</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Never infer or publicly disclose a learner's psychological state, identity, or intention from VerseVAD results.</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I8 · Curriculum Fidelity and Version Management</w:t>
      </w:r>
    </w:p>
    <w:p>
      <w:r>
        <w:rPr>
          <w:b/>
        </w:rPr>
        <w:t xml:space="preserve">Module purpose. </w:t>
      </w:r>
      <w:r>
        <w:t>Teach the approved course scope accurately while tracking software, resource, interface, screenshot, assessment, and document versions.</w:t>
      </w:r>
    </w:p>
    <w:p>
      <w:pPr>
        <w:pStyle w:val="Heading2"/>
      </w:pPr>
      <w:r>
        <w:t>Learning objectives</w:t>
      </w:r>
    </w:p>
    <w:p>
      <w:pPr>
        <w:pStyle w:val="ListBullet"/>
      </w:pPr>
      <w:r>
        <w:t>Distinguish owner-approved curriculum from local adaptation.</w:t>
      </w:r>
    </w:p>
    <w:p>
      <w:pPr>
        <w:pStyle w:val="ListBullet"/>
      </w:pPr>
      <w:r>
        <w:t>Verify all labels and method claims against the current implementation.</w:t>
      </w:r>
    </w:p>
    <w:p>
      <w:pPr>
        <w:pStyle w:val="ListBullet"/>
      </w:pPr>
      <w:r>
        <w:t>Retire or annotate obsolete screenshots and demonstrations.</w:t>
      </w:r>
    </w:p>
    <w:p>
      <w:pPr>
        <w:pStyle w:val="ListBullet"/>
      </w:pPr>
      <w:r>
        <w:t>Maintain a change log and revalidation record.</w:t>
      </w:r>
    </w:p>
    <w:p>
      <w:pPr>
        <w:pStyle w:val="Heading2"/>
      </w:pPr>
      <w:r>
        <w:t>Why this method matters</w:t>
      </w:r>
    </w:p>
    <w:p>
      <w:r>
        <w:t>Teach the approved course scope accurately while tracking software, resource, interface, screenshot, assessment, and document versions.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**An authorized instructor must never knowingly teach roadmap intentions or obsolete behavior as current VerseVAD functionality.**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I8 core concepts"/>
        <w:tblDescription w:val="Definitions and operational meanings for Curriculum Fidelity and Version Management."/>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Fidelity with adaptation</w:t>
            </w:r>
          </w:p>
        </w:tc>
        <w:tc>
          <w:tcPr>
            <w:tcW w:type="dxa" w:w="7160"/>
            <w:tcMar>
              <w:top w:w="75" w:type="dxa"/>
              <w:start w:w="100" w:type="dxa"/>
              <w:bottom w:w="75" w:type="dxa"/>
              <w:end w:w="100" w:type="dxa"/>
            </w:tcMar>
            <w:vAlign w:val="center"/>
          </w:tcPr>
          <w:p>
            <w:pPr>
              <w:spacing w:after="0" w:line="264" w:lineRule="auto"/>
            </w:pPr>
            <w:r>
              <w:rPr>
                <w:sz w:val="17"/>
              </w:rPr>
              <w:t>Examples, pacing, and activities may adapt to learners, but competency standards, critical safeguards, and calculation descriptions require owner approval.</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Version matrix</w:t>
            </w:r>
          </w:p>
        </w:tc>
        <w:tc>
          <w:tcPr>
            <w:tcW w:type="dxa" w:w="7160"/>
            <w:tcMar>
              <w:top w:w="75" w:type="dxa"/>
              <w:start w:w="100" w:type="dxa"/>
              <w:bottom w:w="75" w:type="dxa"/>
              <w:end w:w="100" w:type="dxa"/>
            </w:tcMar>
            <w:vAlign w:val="center"/>
          </w:tcPr>
          <w:p>
            <w:pPr>
              <w:spacing w:after="0" w:line="264" w:lineRule="auto"/>
            </w:pPr>
            <w:r>
              <w:rPr>
                <w:sz w:val="17"/>
              </w:rPr>
              <w:t>A course release should identify training version, VerseVAD version or commit, resource versions, assessment version, and last validation date.</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Historical accuracy</w:t>
            </w:r>
          </w:p>
        </w:tc>
        <w:tc>
          <w:tcPr>
            <w:tcW w:type="dxa" w:w="7160"/>
            <w:tcMar>
              <w:top w:w="75" w:type="dxa"/>
              <w:start w:w="100" w:type="dxa"/>
              <w:bottom w:w="75" w:type="dxa"/>
              <w:end w:w="100" w:type="dxa"/>
            </w:tcMar>
            <w:vAlign w:val="center"/>
          </w:tcPr>
          <w:p>
            <w:pPr>
              <w:spacing w:after="0" w:line="264" w:lineRule="auto"/>
            </w:pPr>
            <w:r>
              <w:rPr>
                <w:sz w:val="17"/>
              </w:rPr>
              <w:t>A method change may require updated instruction and reassessment even when an interface label appears unchanged.</w:t>
            </w:r>
          </w:p>
        </w:tc>
      </w:tr>
    </w:tbl>
    <w:p>
      <w:pPr>
        <w:pStyle w:val="Heading2"/>
      </w:pPr>
      <w:r>
        <w:t>Guided VerseVAD workflow</w:t>
      </w:r>
    </w:p>
    <w:p>
      <w:pPr>
        <w:pStyle w:val="ListNumber"/>
      </w:pPr>
      <w:r>
        <w:t>Check release notes, methodology, user guide, and live labels before teaching.</w:t>
      </w:r>
    </w:p>
    <w:p>
      <w:pPr>
        <w:pStyle w:val="ListNumber"/>
      </w:pPr>
      <w:r>
        <w:t>Run critical workflows and screenshots on the target environment.</w:t>
      </w:r>
    </w:p>
    <w:p>
      <w:pPr>
        <w:pStyle w:val="ListNumber"/>
      </w:pPr>
      <w:r>
        <w:t>Map changes to lessons, assessment items, answer rationales, and rubrics.</w:t>
      </w:r>
    </w:p>
    <w:p>
      <w:pPr>
        <w:pStyle w:val="ListNumber"/>
      </w:pPr>
      <w:r>
        <w:t>Revise materials under version control outside the public app repository as authorized.</w:t>
      </w:r>
    </w:p>
    <w:p>
      <w:pPr>
        <w:pStyle w:val="ListNumber"/>
      </w:pPr>
      <w:r>
        <w:t>Obtain owner review for substantive method or credential changes.</w:t>
      </w:r>
    </w:p>
    <w:p>
      <w:pPr>
        <w:pStyle w:val="ListNumber"/>
      </w:pPr>
      <w:r>
        <w:t>Archive prior course versions and record who received updates.</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n instructor reuses a recorded lesson that calls the workspace Project/Corpus, teaches autosaved drafts, and says VerseMap includes sound features, although the current release differs."/>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An instructor reuses a recorded lesson that calls the workspace Project/Corpus, teaches autosaved drafts, and says VerseMap includes sound features, although the current release differs.</w:t>
            </w:r>
          </w:p>
        </w:tc>
      </w:tr>
    </w:tbl>
    <w:p>
      <w:pPr>
        <w:spacing w:after="0"/>
      </w:pPr>
    </w:p>
    <w:p>
      <w:pPr>
        <w:pStyle w:val="ListBullet"/>
      </w:pPr>
      <w:r>
        <w:t>Identify each obsolete claim.</w:t>
      </w:r>
    </w:p>
    <w:p>
      <w:pPr>
        <w:pStyle w:val="ListBullet"/>
      </w:pPr>
      <w:r>
        <w:t>Design a validation checklist.</w:t>
      </w:r>
    </w:p>
    <w:p>
      <w:pPr>
        <w:pStyle w:val="ListBullet"/>
      </w:pPr>
      <w:r>
        <w:t>Classify cosmetic versus substantive updates.</w:t>
      </w:r>
    </w:p>
    <w:p>
      <w:pPr>
        <w:pStyle w:val="ListBullet"/>
      </w:pPr>
      <w:r>
        <w:t>Write a learner correction notice.</w:t>
      </w:r>
    </w:p>
    <w:p>
      <w:pPr>
        <w:pStyle w:val="Heading2"/>
      </w:pPr>
      <w:r>
        <w:t>Interpretation protocol</w:t>
      </w:r>
    </w:p>
    <w:p>
      <w:pPr>
        <w:pStyle w:val="ListNumber"/>
      </w:pPr>
      <w:r>
        <w:t>Current implementation governs current behavior.</w:t>
      </w:r>
    </w:p>
    <w:p>
      <w:pPr>
        <w:pStyle w:val="ListNumber"/>
      </w:pPr>
      <w:r>
        <w:t>Document known roadmap features as future, not available.</w:t>
      </w:r>
    </w:p>
    <w:p>
      <w:pPr>
        <w:pStyle w:val="ListNumber"/>
      </w:pPr>
      <w:r>
        <w:t>Retain historical materials for audit but mark them obsolete.</w:t>
      </w:r>
    </w:p>
    <w:p>
      <w:pPr>
        <w:pStyle w:val="ListNumber"/>
      </w:pPr>
      <w:r>
        <w:t>Do not modify credential standards locally.</w:t>
      </w:r>
    </w:p>
    <w:p>
      <w:r>
        <w:rPr>
          <w:b/>
        </w:rPr>
        <w:t xml:space="preserve">Model decision. </w:t>
      </w:r>
      <w:r>
        <w:t>Suspend the obsolete recording, validate every workflow and method against the current release, issue corrections, update linked assessment content, and seek owner approval where required.</w:t>
      </w:r>
    </w:p>
    <w:p>
      <w:pPr>
        <w:pStyle w:val="Heading2"/>
      </w:pPr>
      <w:r>
        <w:t>Limitations and common failure modes</w:t>
      </w:r>
    </w:p>
    <w:p>
      <w:pPr>
        <w:pStyle w:val="ListBullet"/>
      </w:pPr>
      <w:r>
        <w:t>Interface screenshots age quickly.</w:t>
      </w:r>
    </w:p>
    <w:p>
      <w:pPr>
        <w:pStyle w:val="ListBullet"/>
      </w:pPr>
      <w:r>
        <w:t>Cloud and local editions may differ in persistence or installed resources.</w:t>
      </w:r>
    </w:p>
    <w:p>
      <w:pPr>
        <w:pStyle w:val="ListBullet"/>
      </w:pPr>
      <w:r>
        <w:t>A passing automated test does not validate instructional wording by itself.</w:t>
      </w:r>
    </w:p>
    <w:p>
      <w:r>
        <w:rPr>
          <w:b/>
        </w:rPr>
        <w:t xml:space="preserve">Reject these shortcuts: </w:t>
      </w:r>
      <w:r>
        <w:t>Keep the recording because learners can infer the current labels.; Update screenshots only and leave method claims unchanged.; Invent a local feature explanation to bridge the version difference..</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An authorized instructor must never knowingly teach roadmap intentions or obsolete behavior as current VerseVAD functionality.</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I9 · Support, Boundaries, and Escalation</w:t>
      </w:r>
    </w:p>
    <w:p>
      <w:r>
        <w:rPr>
          <w:b/>
        </w:rPr>
        <w:t xml:space="preserve">Module purpose. </w:t>
      </w:r>
      <w:r>
        <w:t>Provide effective learner support while distinguishing installation help, methodological teaching, software defects, data licensing, research consultation, and legal or accessibility escalation.</w:t>
      </w:r>
    </w:p>
    <w:p>
      <w:pPr>
        <w:pStyle w:val="Heading2"/>
      </w:pPr>
      <w:r>
        <w:t>Learning objectives</w:t>
      </w:r>
    </w:p>
    <w:p>
      <w:pPr>
        <w:pStyle w:val="ListBullet"/>
      </w:pPr>
      <w:r>
        <w:t>Triage a report with reproducible information.</w:t>
      </w:r>
    </w:p>
    <w:p>
      <w:pPr>
        <w:pStyle w:val="ListBullet"/>
      </w:pPr>
      <w:r>
        <w:t>Use documentation and diagnostics before improvising solutions.</w:t>
      </w:r>
    </w:p>
    <w:p>
      <w:pPr>
        <w:pStyle w:val="ListBullet"/>
      </w:pPr>
      <w:r>
        <w:t>Protect texts, lexicons, logs, and personal data in support exchanges.</w:t>
      </w:r>
    </w:p>
    <w:p>
      <w:pPr>
        <w:pStyle w:val="ListBullet"/>
      </w:pPr>
      <w:r>
        <w:t>Escalate issues outside instructional authority.</w:t>
      </w:r>
    </w:p>
    <w:p>
      <w:pPr>
        <w:pStyle w:val="Heading2"/>
      </w:pPr>
      <w:r>
        <w:t>Why this method matters</w:t>
      </w:r>
    </w:p>
    <w:p>
      <w:r>
        <w:t>Provide effective learner support while distinguishing installation help, methodological teaching, software defects, data licensing, research consultation, and legal or accessibility escalation.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**Support convenience never justifies unnecessary collection or redistribution of private texts, licensed datasets, databases, or notes.**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I9 core concepts"/>
        <w:tblDescription w:val="Definitions and operational meanings for Support, Boundaries, and Escalation."/>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Support taxonomy</w:t>
            </w:r>
          </w:p>
        </w:tc>
        <w:tc>
          <w:tcPr>
            <w:tcW w:type="dxa" w:w="7160"/>
            <w:tcMar>
              <w:top w:w="75" w:type="dxa"/>
              <w:start w:w="100" w:type="dxa"/>
              <w:bottom w:w="75" w:type="dxa"/>
              <w:end w:w="100" w:type="dxa"/>
            </w:tcMar>
            <w:vAlign w:val="center"/>
          </w:tcPr>
          <w:p>
            <w:pPr>
              <w:spacing w:after="0" w:line="264" w:lineRule="auto"/>
            </w:pPr>
            <w:r>
              <w:rPr>
                <w:sz w:val="17"/>
              </w:rPr>
              <w:t>Setup, resource availability, interface use, method interpretation, reproducible defect, data rights, and research design require different responses.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Minimum reproducible record</w:t>
            </w:r>
          </w:p>
        </w:tc>
        <w:tc>
          <w:tcPr>
            <w:tcW w:type="dxa" w:w="7160"/>
            <w:tcMar>
              <w:top w:w="75" w:type="dxa"/>
              <w:start w:w="100" w:type="dxa"/>
              <w:bottom w:w="75" w:type="dxa"/>
              <w:end w:w="100" w:type="dxa"/>
            </w:tcMar>
            <w:vAlign w:val="center"/>
          </w:tcPr>
          <w:p>
            <w:pPr>
              <w:spacing w:after="0" w:line="264" w:lineRule="auto"/>
            </w:pPr>
            <w:r>
              <w:rPr>
                <w:sz w:val="17"/>
              </w:rPr>
              <w:t>Collect software version, operating system, local/cloud edition, workspace, exact steps, visible message, terminal log excerpt, and a safe minimal text.</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Boundary language</w:t>
            </w:r>
          </w:p>
        </w:tc>
        <w:tc>
          <w:tcPr>
            <w:tcW w:type="dxa" w:w="7160"/>
            <w:tcMar>
              <w:top w:w="75" w:type="dxa"/>
              <w:start w:w="100" w:type="dxa"/>
              <w:bottom w:w="75" w:type="dxa"/>
              <w:end w:w="100" w:type="dxa"/>
            </w:tcMar>
            <w:vAlign w:val="center"/>
          </w:tcPr>
          <w:p>
            <w:pPr>
              <w:spacing w:after="0" w:line="264" w:lineRule="auto"/>
            </w:pPr>
            <w:r>
              <w:rPr>
                <w:sz w:val="17"/>
              </w:rPr>
              <w:t>An instructor may explain documented methods and workflows but should not promise legal advice, clinical interpretation, or undocumented software behavior.</w:t>
            </w:r>
          </w:p>
        </w:tc>
      </w:tr>
    </w:tbl>
    <w:p>
      <w:pPr>
        <w:pStyle w:val="Heading2"/>
      </w:pPr>
      <w:r>
        <w:t>Guided VerseVAD workflow</w:t>
      </w:r>
    </w:p>
    <w:p>
      <w:pPr>
        <w:pStyle w:val="ListNumber"/>
      </w:pPr>
      <w:r>
        <w:t>Classify the issue and assess privacy sensitivity.</w:t>
      </w:r>
    </w:p>
    <w:p>
      <w:pPr>
        <w:pStyle w:val="ListNumber"/>
      </w:pPr>
      <w:r>
        <w:t>Reproduce with a safe public-domain or synthetic text.</w:t>
      </w:r>
    </w:p>
    <w:p>
      <w:pPr>
        <w:pStyle w:val="ListNumber"/>
      </w:pPr>
      <w:r>
        <w:t>Check installation diagnostics, documentation, and known limitations.</w:t>
      </w:r>
    </w:p>
    <w:p>
      <w:pPr>
        <w:pStyle w:val="ListNumber"/>
      </w:pPr>
      <w:r>
        <w:t>Provide a reversible workaround only when method integrity remains intact.</w:t>
      </w:r>
    </w:p>
    <w:p>
      <w:pPr>
        <w:pStyle w:val="ListNumber"/>
      </w:pPr>
      <w:r>
        <w:t>Escalate defects with a concise reproducible report.</w:t>
      </w:r>
    </w:p>
    <w:p>
      <w:pPr>
        <w:pStyle w:val="ListNumber"/>
      </w:pPr>
      <w:r>
        <w:t>Follow up, document resolution, and update teaching materials if needed.</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learner emails a licensed lexicon, an unpublished poem, and a full project database to ask why one coverage value is low."/>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learner emails a licensed lexicon, an unpublished poem, and a full project database to ask why one coverage value is low.</w:t>
            </w:r>
          </w:p>
        </w:tc>
      </w:tr>
    </w:tbl>
    <w:p>
      <w:pPr>
        <w:spacing w:after="0"/>
      </w:pPr>
    </w:p>
    <w:p>
      <w:pPr>
        <w:pStyle w:val="ListBullet"/>
      </w:pPr>
      <w:r>
        <w:t>Design a privacy-preserving response.</w:t>
      </w:r>
    </w:p>
    <w:p>
      <w:pPr>
        <w:pStyle w:val="ListBullet"/>
      </w:pPr>
      <w:r>
        <w:t>Request the minimum safe diagnostic information.</w:t>
      </w:r>
    </w:p>
    <w:p>
      <w:pPr>
        <w:pStyle w:val="ListBullet"/>
      </w:pPr>
      <w:r>
        <w:t>Identify what should be deleted or secured.</w:t>
      </w:r>
    </w:p>
    <w:p>
      <w:pPr>
        <w:pStyle w:val="ListBullet"/>
      </w:pPr>
      <w:r>
        <w:t>Write an escalation record using synthetic evidence.</w:t>
      </w:r>
    </w:p>
    <w:p>
      <w:pPr>
        <w:pStyle w:val="Heading2"/>
      </w:pPr>
      <w:r>
        <w:t>Interpretation protocol</w:t>
      </w:r>
    </w:p>
    <w:p>
      <w:pPr>
        <w:pStyle w:val="ListNumber"/>
      </w:pPr>
      <w:r>
        <w:t>Do not request complete private data by default.</w:t>
      </w:r>
    </w:p>
    <w:p>
      <w:pPr>
        <w:pStyle w:val="ListNumber"/>
      </w:pPr>
      <w:r>
        <w:t>Distinguish expected low coverage from a software defect.</w:t>
      </w:r>
    </w:p>
    <w:p>
      <w:pPr>
        <w:pStyle w:val="ListNumber"/>
      </w:pPr>
      <w:r>
        <w:t>Record workarounds and their methodological consequences.</w:t>
      </w:r>
    </w:p>
    <w:p>
      <w:pPr>
        <w:pStyle w:val="ListNumber"/>
      </w:pPr>
      <w:r>
        <w:t>Close the loop with the learner.</w:t>
      </w:r>
    </w:p>
    <w:p>
      <w:r>
        <w:rPr>
          <w:b/>
        </w:rPr>
        <w:t xml:space="preserve">Model decision. </w:t>
      </w:r>
      <w:r>
        <w:t>Ask the learner to stop transmitting sensitive files, secure or delete received copies, reproduce with a safe minimal example, and escalate only the necessary diagnostic record.</w:t>
      </w:r>
    </w:p>
    <w:p>
      <w:pPr>
        <w:pStyle w:val="Heading2"/>
      </w:pPr>
      <w:r>
        <w:t>Limitations and common failure modes</w:t>
      </w:r>
    </w:p>
    <w:p>
      <w:pPr>
        <w:pStyle w:val="ListBullet"/>
      </w:pPr>
      <w:r>
        <w:t>Some defects cannot be reproduced without sensitive data.</w:t>
      </w:r>
    </w:p>
    <w:p>
      <w:pPr>
        <w:pStyle w:val="ListBullet"/>
      </w:pPr>
      <w:r>
        <w:t>Instructors may not control institutional devices or networks.</w:t>
      </w:r>
    </w:p>
    <w:p>
      <w:pPr>
        <w:pStyle w:val="ListBullet"/>
      </w:pPr>
      <w:r>
        <w:t>A workaround can alter results and must be disclosed.</w:t>
      </w:r>
    </w:p>
    <w:p>
      <w:r>
        <w:rPr>
          <w:b/>
        </w:rPr>
        <w:t xml:space="preserve">Reject these shortcuts: </w:t>
      </w:r>
      <w:r>
        <w:t>Upload the materials to a public issue so developers can inspect them.; Return a modified lexicon copy as a quick fix.; Diagnose the issue from the low coverage value without checking settings or evidence..</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Support convenience never justifies unnecessary collection or redistribution of private texts, licensed datasets, databases, or notes.</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I10 · Authorization Practicum</w:t>
      </w:r>
    </w:p>
    <w:p>
      <w:r>
        <w:rPr>
          <w:b/>
        </w:rPr>
        <w:t xml:space="preserve">Module purpose. </w:t>
      </w:r>
      <w:r>
        <w:t>Demonstrate scope-appropriate teaching, technical accuracy, inclusive facilitation, assessment judgment, and ethical practice in an observed instructional session.</w:t>
      </w:r>
    </w:p>
    <w:p>
      <w:pPr>
        <w:pStyle w:val="Heading2"/>
      </w:pPr>
      <w:r>
        <w:t>Learning objectives</w:t>
      </w:r>
    </w:p>
    <w:p>
      <w:pPr>
        <w:pStyle w:val="ListBullet"/>
      </w:pPr>
      <w:r>
        <w:t>Plan and teach a 25–35 minute standards-aligned microteaching session.</w:t>
      </w:r>
    </w:p>
    <w:p>
      <w:pPr>
        <w:pStyle w:val="ListBullet"/>
      </w:pPr>
      <w:r>
        <w:t>Demonstrate a live or recorded VerseVAD workflow with accessible materials.</w:t>
      </w:r>
    </w:p>
    <w:p>
      <w:pPr>
        <w:pStyle w:val="ListBullet"/>
      </w:pPr>
      <w:r>
        <w:t>Assess learner reasoning and provide calibrated feedback.</w:t>
      </w:r>
    </w:p>
    <w:p>
      <w:pPr>
        <w:pStyle w:val="ListBullet"/>
      </w:pPr>
      <w:r>
        <w:t>Reflect on evidence and identify concrete revision priorities.</w:t>
      </w:r>
    </w:p>
    <w:p>
      <w:pPr>
        <w:pStyle w:val="Heading2"/>
      </w:pPr>
      <w:r>
        <w:t>Why this method matters</w:t>
      </w:r>
    </w:p>
    <w:p>
      <w:r>
        <w:t>Demonstrate scope-appropriate teaching, technical accuracy, inclusive facilitation, assessment judgment, and ethical practice in an observed instructional session.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**A satisfactory practicum and absence of critical errors are required; this training package itself does not issue authorization or a certificate.**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I10 core concepts"/>
        <w:tblDescription w:val="Definitions and operational meanings for Authorization Practicum."/>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Scope-specific authorization</w:t>
            </w:r>
          </w:p>
        </w:tc>
        <w:tc>
          <w:tcPr>
            <w:tcW w:type="dxa" w:w="7160"/>
            <w:tcMar>
              <w:top w:w="75" w:type="dxa"/>
              <w:start w:w="100" w:type="dxa"/>
              <w:bottom w:w="75" w:type="dxa"/>
              <w:end w:w="100" w:type="dxa"/>
            </w:tcMar>
            <w:vAlign w:val="center"/>
          </w:tcPr>
          <w:p>
            <w:pPr>
              <w:spacing w:after="0" w:line="264" w:lineRule="auto"/>
            </w:pPr>
            <w:r>
              <w:rPr>
                <w:sz w:val="17"/>
              </w:rPr>
              <w:t>Foundations, Analyst Level 1, and Analyst Level 2 teaching require prerequisite competence appropriate to the intended scope.</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Observed performance</w:t>
            </w:r>
          </w:p>
        </w:tc>
        <w:tc>
          <w:tcPr>
            <w:tcW w:type="dxa" w:w="7160"/>
            <w:tcMar>
              <w:top w:w="75" w:type="dxa"/>
              <w:start w:w="100" w:type="dxa"/>
              <w:bottom w:w="75" w:type="dxa"/>
              <w:end w:w="100" w:type="dxa"/>
            </w:tcMar>
            <w:vAlign w:val="center"/>
          </w:tcPr>
          <w:p>
            <w:pPr>
              <w:spacing w:after="0" w:line="264" w:lineRule="auto"/>
            </w:pPr>
            <w:r>
              <w:rPr>
                <w:sz w:val="17"/>
              </w:rPr>
              <w:t>Completion requires satisfactory demonstration and no critical error; written knowledge alone is insufficient.</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Continuing calibration</w:t>
            </w:r>
          </w:p>
        </w:tc>
        <w:tc>
          <w:tcPr>
            <w:tcW w:type="dxa" w:w="7160"/>
            <w:tcMar>
              <w:top w:w="75" w:type="dxa"/>
              <w:start w:w="100" w:type="dxa"/>
              <w:bottom w:w="75" w:type="dxa"/>
              <w:end w:w="100" w:type="dxa"/>
            </w:tcMar>
            <w:vAlign w:val="center"/>
          </w:tcPr>
          <w:p>
            <w:pPr>
              <w:spacing w:after="0" w:line="264" w:lineRule="auto"/>
            </w:pPr>
            <w:r>
              <w:rPr>
                <w:sz w:val="17"/>
              </w:rPr>
              <w:t>Authorization depends on current materials, secure records, update participation, and periodic calibration, subject to owner governance.</w:t>
            </w:r>
          </w:p>
        </w:tc>
      </w:tr>
    </w:tbl>
    <w:p>
      <w:pPr>
        <w:pStyle w:val="Heading2"/>
      </w:pPr>
      <w:r>
        <w:t>Guided VerseVAD workflow</w:t>
      </w:r>
    </w:p>
    <w:p>
      <w:pPr>
        <w:pStyle w:val="ListNumber"/>
      </w:pPr>
      <w:r>
        <w:t>Select one approved learning outcome and public-domain case.</w:t>
      </w:r>
    </w:p>
    <w:p>
      <w:pPr>
        <w:pStyle w:val="ListNumber"/>
      </w:pPr>
      <w:r>
        <w:t>Submit a lesson plan, accessible learner materials, and assessment criterion.</w:t>
      </w:r>
    </w:p>
    <w:p>
      <w:pPr>
        <w:pStyle w:val="ListNumber"/>
      </w:pPr>
      <w:r>
        <w:t>Complete technical and privacy preflight.</w:t>
      </w:r>
    </w:p>
    <w:p>
      <w:pPr>
        <w:pStyle w:val="ListNumber"/>
      </w:pPr>
      <w:r>
        <w:t>Teach the observed session and respond to learner questions.</w:t>
      </w:r>
    </w:p>
    <w:p>
      <w:pPr>
        <w:pStyle w:val="ListNumber"/>
      </w:pPr>
      <w:r>
        <w:t>Score a sample learner response using the official rubric.</w:t>
      </w:r>
    </w:p>
    <w:p>
      <w:pPr>
        <w:pStyle w:val="ListNumber"/>
      </w:pPr>
      <w:r>
        <w:t>Submit reflection, revisions, and any required remediation evidence.</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candidate gives an engaging demonstration but calls PoetryID a definitive emotional classification and cannot explain the coverage denominator when asked."/>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candidate gives an engaging demonstration but calls PoetryID a definitive emotional classification and cannot explain the coverage denominator when asked.</w:t>
            </w:r>
          </w:p>
        </w:tc>
      </w:tr>
    </w:tbl>
    <w:p>
      <w:pPr>
        <w:spacing w:after="0"/>
      </w:pPr>
    </w:p>
    <w:p>
      <w:pPr>
        <w:pStyle w:val="ListBullet"/>
      </w:pPr>
      <w:r>
        <w:t>Apply the critical-error rule.</w:t>
      </w:r>
    </w:p>
    <w:p>
      <w:pPr>
        <w:pStyle w:val="ListBullet"/>
      </w:pPr>
      <w:r>
        <w:t>Identify targeted remediation.</w:t>
      </w:r>
    </w:p>
    <w:p>
      <w:pPr>
        <w:pStyle w:val="ListBullet"/>
      </w:pPr>
      <w:r>
        <w:t>Design a reassessment demonstration.</w:t>
      </w:r>
    </w:p>
    <w:p>
      <w:pPr>
        <w:pStyle w:val="ListBullet"/>
      </w:pPr>
      <w:r>
        <w:t>Separate strengths from authorization readiness.</w:t>
      </w:r>
    </w:p>
    <w:p>
      <w:pPr>
        <w:pStyle w:val="Heading2"/>
      </w:pPr>
      <w:r>
        <w:t>Interpretation protocol</w:t>
      </w:r>
    </w:p>
    <w:p>
      <w:pPr>
        <w:pStyle w:val="ListNumber"/>
      </w:pPr>
      <w:r>
        <w:t>Score evidence against observable criteria.</w:t>
      </w:r>
    </w:p>
    <w:p>
      <w:pPr>
        <w:pStyle w:val="ListNumber"/>
      </w:pPr>
      <w:r>
        <w:t>Do not let presentation polish compensate for a critical method error.</w:t>
      </w:r>
    </w:p>
    <w:p>
      <w:pPr>
        <w:pStyle w:val="ListNumber"/>
      </w:pPr>
      <w:r>
        <w:t>Make remediation specific and assessable.</w:t>
      </w:r>
    </w:p>
    <w:p>
      <w:pPr>
        <w:pStyle w:val="ListNumber"/>
      </w:pPr>
      <w:r>
        <w:t>Do not issue a certificate or authorization automatically.</w:t>
      </w:r>
    </w:p>
    <w:p>
      <w:r>
        <w:rPr>
          <w:b/>
        </w:rPr>
        <w:t xml:space="preserve">Model decision. </w:t>
      </w:r>
      <w:r>
        <w:t>Withhold authorization readiness, document the critical method error, require targeted retraining and a new observed explanation of PoetryID and coverage, and preserve the candidate's demonstrated strengths.</w:t>
      </w:r>
    </w:p>
    <w:p>
      <w:pPr>
        <w:pStyle w:val="Heading2"/>
      </w:pPr>
      <w:r>
        <w:t>Limitations and common failure modes</w:t>
      </w:r>
    </w:p>
    <w:p>
      <w:pPr>
        <w:pStyle w:val="ListBullet"/>
      </w:pPr>
      <w:r>
        <w:t>One observed lesson samples only part of teaching practice.</w:t>
      </w:r>
    </w:p>
    <w:p>
      <w:pPr>
        <w:pStyle w:val="ListBullet"/>
      </w:pPr>
      <w:r>
        <w:t>Observer bias requires calibration and documented evidence.</w:t>
      </w:r>
    </w:p>
    <w:p>
      <w:pPr>
        <w:pStyle w:val="ListBullet"/>
      </w:pPr>
      <w:r>
        <w:t>Authorization agreements and credentials require separate owner-approved administration.</w:t>
      </w:r>
    </w:p>
    <w:p>
      <w:r>
        <w:rPr>
          <w:b/>
        </w:rPr>
        <w:t xml:space="preserve">Reject these shortcuts: </w:t>
      </w:r>
      <w:r>
        <w:t>Average strong presentation scores with the method error and pass the candidate.; Issue conditional authorization without documented remediation.; Fail the candidate permanently without a defined reassessment path..</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A satisfactory practicum and absence of critical errors are required; this training package itself does not issue authorization or a certificate.</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Course Synthesis and Method Reference</w:t>
      </w:r>
    </w:p>
    <w:p>
      <w:r>
        <w:t>Use the following protocol whenever a new question, poem, corpus, software version, or audience changes the analytical situation. The protocol is intentionally conservative: it makes the inferential steps visible and preserves a path back to evidence.</w:t>
      </w:r>
    </w:p>
    <w:p>
      <w:pPr>
        <w:pStyle w:val="ListNumber"/>
      </w:pPr>
      <w:r>
        <w:t>Define the literary question, unit, comparison, and plausible alternative explanation.</w:t>
      </w:r>
    </w:p>
    <w:p>
      <w:pPr>
        <w:pStyle w:val="ListNumber"/>
      </w:pPr>
      <w:r>
        <w:t>Verify text identity, rights, provenance, spelling, lineation, stanza boundaries, and metadata.</w:t>
      </w:r>
    </w:p>
    <w:p>
      <w:pPr>
        <w:pStyle w:val="ListNumber"/>
      </w:pPr>
      <w:r>
        <w:t>Choose the smallest fit-for-purpose profile and document every customization.</w:t>
      </w:r>
    </w:p>
    <w:p>
      <w:pPr>
        <w:pStyle w:val="ListNumber"/>
      </w:pPr>
      <w:r>
        <w:t>Run the analysis and inspect errors, warnings, coverage, denominators, and unresolved dependencies.</w:t>
      </w:r>
    </w:p>
    <w:p>
      <w:pPr>
        <w:pStyle w:val="ListNumber"/>
      </w:pPr>
      <w:r>
        <w:t>Read headline means, normalized accumulation, dispersion, and local evidence in that order when available.</w:t>
      </w:r>
    </w:p>
    <w:p>
      <w:pPr>
        <w:pStyle w:val="ListNumber"/>
      </w:pPr>
      <w:r>
        <w:t>Run only pre-justified sensitivity analyses under comparable settings.</w:t>
      </w:r>
    </w:p>
    <w:p>
      <w:pPr>
        <w:pStyle w:val="ListNumber"/>
      </w:pPr>
      <w:r>
        <w:t>Return to passages or works chosen by a transparent criterion.</w:t>
      </w:r>
    </w:p>
    <w:p>
      <w:pPr>
        <w:pStyle w:val="ListNumber"/>
      </w:pPr>
      <w:r>
        <w:t>Write support, complication, limitation, and reproducibility together.</w:t>
      </w:r>
    </w:p>
    <w:p>
      <w:pPr>
        <w:pStyle w:val="ListNumber"/>
      </w:pPr>
      <w:r>
        <w:t>Archive appropriate exports and private notes under a documented storage and rights plan.</w:t>
      </w:r>
    </w:p>
    <w:p>
      <w:pPr>
        <w:pStyle w:val="Heading2"/>
      </w:pPr>
      <w:r>
        <w:t>Construct-separation matrix</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Construct separation matrix"/>
        <w:tblDescription w:val="Evidence types, proper descriptions, and common misinterpretations."/>
      </w:tblPr>
      <w:tblGrid>
        <w:gridCol w:w="3120"/>
        <w:gridCol w:w="3120"/>
        <w:gridCol w:w="3120"/>
      </w:tblGrid>
      <w:tr>
        <w:trPr>
          <w:cantSplit/>
          <w:trHeight w:hRule="atLeast"/>
          <w:tblHeader w:val="true"/>
        </w:trPr>
        <w:tc>
          <w:tcPr>
            <w:tcW w:type="dxa" w:w="1800"/>
            <w:tcMar>
              <w:top w:w="75" w:type="dxa"/>
              <w:start w:w="100" w:type="dxa"/>
              <w:bottom w:w="75" w:type="dxa"/>
              <w:end w:w="100" w:type="dxa"/>
            </w:tcMar>
            <w:vAlign w:val="center"/>
            <w:shd w:fill="E8EEF5"/>
          </w:tcPr>
          <w:p>
            <w:pPr>
              <w:spacing w:after="0" w:line="264" w:lineRule="auto"/>
            </w:pPr>
            <w:r>
              <w:rPr>
                <w:b/>
                <w:color w:val="1F4D78"/>
                <w:sz w:val="17"/>
              </w:rPr>
              <w:t>Evidence</w:t>
            </w:r>
          </w:p>
        </w:tc>
        <w:tc>
          <w:tcPr>
            <w:tcW w:type="dxa" w:w="3780"/>
            <w:tcMar>
              <w:top w:w="75" w:type="dxa"/>
              <w:start w:w="100" w:type="dxa"/>
              <w:bottom w:w="75" w:type="dxa"/>
              <w:end w:w="100" w:type="dxa"/>
            </w:tcMar>
            <w:vAlign w:val="center"/>
            <w:shd w:fill="E8EEF5"/>
          </w:tcPr>
          <w:p>
            <w:pPr>
              <w:spacing w:after="0" w:line="264" w:lineRule="auto"/>
            </w:pPr>
            <w:r>
              <w:rPr>
                <w:b/>
                <w:color w:val="1F4D78"/>
                <w:sz w:val="17"/>
              </w:rPr>
              <w:t>What it describes</w:t>
            </w:r>
          </w:p>
        </w:tc>
        <w:tc>
          <w:tcPr>
            <w:tcW w:type="dxa" w:w="3780"/>
            <w:tcMar>
              <w:top w:w="75" w:type="dxa"/>
              <w:start w:w="100" w:type="dxa"/>
              <w:bottom w:w="75" w:type="dxa"/>
              <w:end w:w="100" w:type="dxa"/>
            </w:tcMar>
            <w:vAlign w:val="center"/>
            <w:shd w:fill="E8EEF5"/>
          </w:tcPr>
          <w:p>
            <w:pPr>
              <w:spacing w:after="0" w:line="264" w:lineRule="auto"/>
            </w:pPr>
            <w:r>
              <w:rPr>
                <w:b/>
                <w:color w:val="1F4D78"/>
                <w:sz w:val="17"/>
              </w:rPr>
              <w:t>Do not call it</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VAD mean</w:t>
            </w:r>
          </w:p>
        </w:tc>
        <w:tc>
          <w:tcPr>
            <w:tcW w:type="dxa" w:w="3780"/>
            <w:tcMar>
              <w:top w:w="75" w:type="dxa"/>
              <w:start w:w="100" w:type="dxa"/>
              <w:bottom w:w="75" w:type="dxa"/>
              <w:end w:w="100" w:type="dxa"/>
            </w:tcMar>
            <w:vAlign w:val="center"/>
          </w:tcPr>
          <w:p>
            <w:pPr>
              <w:spacing w:after="0" w:line="264" w:lineRule="auto"/>
            </w:pPr>
            <w:r>
              <w:rPr>
                <w:sz w:val="17"/>
              </w:rPr>
              <w:t>Center of matched normative lexical ratings</w:t>
            </w:r>
          </w:p>
        </w:tc>
        <w:tc>
          <w:tcPr>
            <w:tcW w:type="dxa" w:w="3780"/>
            <w:tcMar>
              <w:top w:w="75" w:type="dxa"/>
              <w:start w:w="100" w:type="dxa"/>
              <w:bottom w:w="75" w:type="dxa"/>
              <w:end w:w="100" w:type="dxa"/>
            </w:tcMar>
            <w:vAlign w:val="center"/>
          </w:tcPr>
          <w:p>
            <w:pPr>
              <w:spacing w:after="0" w:line="264" w:lineRule="auto"/>
            </w:pPr>
            <w:r>
              <w:rPr>
                <w:sz w:val="17"/>
              </w:rPr>
              <w:t>The poem's or speaker's actual emotion</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Within-poem SD</w:t>
            </w:r>
          </w:p>
        </w:tc>
        <w:tc>
          <w:tcPr>
            <w:tcW w:type="dxa" w:w="3780"/>
            <w:tcMar>
              <w:top w:w="75" w:type="dxa"/>
              <w:start w:w="100" w:type="dxa"/>
              <w:bottom w:w="75" w:type="dxa"/>
              <w:end w:w="100" w:type="dxa"/>
            </w:tcMar>
            <w:vAlign w:val="center"/>
          </w:tcPr>
          <w:p>
            <w:pPr>
              <w:spacing w:after="0" w:line="264" w:lineRule="auto"/>
            </w:pPr>
            <w:r>
              <w:rPr>
                <w:sz w:val="17"/>
              </w:rPr>
              <w:t>Spread among retained ratings inside a poem</w:t>
            </w:r>
          </w:p>
        </w:tc>
        <w:tc>
          <w:tcPr>
            <w:tcW w:type="dxa" w:w="3780"/>
            <w:tcMar>
              <w:top w:w="75" w:type="dxa"/>
              <w:start w:w="100" w:type="dxa"/>
              <w:bottom w:w="75" w:type="dxa"/>
              <w:end w:w="100" w:type="dxa"/>
            </w:tcMar>
            <w:vAlign w:val="center"/>
          </w:tcPr>
          <w:p>
            <w:pPr>
              <w:spacing w:after="0" w:line="264" w:lineRule="auto"/>
            </w:pPr>
            <w:r>
              <w:rPr>
                <w:sz w:val="17"/>
              </w:rPr>
              <w:t>Confidence in the mean</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Coverage</w:t>
            </w:r>
          </w:p>
        </w:tc>
        <w:tc>
          <w:tcPr>
            <w:tcW w:type="dxa" w:w="3780"/>
            <w:tcMar>
              <w:top w:w="75" w:type="dxa"/>
              <w:start w:w="100" w:type="dxa"/>
              <w:bottom w:w="75" w:type="dxa"/>
              <w:end w:w="100" w:type="dxa"/>
            </w:tcMar>
            <w:vAlign w:val="center"/>
          </w:tcPr>
          <w:p>
            <w:pPr>
              <w:spacing w:after="0" w:line="264" w:lineRule="auto"/>
            </w:pPr>
            <w:r>
              <w:rPr>
                <w:sz w:val="17"/>
              </w:rPr>
              <w:t>How much eligible evidence matched</w:t>
            </w:r>
          </w:p>
        </w:tc>
        <w:tc>
          <w:tcPr>
            <w:tcW w:type="dxa" w:w="3780"/>
            <w:tcMar>
              <w:top w:w="75" w:type="dxa"/>
              <w:start w:w="100" w:type="dxa"/>
              <w:bottom w:w="75" w:type="dxa"/>
              <w:end w:w="100" w:type="dxa"/>
            </w:tcMar>
            <w:vAlign w:val="center"/>
          </w:tcPr>
          <w:p>
            <w:pPr>
              <w:spacing w:after="0" w:line="264" w:lineRule="auto"/>
            </w:pPr>
            <w:r>
              <w:rPr>
                <w:sz w:val="17"/>
              </w:rPr>
              <w:t>Probability the interpretation is correct</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Range</w:t>
            </w:r>
          </w:p>
        </w:tc>
        <w:tc>
          <w:tcPr>
            <w:tcW w:type="dxa" w:w="3780"/>
            <w:tcMar>
              <w:top w:w="75" w:type="dxa"/>
              <w:start w:w="100" w:type="dxa"/>
              <w:bottom w:w="75" w:type="dxa"/>
              <w:end w:w="100" w:type="dxa"/>
            </w:tcMar>
            <w:vAlign w:val="center"/>
          </w:tcPr>
          <w:p>
            <w:pPr>
              <w:spacing w:after="0" w:line="264" w:lineRule="auto"/>
            </w:pPr>
            <w:r>
              <w:rPr>
                <w:sz w:val="17"/>
              </w:rPr>
              <w:t>Observed maximum minus minimum</w:t>
            </w:r>
          </w:p>
        </w:tc>
        <w:tc>
          <w:tcPr>
            <w:tcW w:type="dxa" w:w="3780"/>
            <w:tcMar>
              <w:top w:w="75" w:type="dxa"/>
              <w:start w:w="100" w:type="dxa"/>
              <w:bottom w:w="75" w:type="dxa"/>
              <w:end w:w="100" w:type="dxa"/>
            </w:tcMar>
            <w:vAlign w:val="center"/>
          </w:tcPr>
          <w:p>
            <w:pPr>
              <w:spacing w:after="0" w:line="264" w:lineRule="auto"/>
            </w:pPr>
            <w:r>
              <w:rPr>
                <w:sz w:val="17"/>
              </w:rPr>
              <w:t>Effect size or significance</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Z-score</w:t>
            </w:r>
          </w:p>
        </w:tc>
        <w:tc>
          <w:tcPr>
            <w:tcW w:type="dxa" w:w="3780"/>
            <w:tcMar>
              <w:top w:w="75" w:type="dxa"/>
              <w:start w:w="100" w:type="dxa"/>
              <w:bottom w:w="75" w:type="dxa"/>
              <w:end w:w="100" w:type="dxa"/>
            </w:tcMar>
            <w:vAlign w:val="center"/>
          </w:tcPr>
          <w:p>
            <w:pPr>
              <w:spacing w:after="0" w:line="264" w:lineRule="auto"/>
            </w:pPr>
            <w:r>
              <w:rPr>
                <w:sz w:val="17"/>
              </w:rPr>
              <w:t>Relative position in a named reference distribution</w:t>
            </w:r>
          </w:p>
        </w:tc>
        <w:tc>
          <w:tcPr>
            <w:tcW w:type="dxa" w:w="3780"/>
            <w:tcMar>
              <w:top w:w="75" w:type="dxa"/>
              <w:start w:w="100" w:type="dxa"/>
              <w:bottom w:w="75" w:type="dxa"/>
              <w:end w:w="100" w:type="dxa"/>
            </w:tcMar>
            <w:vAlign w:val="center"/>
          </w:tcPr>
          <w:p>
            <w:pPr>
              <w:spacing w:after="0" w:line="264" w:lineRule="auto"/>
            </w:pPr>
            <w:r>
              <w:rPr>
                <w:sz w:val="17"/>
              </w:rPr>
              <w:t>Universal normality or value</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PCA coordinate</w:t>
            </w:r>
          </w:p>
        </w:tc>
        <w:tc>
          <w:tcPr>
            <w:tcW w:type="dxa" w:w="3780"/>
            <w:tcMar>
              <w:top w:w="75" w:type="dxa"/>
              <w:start w:w="100" w:type="dxa"/>
              <w:bottom w:w="75" w:type="dxa"/>
              <w:end w:w="100" w:type="dxa"/>
            </w:tcMar>
            <w:vAlign w:val="center"/>
          </w:tcPr>
          <w:p>
            <w:pPr>
              <w:spacing w:after="0" w:line="264" w:lineRule="auto"/>
            </w:pPr>
            <w:r>
              <w:rPr>
                <w:sz w:val="17"/>
              </w:rPr>
              <w:t>Composite two-dimensional display location</w:t>
            </w:r>
          </w:p>
        </w:tc>
        <w:tc>
          <w:tcPr>
            <w:tcW w:type="dxa" w:w="3780"/>
            <w:tcMar>
              <w:top w:w="75" w:type="dxa"/>
              <w:start w:w="100" w:type="dxa"/>
              <w:bottom w:w="75" w:type="dxa"/>
              <w:end w:w="100" w:type="dxa"/>
            </w:tcMar>
            <w:vAlign w:val="center"/>
          </w:tcPr>
          <w:p>
            <w:pPr>
              <w:spacing w:after="0" w:line="264" w:lineRule="auto"/>
            </w:pPr>
            <w:r>
              <w:rPr>
                <w:sz w:val="17"/>
              </w:rPr>
              <w:t>A single original feature</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Nearest centroid</w:t>
            </w:r>
          </w:p>
        </w:tc>
        <w:tc>
          <w:tcPr>
            <w:tcW w:type="dxa" w:w="3780"/>
            <w:tcMar>
              <w:top w:w="75" w:type="dxa"/>
              <w:start w:w="100" w:type="dxa"/>
              <w:bottom w:w="75" w:type="dxa"/>
              <w:end w:w="100" w:type="dxa"/>
            </w:tcMar>
            <w:vAlign w:val="center"/>
          </w:tcPr>
          <w:p>
            <w:pPr>
              <w:spacing w:after="0" w:line="264" w:lineRule="auto"/>
            </w:pPr>
            <w:r>
              <w:rPr>
                <w:sz w:val="17"/>
              </w:rPr>
              <w:t>Closest candidate summary under a named geometry</w:t>
            </w:r>
          </w:p>
        </w:tc>
        <w:tc>
          <w:tcPr>
            <w:tcW w:type="dxa" w:w="3780"/>
            <w:tcMar>
              <w:top w:w="75" w:type="dxa"/>
              <w:start w:w="100" w:type="dxa"/>
              <w:bottom w:w="75" w:type="dxa"/>
              <w:end w:w="100" w:type="dxa"/>
            </w:tcMar>
            <w:vAlign w:val="center"/>
          </w:tcPr>
          <w:p>
            <w:pPr>
              <w:spacing w:after="0" w:line="264" w:lineRule="auto"/>
            </w:pPr>
            <w:r>
              <w:rPr>
                <w:sz w:val="17"/>
              </w:rPr>
              <w:t>Diagnosis, authorship, or genre proof</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VV-PRE</w:t>
            </w:r>
          </w:p>
        </w:tc>
        <w:tc>
          <w:tcPr>
            <w:tcW w:type="dxa" w:w="3780"/>
            <w:tcMar>
              <w:top w:w="75" w:type="dxa"/>
              <w:start w:w="100" w:type="dxa"/>
              <w:bottom w:w="75" w:type="dxa"/>
              <w:end w:w="100" w:type="dxa"/>
            </w:tcMar>
            <w:vAlign w:val="center"/>
          </w:tcPr>
          <w:p>
            <w:pPr>
              <w:spacing w:after="0" w:line="264" w:lineRule="auto"/>
            </w:pPr>
            <w:r>
              <w:rPr>
                <w:sz w:val="17"/>
              </w:rPr>
              <w:t>Experimental surface processing accessibility</w:t>
            </w:r>
          </w:p>
        </w:tc>
        <w:tc>
          <w:tcPr>
            <w:tcW w:type="dxa" w:w="3780"/>
            <w:tcMar>
              <w:top w:w="75" w:type="dxa"/>
              <w:start w:w="100" w:type="dxa"/>
              <w:bottom w:w="75" w:type="dxa"/>
              <w:end w:w="100" w:type="dxa"/>
            </w:tcMar>
            <w:vAlign w:val="center"/>
          </w:tcPr>
          <w:p>
            <w:pPr>
              <w:spacing w:after="0" w:line="264" w:lineRule="auto"/>
            </w:pPr>
            <w:r>
              <w:rPr>
                <w:sz w:val="17"/>
              </w:rPr>
              <w:t>Interpretive or aesthetic simplicity</w:t>
            </w:r>
          </w:p>
        </w:tc>
      </w:tr>
    </w:tbl>
    <w:p>
      <w:pPr>
        <w:pStyle w:val="Heading1"/>
      </w:pPr>
      <w:r>
        <w:t>Final Conceptual Assessment</w:t>
      </w:r>
    </w:p>
    <w:p>
      <w:r>
        <w:t>Complete all 30 items without consulting the evaluator key. Select the single best answer. The conceptual passing threshold is 24/30; the complete passing rule is: **80% overall (24/30), satisfactory observed practicum, and no critical instructional, ethical, accessibility, or methodological error**.</w:t>
      </w:r>
    </w:p>
    <w:tbl>
      <w:tblPr>
        <w:tblW w:type="dxa" w:w="9360"/>
        <w:jc w:val="center"/>
        <w:tblLook w:firstColumn="1" w:firstRow="1" w:lastColumn="0" w:lastRow="0" w:noHBand="0" w:noVBand="1" w:val="04A0"/>
        <w:tblLayout w:type="fixed"/>
        <w:tblBorders>
          <w:top w:val="single" w:sz="6" w:space="0" w:color="8A3B20"/>
          <w:left w:val="single" w:sz="6" w:space="0" w:color="8A3B20"/>
          <w:bottom w:val="single" w:sz="6" w:space="0" w:color="8A3B20"/>
          <w:right w:val="single" w:sz="6" w:space="0" w:color="8A3B20"/>
          <w:insideH w:val="single" w:sz="6" w:space="0" w:color="8A3B20"/>
          <w:insideV w:val="single" w:sz="6" w:space="0" w:color="8A3B20"/>
        </w:tblBorders>
        <w:tblCaption w:val="Caution callout"/>
        <w:tblDescription w:val="Passing the conceptual assessment alone does not complete the course. The applied assignment and all critical-domain requirements remain mandatory."/>
      </w:tblPr>
      <w:tblGrid>
        <w:gridCol w:w="9360"/>
      </w:tblGrid>
      <w:tr>
        <w:trPr>
          <w:tblHeader w:val="true"/>
        </w:trPr>
        <w:tc>
          <w:tcPr>
            <w:tcW w:type="dxa" w:w="9360"/>
            <w:shd w:fill="F4E9E3"/>
            <w:tcMar>
              <w:top w:w="140" w:type="dxa"/>
              <w:start w:w="160" w:type="dxa"/>
              <w:bottom w:w="140" w:type="dxa"/>
              <w:end w:w="160" w:type="dxa"/>
            </w:tcMar>
          </w:tcPr>
          <w:p>
            <w:pPr>
              <w:spacing w:after="0"/>
            </w:pPr>
            <w:r>
              <w:rPr>
                <w:b/>
                <w:color w:val="8A3B20"/>
              </w:rPr>
              <w:t xml:space="preserve">CAUTION: </w:t>
            </w:r>
            <w:r>
              <w:t>Passing the conceptual assessment alone does not complete the course. The applied assignment and all critical-domain requirements remain mandatory.</w:t>
            </w:r>
          </w:p>
        </w:tc>
      </w:tr>
    </w:tbl>
    <w:p>
      <w:pPr>
        <w:spacing w:after="0"/>
      </w:pP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earner answer sheet"/>
        <w:tblDescription w:val="Blank response grid for the final conceptual assessment."/>
      </w:tblPr>
      <w:tblGrid>
        <w:gridCol w:w="1560"/>
        <w:gridCol w:w="1560"/>
        <w:gridCol w:w="1560"/>
        <w:gridCol w:w="1560"/>
        <w:gridCol w:w="1560"/>
        <w:gridCol w:w="1560"/>
      </w:tblGrid>
      <w:tr>
        <w:trPr>
          <w:cantSplit/>
          <w:trHeight w:hRule="atLeast"/>
          <w:tblHeader w:val="true"/>
        </w:trPr>
        <w:tc>
          <w:tcPr>
            <w:tcW w:type="dxa" w:w="700"/>
            <w:tcMar>
              <w:top w:w="75" w:type="dxa"/>
              <w:start w:w="100" w:type="dxa"/>
              <w:bottom w:w="75" w:type="dxa"/>
              <w:end w:w="100" w:type="dxa"/>
            </w:tcMar>
            <w:vAlign w:val="center"/>
            <w:shd w:fill="E8EEF5"/>
          </w:tcPr>
          <w:p>
            <w:pPr>
              <w:spacing w:after="0" w:line="264" w:lineRule="auto"/>
            </w:pPr>
            <w:r>
              <w:rPr>
                <w:b/>
                <w:color w:val="1F4D78"/>
                <w:sz w:val="17"/>
              </w:rPr>
              <w:t>Item</w:t>
            </w:r>
          </w:p>
        </w:tc>
        <w:tc>
          <w:tcPr>
            <w:tcW w:type="dxa" w:w="1800"/>
            <w:tcMar>
              <w:top w:w="75" w:type="dxa"/>
              <w:start w:w="100" w:type="dxa"/>
              <w:bottom w:w="75" w:type="dxa"/>
              <w:end w:w="100" w:type="dxa"/>
            </w:tcMar>
            <w:vAlign w:val="center"/>
            <w:shd w:fill="E8EEF5"/>
          </w:tcPr>
          <w:p>
            <w:pPr>
              <w:spacing w:after="0" w:line="264" w:lineRule="auto"/>
            </w:pPr>
            <w:r>
              <w:rPr>
                <w:b/>
                <w:color w:val="1F4D78"/>
                <w:sz w:val="17"/>
              </w:rPr>
              <w:t>Response</w:t>
            </w:r>
          </w:p>
        </w:tc>
        <w:tc>
          <w:tcPr>
            <w:tcW w:type="dxa" w:w="1100"/>
            <w:tcMar>
              <w:top w:w="75" w:type="dxa"/>
              <w:start w:w="100" w:type="dxa"/>
              <w:bottom w:w="75" w:type="dxa"/>
              <w:end w:w="100" w:type="dxa"/>
            </w:tcMar>
            <w:vAlign w:val="center"/>
            <w:shd w:fill="E8EEF5"/>
          </w:tcPr>
          <w:p>
            <w:pPr>
              <w:spacing w:after="0" w:line="264" w:lineRule="auto"/>
            </w:pPr>
            <w:r>
              <w:rPr>
                <w:b/>
                <w:color w:val="1F4D78"/>
                <w:sz w:val="17"/>
              </w:rPr>
              <w:t>Module</w:t>
            </w:r>
          </w:p>
        </w:tc>
        <w:tc>
          <w:tcPr>
            <w:tcW w:type="dxa" w:w="700"/>
            <w:tcMar>
              <w:top w:w="75" w:type="dxa"/>
              <w:start w:w="100" w:type="dxa"/>
              <w:bottom w:w="75" w:type="dxa"/>
              <w:end w:w="100" w:type="dxa"/>
            </w:tcMar>
            <w:vAlign w:val="center"/>
            <w:shd w:fill="E8EEF5"/>
          </w:tcPr>
          <w:p>
            <w:pPr>
              <w:spacing w:after="0" w:line="264" w:lineRule="auto"/>
            </w:pPr>
            <w:r>
              <w:rPr>
                <w:b/>
                <w:color w:val="1F4D78"/>
                <w:sz w:val="17"/>
              </w:rPr>
              <w:t>Item</w:t>
            </w:r>
          </w:p>
        </w:tc>
        <w:tc>
          <w:tcPr>
            <w:tcW w:type="dxa" w:w="1800"/>
            <w:tcMar>
              <w:top w:w="75" w:type="dxa"/>
              <w:start w:w="100" w:type="dxa"/>
              <w:bottom w:w="75" w:type="dxa"/>
              <w:end w:w="100" w:type="dxa"/>
            </w:tcMar>
            <w:vAlign w:val="center"/>
            <w:shd w:fill="E8EEF5"/>
          </w:tcPr>
          <w:p>
            <w:pPr>
              <w:spacing w:after="0" w:line="264" w:lineRule="auto"/>
            </w:pPr>
            <w:r>
              <w:rPr>
                <w:b/>
                <w:color w:val="1F4D78"/>
                <w:sz w:val="17"/>
              </w:rPr>
              <w:t>Response</w:t>
            </w:r>
          </w:p>
        </w:tc>
        <w:tc>
          <w:tcPr>
            <w:tcW w:type="dxa" w:w="3260"/>
            <w:tcMar>
              <w:top w:w="75" w:type="dxa"/>
              <w:start w:w="100" w:type="dxa"/>
              <w:bottom w:w="75" w:type="dxa"/>
              <w:end w:w="100" w:type="dxa"/>
            </w:tcMar>
            <w:vAlign w:val="center"/>
            <w:shd w:fill="E8EEF5"/>
          </w:tcPr>
          <w:p>
            <w:pPr>
              <w:spacing w:after="0" w:line="264" w:lineRule="auto"/>
            </w:pPr>
            <w:r>
              <w:rPr>
                <w:b/>
                <w:color w:val="1F4D78"/>
                <w:sz w:val="17"/>
              </w:rPr>
              <w:t>Module</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I1</w:t>
            </w:r>
          </w:p>
        </w:tc>
        <w:tc>
          <w:tcPr>
            <w:tcW w:type="dxa" w:w="700"/>
            <w:tcMar>
              <w:top w:w="75" w:type="dxa"/>
              <w:start w:w="100" w:type="dxa"/>
              <w:bottom w:w="75" w:type="dxa"/>
              <w:end w:w="100" w:type="dxa"/>
            </w:tcMar>
            <w:vAlign w:val="center"/>
          </w:tcPr>
          <w:p>
            <w:pPr>
              <w:spacing w:after="0" w:line="264" w:lineRule="auto"/>
            </w:pPr>
            <w:r>
              <w:rPr>
                <w:sz w:val="17"/>
              </w:rPr>
              <w:t>16</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I6</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2</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I1</w:t>
            </w:r>
          </w:p>
        </w:tc>
        <w:tc>
          <w:tcPr>
            <w:tcW w:type="dxa" w:w="700"/>
            <w:tcMar>
              <w:top w:w="75" w:type="dxa"/>
              <w:start w:w="100" w:type="dxa"/>
              <w:bottom w:w="75" w:type="dxa"/>
              <w:end w:w="100" w:type="dxa"/>
            </w:tcMar>
            <w:vAlign w:val="center"/>
          </w:tcPr>
          <w:p>
            <w:pPr>
              <w:spacing w:after="0" w:line="264" w:lineRule="auto"/>
            </w:pPr>
            <w:r>
              <w:rPr>
                <w:sz w:val="17"/>
              </w:rPr>
              <w:t>17</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I6</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3</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I1</w:t>
            </w:r>
          </w:p>
        </w:tc>
        <w:tc>
          <w:tcPr>
            <w:tcW w:type="dxa" w:w="700"/>
            <w:tcMar>
              <w:top w:w="75" w:type="dxa"/>
              <w:start w:w="100" w:type="dxa"/>
              <w:bottom w:w="75" w:type="dxa"/>
              <w:end w:w="100" w:type="dxa"/>
            </w:tcMar>
            <w:vAlign w:val="center"/>
          </w:tcPr>
          <w:p>
            <w:pPr>
              <w:spacing w:after="0" w:line="264" w:lineRule="auto"/>
            </w:pPr>
            <w:r>
              <w:rPr>
                <w:sz w:val="17"/>
              </w:rPr>
              <w:t>18</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I6</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4</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I2</w:t>
            </w:r>
          </w:p>
        </w:tc>
        <w:tc>
          <w:tcPr>
            <w:tcW w:type="dxa" w:w="700"/>
            <w:tcMar>
              <w:top w:w="75" w:type="dxa"/>
              <w:start w:w="100" w:type="dxa"/>
              <w:bottom w:w="75" w:type="dxa"/>
              <w:end w:w="100" w:type="dxa"/>
            </w:tcMar>
            <w:vAlign w:val="center"/>
          </w:tcPr>
          <w:p>
            <w:pPr>
              <w:spacing w:after="0" w:line="264" w:lineRule="auto"/>
            </w:pPr>
            <w:r>
              <w:rPr>
                <w:sz w:val="17"/>
              </w:rPr>
              <w:t>19</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I7</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5</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I2</w:t>
            </w:r>
          </w:p>
        </w:tc>
        <w:tc>
          <w:tcPr>
            <w:tcW w:type="dxa" w:w="700"/>
            <w:tcMar>
              <w:top w:w="75" w:type="dxa"/>
              <w:start w:w="100" w:type="dxa"/>
              <w:bottom w:w="75" w:type="dxa"/>
              <w:end w:w="100" w:type="dxa"/>
            </w:tcMar>
            <w:vAlign w:val="center"/>
          </w:tcPr>
          <w:p>
            <w:pPr>
              <w:spacing w:after="0" w:line="264" w:lineRule="auto"/>
            </w:pPr>
            <w:r>
              <w:rPr>
                <w:sz w:val="17"/>
              </w:rPr>
              <w:t>20</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I7</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6</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I2</w:t>
            </w:r>
          </w:p>
        </w:tc>
        <w:tc>
          <w:tcPr>
            <w:tcW w:type="dxa" w:w="700"/>
            <w:tcMar>
              <w:top w:w="75" w:type="dxa"/>
              <w:start w:w="100" w:type="dxa"/>
              <w:bottom w:w="75" w:type="dxa"/>
              <w:end w:w="100" w:type="dxa"/>
            </w:tcMar>
            <w:vAlign w:val="center"/>
          </w:tcPr>
          <w:p>
            <w:pPr>
              <w:spacing w:after="0" w:line="264" w:lineRule="auto"/>
            </w:pPr>
            <w:r>
              <w:rPr>
                <w:sz w:val="17"/>
              </w:rPr>
              <w:t>21</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I7</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7</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I3</w:t>
            </w:r>
          </w:p>
        </w:tc>
        <w:tc>
          <w:tcPr>
            <w:tcW w:type="dxa" w:w="700"/>
            <w:tcMar>
              <w:top w:w="75" w:type="dxa"/>
              <w:start w:w="100" w:type="dxa"/>
              <w:bottom w:w="75" w:type="dxa"/>
              <w:end w:w="100" w:type="dxa"/>
            </w:tcMar>
            <w:vAlign w:val="center"/>
          </w:tcPr>
          <w:p>
            <w:pPr>
              <w:spacing w:after="0" w:line="264" w:lineRule="auto"/>
            </w:pPr>
            <w:r>
              <w:rPr>
                <w:sz w:val="17"/>
              </w:rPr>
              <w:t>22</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I8</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8</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I3</w:t>
            </w:r>
          </w:p>
        </w:tc>
        <w:tc>
          <w:tcPr>
            <w:tcW w:type="dxa" w:w="700"/>
            <w:tcMar>
              <w:top w:w="75" w:type="dxa"/>
              <w:start w:w="100" w:type="dxa"/>
              <w:bottom w:w="75" w:type="dxa"/>
              <w:end w:w="100" w:type="dxa"/>
            </w:tcMar>
            <w:vAlign w:val="center"/>
          </w:tcPr>
          <w:p>
            <w:pPr>
              <w:spacing w:after="0" w:line="264" w:lineRule="auto"/>
            </w:pPr>
            <w:r>
              <w:rPr>
                <w:sz w:val="17"/>
              </w:rPr>
              <w:t>23</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I8</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9</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I3</w:t>
            </w:r>
          </w:p>
        </w:tc>
        <w:tc>
          <w:tcPr>
            <w:tcW w:type="dxa" w:w="700"/>
            <w:tcMar>
              <w:top w:w="75" w:type="dxa"/>
              <w:start w:w="100" w:type="dxa"/>
              <w:bottom w:w="75" w:type="dxa"/>
              <w:end w:w="100" w:type="dxa"/>
            </w:tcMar>
            <w:vAlign w:val="center"/>
          </w:tcPr>
          <w:p>
            <w:pPr>
              <w:spacing w:after="0" w:line="264" w:lineRule="auto"/>
            </w:pPr>
            <w:r>
              <w:rPr>
                <w:sz w:val="17"/>
              </w:rPr>
              <w:t>24</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I8</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10</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I4</w:t>
            </w:r>
          </w:p>
        </w:tc>
        <w:tc>
          <w:tcPr>
            <w:tcW w:type="dxa" w:w="700"/>
            <w:tcMar>
              <w:top w:w="75" w:type="dxa"/>
              <w:start w:w="100" w:type="dxa"/>
              <w:bottom w:w="75" w:type="dxa"/>
              <w:end w:w="100" w:type="dxa"/>
            </w:tcMar>
            <w:vAlign w:val="center"/>
          </w:tcPr>
          <w:p>
            <w:pPr>
              <w:spacing w:after="0" w:line="264" w:lineRule="auto"/>
            </w:pPr>
            <w:r>
              <w:rPr>
                <w:sz w:val="17"/>
              </w:rPr>
              <w:t>25</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I9</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11</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I4</w:t>
            </w:r>
          </w:p>
        </w:tc>
        <w:tc>
          <w:tcPr>
            <w:tcW w:type="dxa" w:w="700"/>
            <w:tcMar>
              <w:top w:w="75" w:type="dxa"/>
              <w:start w:w="100" w:type="dxa"/>
              <w:bottom w:w="75" w:type="dxa"/>
              <w:end w:w="100" w:type="dxa"/>
            </w:tcMar>
            <w:vAlign w:val="center"/>
          </w:tcPr>
          <w:p>
            <w:pPr>
              <w:spacing w:after="0" w:line="264" w:lineRule="auto"/>
            </w:pPr>
            <w:r>
              <w:rPr>
                <w:sz w:val="17"/>
              </w:rPr>
              <w:t>26</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I9</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12</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I4</w:t>
            </w:r>
          </w:p>
        </w:tc>
        <w:tc>
          <w:tcPr>
            <w:tcW w:type="dxa" w:w="700"/>
            <w:tcMar>
              <w:top w:w="75" w:type="dxa"/>
              <w:start w:w="100" w:type="dxa"/>
              <w:bottom w:w="75" w:type="dxa"/>
              <w:end w:w="100" w:type="dxa"/>
            </w:tcMar>
            <w:vAlign w:val="center"/>
          </w:tcPr>
          <w:p>
            <w:pPr>
              <w:spacing w:after="0" w:line="264" w:lineRule="auto"/>
            </w:pPr>
            <w:r>
              <w:rPr>
                <w:sz w:val="17"/>
              </w:rPr>
              <w:t>27</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I9</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13</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I5</w:t>
            </w:r>
          </w:p>
        </w:tc>
        <w:tc>
          <w:tcPr>
            <w:tcW w:type="dxa" w:w="700"/>
            <w:tcMar>
              <w:top w:w="75" w:type="dxa"/>
              <w:start w:w="100" w:type="dxa"/>
              <w:bottom w:w="75" w:type="dxa"/>
              <w:end w:w="100" w:type="dxa"/>
            </w:tcMar>
            <w:vAlign w:val="center"/>
          </w:tcPr>
          <w:p>
            <w:pPr>
              <w:spacing w:after="0" w:line="264" w:lineRule="auto"/>
            </w:pPr>
            <w:r>
              <w:rPr>
                <w:sz w:val="17"/>
              </w:rPr>
              <w:t>28</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I10</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14</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I5</w:t>
            </w:r>
          </w:p>
        </w:tc>
        <w:tc>
          <w:tcPr>
            <w:tcW w:type="dxa" w:w="700"/>
            <w:tcMar>
              <w:top w:w="75" w:type="dxa"/>
              <w:start w:w="100" w:type="dxa"/>
              <w:bottom w:w="75" w:type="dxa"/>
              <w:end w:w="100" w:type="dxa"/>
            </w:tcMar>
            <w:vAlign w:val="center"/>
          </w:tcPr>
          <w:p>
            <w:pPr>
              <w:spacing w:after="0" w:line="264" w:lineRule="auto"/>
            </w:pPr>
            <w:r>
              <w:rPr>
                <w:sz w:val="17"/>
              </w:rPr>
              <w:t>29</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I10</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15</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I5</w:t>
            </w:r>
          </w:p>
        </w:tc>
        <w:tc>
          <w:tcPr>
            <w:tcW w:type="dxa" w:w="700"/>
            <w:tcMar>
              <w:top w:w="75" w:type="dxa"/>
              <w:start w:w="100" w:type="dxa"/>
              <w:bottom w:w="75" w:type="dxa"/>
              <w:end w:w="100" w:type="dxa"/>
            </w:tcMar>
            <w:vAlign w:val="center"/>
          </w:tcPr>
          <w:p>
            <w:pPr>
              <w:spacing w:after="0" w:line="264" w:lineRule="auto"/>
            </w:pPr>
            <w:r>
              <w:rPr>
                <w:sz w:val="17"/>
              </w:rPr>
              <w:t>30</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I10</w:t>
            </w:r>
          </w:p>
        </w:tc>
      </w:tr>
    </w:tbl>
    <w:p>
      <w:pPr>
        <w:keepNext/>
        <w:spacing w:before="160"/>
      </w:pPr>
      <w:r>
        <w:rPr>
          <w:b/>
        </w:rPr>
        <w:t>1. An instructor lectures for ninety minutes on every VerseVAD metric, then asks beginners to produce an independent analysis without guided practice. What is the most defensible next action?</w:t>
      </w:r>
    </w:p>
    <w:p>
      <w:pPr>
        <w:keepLines/>
        <w:spacing w:after="60"/>
        <w:ind w:left="576" w:hanging="360"/>
      </w:pPr>
      <w:r>
        <w:rPr>
          <w:b/>
        </w:rPr>
        <w:t xml:space="preserve">A. </w:t>
      </w:r>
      <w:r>
        <w:t>Cover every feature quickly so the class is comprehensive.</w:t>
      </w:r>
    </w:p>
    <w:p>
      <w:pPr>
        <w:keepLines/>
        <w:spacing w:after="60"/>
        <w:ind w:left="576" w:hanging="360"/>
      </w:pPr>
      <w:r>
        <w:rPr>
          <w:b/>
        </w:rPr>
        <w:t xml:space="preserve">B. </w:t>
      </w:r>
      <w:r>
        <w:t>Assume advanced literary knowledge implies software fluency.</w:t>
      </w:r>
    </w:p>
    <w:p>
      <w:pPr>
        <w:keepLines/>
        <w:spacing w:after="60"/>
        <w:ind w:left="576" w:hanging="360"/>
      </w:pPr>
      <w:r>
        <w:rPr>
          <w:b/>
        </w:rPr>
        <w:t xml:space="preserve">C. </w:t>
      </w:r>
      <w:r>
        <w:t>Treat silence after a demonstration as proof of mastery.</w:t>
      </w:r>
    </w:p>
    <w:p>
      <w:pPr>
        <w:keepLines/>
        <w:spacing w:after="60"/>
        <w:ind w:left="576" w:hanging="360"/>
      </w:pPr>
      <w:r>
        <w:rPr>
          <w:b/>
        </w:rPr>
        <w:t xml:space="preserve">D. </w:t>
      </w:r>
      <w:r>
        <w:t>Redesign the session around observable outcomes, short explanation, modeled use, guided practice, checks for understanding, and independent transfer.</w:t>
      </w:r>
    </w:p>
    <w:p>
      <w:pPr>
        <w:keepNext/>
        <w:spacing w:before="160"/>
      </w:pPr>
      <w:r>
        <w:rPr>
          <w:b/>
        </w:rPr>
        <w:t>2. Which principle is essential when applying Adult Learning and Course Facilitation?</w:t>
      </w:r>
    </w:p>
    <w:p>
      <w:pPr>
        <w:keepLines/>
        <w:spacing w:after="60"/>
        <w:ind w:left="576" w:hanging="360"/>
      </w:pPr>
      <w:r>
        <w:rPr>
          <w:b/>
        </w:rPr>
        <w:t xml:space="preserve">A. </w:t>
      </w:r>
      <w:r>
        <w:t>Assume advanced literary knowledge implies software fluency.</w:t>
      </w:r>
    </w:p>
    <w:p>
      <w:pPr>
        <w:keepLines/>
        <w:spacing w:after="60"/>
        <w:ind w:left="576" w:hanging="360"/>
      </w:pPr>
      <w:r>
        <w:rPr>
          <w:b/>
        </w:rPr>
        <w:t xml:space="preserve">B. </w:t>
      </w:r>
      <w:r>
        <w:t>A sufficiently large numerical value can replace source, denominator, and limitation reporting.</w:t>
      </w:r>
    </w:p>
    <w:p>
      <w:pPr>
        <w:keepLines/>
        <w:spacing w:after="60"/>
        <w:ind w:left="576" w:hanging="360"/>
      </w:pPr>
      <w:r>
        <w:rPr>
          <w:b/>
        </w:rPr>
        <w:t xml:space="preserve">C. </w:t>
      </w:r>
      <w:r>
        <w:t>Instructor authority does not replace evidence of learner understanding and independent methodological judgment.</w:t>
      </w:r>
    </w:p>
    <w:p>
      <w:pPr>
        <w:keepLines/>
        <w:spacing w:after="60"/>
        <w:ind w:left="576" w:hanging="360"/>
      </w:pPr>
      <w:r>
        <w:rPr>
          <w:b/>
        </w:rPr>
        <w:t xml:space="preserve">D. </w:t>
      </w:r>
      <w:r>
        <w:t>Cover every feature quickly so the class is comprehensive.</w:t>
      </w:r>
    </w:p>
    <w:p>
      <w:pPr>
        <w:keepNext/>
        <w:spacing w:before="160"/>
      </w:pPr>
      <w:r>
        <w:rPr>
          <w:b/>
        </w:rPr>
        <w:t>3. Which reporting practice best preserves the meaning of evidence in Adult Learning and Course Facilitation?</w:t>
      </w:r>
    </w:p>
    <w:p>
      <w:pPr>
        <w:keepLines/>
        <w:spacing w:after="60"/>
        <w:ind w:left="576" w:hanging="360"/>
      </w:pPr>
      <w:r>
        <w:rPr>
          <w:b/>
        </w:rPr>
        <w:t xml:space="preserve">A. </w:t>
      </w:r>
      <w:r>
        <w:t>Omit configuration details so readers can focus on the interpretation.</w:t>
      </w:r>
    </w:p>
    <w:p>
      <w:pPr>
        <w:keepLines/>
        <w:spacing w:after="60"/>
        <w:ind w:left="576" w:hanging="360"/>
      </w:pPr>
      <w:r>
        <w:rPr>
          <w:b/>
        </w:rPr>
        <w:t xml:space="preserve">B. </w:t>
      </w:r>
      <w:r>
        <w:t>Treat confusion as instructional evidence.</w:t>
      </w:r>
    </w:p>
    <w:p>
      <w:pPr>
        <w:keepLines/>
        <w:spacing w:after="60"/>
        <w:ind w:left="576" w:hanging="360"/>
      </w:pPr>
      <w:r>
        <w:rPr>
          <w:b/>
        </w:rPr>
        <w:t xml:space="preserve">C. </w:t>
      </w:r>
      <w:r>
        <w:t>Activity alone does not guarantee learning without alignment and feedback.</w:t>
      </w:r>
    </w:p>
    <w:p>
      <w:pPr>
        <w:keepLines/>
        <w:spacing w:after="60"/>
        <w:ind w:left="576" w:hanging="360"/>
      </w:pPr>
      <w:r>
        <w:rPr>
          <w:b/>
        </w:rPr>
        <w:t xml:space="preserve">D. </w:t>
      </w:r>
      <w:r>
        <w:t>Treat silence after a demonstration as proof of mastery.</w:t>
      </w:r>
    </w:p>
    <w:p>
      <w:pPr>
        <w:keepNext/>
        <w:spacing w:before="160"/>
      </w:pPr>
      <w:r>
        <w:rPr>
          <w:b/>
        </w:rPr>
        <w:t>4. A learner says that 72 percent fear association means 72 percent of readers feel fear. The instructor wants to correct the claim without shutting down interpretation. What is the most defensible next action?</w:t>
      </w:r>
    </w:p>
    <w:p>
      <w:pPr>
        <w:keepLines/>
        <w:spacing w:after="60"/>
        <w:ind w:left="576" w:hanging="360"/>
      </w:pPr>
      <w:r>
        <w:rPr>
          <w:b/>
        </w:rPr>
        <w:t xml:space="preserve">A. </w:t>
      </w:r>
      <w:r>
        <w:t>Clarify that the percentage describes eligible lexical associations, inspect the contributing words, and invite a revised interpretive claim about how that diction functions.</w:t>
      </w:r>
    </w:p>
    <w:p>
      <w:pPr>
        <w:keepLines/>
        <w:spacing w:after="60"/>
        <w:ind w:left="576" w:hanging="360"/>
      </w:pPr>
      <w:r>
        <w:rPr>
          <w:b/>
        </w:rPr>
        <w:t xml:space="preserve">B. </w:t>
      </w:r>
      <w:r>
        <w:t>Accept the reader-response interpretation because it is pedagogically engaging.</w:t>
      </w:r>
    </w:p>
    <w:p>
      <w:pPr>
        <w:keepLines/>
        <w:spacing w:after="60"/>
        <w:ind w:left="576" w:hanging="360"/>
      </w:pPr>
      <w:r>
        <w:rPr>
          <w:b/>
        </w:rPr>
        <w:t xml:space="preserve">C. </w:t>
      </w:r>
      <w:r>
        <w:t>Correct the learner by saying numbers have no role in interpretation.</w:t>
      </w:r>
    </w:p>
    <w:p>
      <w:pPr>
        <w:keepLines/>
        <w:spacing w:after="60"/>
        <w:ind w:left="576" w:hanging="360"/>
      </w:pPr>
      <w:r>
        <w:rPr>
          <w:b/>
        </w:rPr>
        <w:t xml:space="preserve">D. </w:t>
      </w:r>
      <w:r>
        <w:t>Replace the percentage with a PoetryID label and continue.</w:t>
      </w:r>
    </w:p>
    <w:p>
      <w:pPr>
        <w:keepNext/>
        <w:spacing w:before="160"/>
      </w:pPr>
      <w:r>
        <w:rPr>
          <w:b/>
        </w:rPr>
        <w:t>5. Which principle is essential when applying Teaching Metrics Without Oversimplifying?</w:t>
      </w:r>
    </w:p>
    <w:p>
      <w:pPr>
        <w:keepLines/>
        <w:spacing w:after="60"/>
        <w:ind w:left="576" w:hanging="360"/>
      </w:pPr>
      <w:r>
        <w:rPr>
          <w:b/>
        </w:rPr>
        <w:t xml:space="preserve">A. </w:t>
      </w:r>
      <w:r>
        <w:t>Accept the reader-response interpretation because it is pedagogically engaging.</w:t>
      </w:r>
    </w:p>
    <w:p>
      <w:pPr>
        <w:keepLines/>
        <w:spacing w:after="60"/>
        <w:ind w:left="576" w:hanging="360"/>
      </w:pPr>
      <w:r>
        <w:rPr>
          <w:b/>
        </w:rPr>
        <w:t xml:space="preserve">B. </w:t>
      </w:r>
      <w:r>
        <w:t>Correct the learner by saying numbers have no role in interpretation.</w:t>
      </w:r>
    </w:p>
    <w:p>
      <w:pPr>
        <w:keepLines/>
        <w:spacing w:after="60"/>
        <w:ind w:left="576" w:hanging="360"/>
      </w:pPr>
      <w:r>
        <w:rPr>
          <w:b/>
        </w:rPr>
        <w:t xml:space="preserve">C. </w:t>
      </w:r>
      <w:r>
        <w:t>A sufficiently large numerical value can replace source, denominator, and limitation reporting.</w:t>
      </w:r>
    </w:p>
    <w:p>
      <w:pPr>
        <w:keepLines/>
        <w:spacing w:after="60"/>
        <w:ind w:left="576" w:hanging="360"/>
      </w:pPr>
      <w:r>
        <w:rPr>
          <w:b/>
        </w:rPr>
        <w:t xml:space="preserve">D. </w:t>
      </w:r>
      <w:r>
        <w:t>Plain-language teaching must never erase the source, denominator, direction, or limitation that gives a metric meaning.</w:t>
      </w:r>
    </w:p>
    <w:p>
      <w:pPr>
        <w:keepNext/>
        <w:spacing w:before="160"/>
      </w:pPr>
      <w:r>
        <w:rPr>
          <w:b/>
        </w:rPr>
        <w:t>6. Which reporting practice best preserves the meaning of evidence in Teaching Metrics Without Oversimplifying?</w:t>
      </w:r>
    </w:p>
    <w:p>
      <w:pPr>
        <w:keepLines/>
        <w:spacing w:after="60"/>
        <w:ind w:left="576" w:hanging="360"/>
      </w:pPr>
      <w:r>
        <w:rPr>
          <w:b/>
        </w:rPr>
        <w:t xml:space="preserve">A. </w:t>
      </w:r>
      <w:r>
        <w:t>Replace the percentage with a PoetryID label and continue.</w:t>
      </w:r>
    </w:p>
    <w:p>
      <w:pPr>
        <w:keepLines/>
        <w:spacing w:after="60"/>
        <w:ind w:left="576" w:hanging="360"/>
      </w:pPr>
      <w:r>
        <w:rPr>
          <w:b/>
        </w:rPr>
        <w:t xml:space="preserve">B. </w:t>
      </w:r>
      <w:r>
        <w:t>Omit configuration details so readers can focus on the interpretation.</w:t>
      </w:r>
    </w:p>
    <w:p>
      <w:pPr>
        <w:keepLines/>
        <w:spacing w:after="60"/>
        <w:ind w:left="576" w:hanging="360"/>
      </w:pPr>
      <w:r>
        <w:rPr>
          <w:b/>
        </w:rPr>
        <w:t xml:space="preserve">C. </w:t>
      </w:r>
      <w:r>
        <w:t>Correct the construct before debating the reading.</w:t>
      </w:r>
    </w:p>
    <w:p>
      <w:pPr>
        <w:keepLines/>
        <w:spacing w:after="60"/>
        <w:ind w:left="576" w:hanging="360"/>
      </w:pPr>
      <w:r>
        <w:rPr>
          <w:b/>
        </w:rPr>
        <w:t xml:space="preserve">D. </w:t>
      </w:r>
      <w:r>
        <w:t>An analogy can import misleading assumptions.</w:t>
      </w:r>
    </w:p>
    <w:p>
      <w:pPr>
        <w:keepNext/>
        <w:spacing w:before="160"/>
      </w:pPr>
      <w:r>
        <w:rPr>
          <w:b/>
        </w:rPr>
        <w:t>7. During a workshop, the concreteness resource is missing and a pronunciation warning appears. The instructor dismisses both and continues interpreting the unavailable results. What is the most defensible next action?</w:t>
      </w:r>
    </w:p>
    <w:p>
      <w:pPr>
        <w:keepLines/>
        <w:spacing w:after="60"/>
        <w:ind w:left="576" w:hanging="360"/>
      </w:pPr>
      <w:r>
        <w:rPr>
          <w:b/>
        </w:rPr>
        <w:t xml:space="preserve">A. </w:t>
      </w:r>
      <w:r>
        <w:t>Install an unverified dataset during the live interpretation and continue without provenance.</w:t>
      </w:r>
    </w:p>
    <w:p>
      <w:pPr>
        <w:keepLines/>
        <w:spacing w:after="60"/>
        <w:ind w:left="576" w:hanging="360"/>
      </w:pPr>
      <w:r>
        <w:rPr>
          <w:b/>
        </w:rPr>
        <w:t xml:space="preserve">B. </w:t>
      </w:r>
      <w:r>
        <w:t>Pause, explain which evidence is unavailable or conditional, use a verified fallback if needed, and document the setup or software issue for follow-up.</w:t>
      </w:r>
    </w:p>
    <w:p>
      <w:pPr>
        <w:keepLines/>
        <w:spacing w:after="60"/>
        <w:ind w:left="576" w:hanging="360"/>
      </w:pPr>
      <w:r>
        <w:rPr>
          <w:b/>
        </w:rPr>
        <w:t xml:space="preserve">C. </w:t>
      </w:r>
      <w:r>
        <w:t>Hide warnings so learners remain confident in the tool.</w:t>
      </w:r>
    </w:p>
    <w:p>
      <w:pPr>
        <w:keepLines/>
        <w:spacing w:after="60"/>
        <w:ind w:left="576" w:hanging="360"/>
      </w:pPr>
      <w:r>
        <w:rPr>
          <w:b/>
        </w:rPr>
        <w:t xml:space="preserve">D. </w:t>
      </w:r>
      <w:r>
        <w:t>Improvise a numerical result from memory.</w:t>
      </w:r>
    </w:p>
    <w:p>
      <w:pPr>
        <w:keepNext/>
        <w:spacing w:before="160"/>
      </w:pPr>
      <w:r>
        <w:rPr>
          <w:b/>
        </w:rPr>
        <w:t>8. Which principle is essential when applying Demonstrating the Software?</w:t>
      </w:r>
    </w:p>
    <w:p>
      <w:pPr>
        <w:keepLines/>
        <w:spacing w:after="60"/>
        <w:ind w:left="576" w:hanging="360"/>
      </w:pPr>
      <w:r>
        <w:rPr>
          <w:b/>
        </w:rPr>
        <w:t xml:space="preserve">A. </w:t>
      </w:r>
      <w:r>
        <w:t>Never demonstrate or interpret a result as available when the interface reports a missing resource, unresolved dependency, or failed analysis.</w:t>
      </w:r>
    </w:p>
    <w:p>
      <w:pPr>
        <w:keepLines/>
        <w:spacing w:after="60"/>
        <w:ind w:left="576" w:hanging="360"/>
      </w:pPr>
      <w:r>
        <w:rPr>
          <w:b/>
        </w:rPr>
        <w:t xml:space="preserve">B. </w:t>
      </w:r>
      <w:r>
        <w:t>Hide warnings so learners remain confident in the tool.</w:t>
      </w:r>
    </w:p>
    <w:p>
      <w:pPr>
        <w:keepLines/>
        <w:spacing w:after="60"/>
        <w:ind w:left="576" w:hanging="360"/>
      </w:pPr>
      <w:r>
        <w:rPr>
          <w:b/>
        </w:rPr>
        <w:t xml:space="preserve">C. </w:t>
      </w:r>
      <w:r>
        <w:t>Improvise a numerical result from memory.</w:t>
      </w:r>
    </w:p>
    <w:p>
      <w:pPr>
        <w:keepLines/>
        <w:spacing w:after="60"/>
        <w:ind w:left="576" w:hanging="360"/>
      </w:pPr>
      <w:r>
        <w:rPr>
          <w:b/>
        </w:rPr>
        <w:t xml:space="preserve">D. </w:t>
      </w:r>
      <w:r>
        <w:t>A sufficiently large numerical value can replace source, denominator, and limitation reporting.</w:t>
      </w:r>
    </w:p>
    <w:p>
      <w:pPr>
        <w:keepNext/>
        <w:spacing w:before="160"/>
      </w:pPr>
      <w:r>
        <w:rPr>
          <w:b/>
        </w:rPr>
        <w:t>9. Which reporting practice best preserves the meaning of evidence in Demonstrating the Software?</w:t>
      </w:r>
    </w:p>
    <w:p>
      <w:pPr>
        <w:keepLines/>
        <w:spacing w:after="60"/>
        <w:ind w:left="576" w:hanging="360"/>
      </w:pPr>
      <w:r>
        <w:rPr>
          <w:b/>
        </w:rPr>
        <w:t xml:space="preserve">A. </w:t>
      </w:r>
      <w:r>
        <w:t>A recorded demo can become obsolete after interface or method changes.</w:t>
      </w:r>
    </w:p>
    <w:p>
      <w:pPr>
        <w:keepLines/>
        <w:spacing w:after="60"/>
        <w:ind w:left="576" w:hanging="360"/>
      </w:pPr>
      <w:r>
        <w:rPr>
          <w:b/>
        </w:rPr>
        <w:t xml:space="preserve">B. </w:t>
      </w:r>
      <w:r>
        <w:t>Install an unverified dataset during the live interpretation and continue without provenance.</w:t>
      </w:r>
    </w:p>
    <w:p>
      <w:pPr>
        <w:keepLines/>
        <w:spacing w:after="60"/>
        <w:ind w:left="576" w:hanging="360"/>
      </w:pPr>
      <w:r>
        <w:rPr>
          <w:b/>
        </w:rPr>
        <w:t xml:space="preserve">C. </w:t>
      </w:r>
      <w:r>
        <w:t>Omit configuration details so readers can focus on the interpretation.</w:t>
      </w:r>
    </w:p>
    <w:p>
      <w:pPr>
        <w:keepLines/>
        <w:spacing w:after="60"/>
        <w:ind w:left="576" w:hanging="360"/>
      </w:pPr>
      <w:r>
        <w:rPr>
          <w:b/>
        </w:rPr>
        <w:t xml:space="preserve">D. </w:t>
      </w:r>
      <w:r>
        <w:t>Narrate what changed after each control.</w:t>
      </w:r>
    </w:p>
    <w:p>
      <w:pPr>
        <w:keepNext/>
        <w:spacing w:before="160"/>
      </w:pPr>
      <w:r>
        <w:rPr>
          <w:b/>
        </w:rPr>
        <w:t>10. A class expects a lament to have low valence, but the mean is high because repeated words such as love, bright, and heaven dominate matched evidence. What is the most defensible next action?</w:t>
      </w:r>
    </w:p>
    <w:p>
      <w:pPr>
        <w:keepLines/>
        <w:spacing w:after="60"/>
        <w:ind w:left="576" w:hanging="360"/>
      </w:pPr>
      <w:r>
        <w:rPr>
          <w:b/>
        </w:rPr>
        <w:t xml:space="preserve">A. </w:t>
      </w:r>
      <w:r>
        <w:t>Switch lexicons until the expected low value appears.</w:t>
      </w:r>
    </w:p>
    <w:p>
      <w:pPr>
        <w:keepLines/>
        <w:spacing w:after="60"/>
        <w:ind w:left="576" w:hanging="360"/>
      </w:pPr>
      <w:r>
        <w:rPr>
          <w:b/>
        </w:rPr>
        <w:t xml:space="preserve">B. </w:t>
      </w:r>
      <w:r>
        <w:t>Ignore the aggregate because contextual language always overrides norms.</w:t>
      </w:r>
    </w:p>
    <w:p>
      <w:pPr>
        <w:keepLines/>
        <w:spacing w:after="60"/>
        <w:ind w:left="576" w:hanging="360"/>
      </w:pPr>
      <w:r>
        <w:rPr>
          <w:b/>
        </w:rPr>
        <w:t xml:space="preserve">C. </w:t>
      </w:r>
      <w:r>
        <w:t>Use the mismatch to inspect repetition, weighting, context, and contributing words, then facilitate revised competing interpretations rather than choosing a winning score.</w:t>
      </w:r>
    </w:p>
    <w:p>
      <w:pPr>
        <w:keepLines/>
        <w:spacing w:after="60"/>
        <w:ind w:left="576" w:hanging="360"/>
      </w:pPr>
      <w:r>
        <w:rPr>
          <w:b/>
        </w:rPr>
        <w:t xml:space="preserve">D. </w:t>
      </w:r>
      <w:r>
        <w:t>Tell the class their initial reading was objectively wrong.</w:t>
      </w:r>
    </w:p>
    <w:p>
      <w:pPr>
        <w:keepNext/>
        <w:spacing w:before="160"/>
      </w:pPr>
      <w:r>
        <w:rPr>
          <w:b/>
        </w:rPr>
        <w:t>11. Which principle is essential when applying Facilitating Computational Close Reading?</w:t>
      </w:r>
    </w:p>
    <w:p>
      <w:pPr>
        <w:keepLines/>
        <w:spacing w:after="60"/>
        <w:ind w:left="576" w:hanging="360"/>
      </w:pPr>
      <w:r>
        <w:rPr>
          <w:b/>
        </w:rPr>
        <w:t xml:space="preserve">A. </w:t>
      </w:r>
      <w:r>
        <w:t>A sufficiently large numerical value can replace source, denominator, and limitation reporting.</w:t>
      </w:r>
    </w:p>
    <w:p>
      <w:pPr>
        <w:keepLines/>
        <w:spacing w:after="60"/>
        <w:ind w:left="576" w:hanging="360"/>
      </w:pPr>
      <w:r>
        <w:rPr>
          <w:b/>
        </w:rPr>
        <w:t xml:space="preserve">B. </w:t>
      </w:r>
      <w:r>
        <w:t>A classroom should use VerseVAD to expand and challenge close reading, not replace interpretive dialogue with numerical authority.</w:t>
      </w:r>
    </w:p>
    <w:p>
      <w:pPr>
        <w:keepLines/>
        <w:spacing w:after="60"/>
        <w:ind w:left="576" w:hanging="360"/>
      </w:pPr>
      <w:r>
        <w:rPr>
          <w:b/>
        </w:rPr>
        <w:t xml:space="preserve">C. </w:t>
      </w:r>
      <w:r>
        <w:t>Tell the class their initial reading was objectively wrong.</w:t>
      </w:r>
    </w:p>
    <w:p>
      <w:pPr>
        <w:keepLines/>
        <w:spacing w:after="60"/>
        <w:ind w:left="576" w:hanging="360"/>
      </w:pPr>
      <w:r>
        <w:rPr>
          <w:b/>
        </w:rPr>
        <w:t xml:space="preserve">D. </w:t>
      </w:r>
      <w:r>
        <w:t>Switch lexicons until the expected low value appears.</w:t>
      </w:r>
    </w:p>
    <w:p>
      <w:pPr>
        <w:keepNext/>
        <w:spacing w:before="160"/>
      </w:pPr>
      <w:r>
        <w:rPr>
          <w:b/>
        </w:rPr>
        <w:t>12. Which reporting practice best preserves the meaning of evidence in Facilitating Computational Close Reading?</w:t>
      </w:r>
    </w:p>
    <w:p>
      <w:pPr>
        <w:keepLines/>
        <w:spacing w:after="60"/>
        <w:ind w:left="576" w:hanging="360"/>
      </w:pPr>
      <w:r>
        <w:rPr>
          <w:b/>
        </w:rPr>
        <w:t xml:space="preserve">A. </w:t>
      </w:r>
      <w:r>
        <w:t>Reward revision rather than correct prediction.</w:t>
      </w:r>
    </w:p>
    <w:p>
      <w:pPr>
        <w:keepLines/>
        <w:spacing w:after="60"/>
        <w:ind w:left="576" w:hanging="360"/>
      </w:pPr>
      <w:r>
        <w:rPr>
          <w:b/>
        </w:rPr>
        <w:t xml:space="preserve">B. </w:t>
      </w:r>
      <w:r>
        <w:t>Discussion can privilege confident statistical language over literary insight.</w:t>
      </w:r>
    </w:p>
    <w:p>
      <w:pPr>
        <w:keepLines/>
        <w:spacing w:after="60"/>
        <w:ind w:left="576" w:hanging="360"/>
      </w:pPr>
      <w:r>
        <w:rPr>
          <w:b/>
        </w:rPr>
        <w:t xml:space="preserve">C. </w:t>
      </w:r>
      <w:r>
        <w:t>Ignore the aggregate because contextual language always overrides norms.</w:t>
      </w:r>
    </w:p>
    <w:p>
      <w:pPr>
        <w:keepLines/>
        <w:spacing w:after="60"/>
        <w:ind w:left="576" w:hanging="360"/>
      </w:pPr>
      <w:r>
        <w:rPr>
          <w:b/>
        </w:rPr>
        <w:t xml:space="preserve">D. </w:t>
      </w:r>
      <w:r>
        <w:t>Omit configuration details so readers can focus on the interpretation.</w:t>
      </w:r>
    </w:p>
    <w:p>
      <w:pPr>
        <w:keepNext/>
        <w:spacing w:before="160"/>
      </w:pPr>
      <w:r>
        <w:rPr>
          <w:b/>
        </w:rPr>
        <w:t>13. Two evaluators give the same capstone a score of 91 and 68. One rewards interpretive originality; the other penalizes missing coverage documentation heavily. What is the most defensible next action?</w:t>
      </w:r>
    </w:p>
    <w:p>
      <w:pPr>
        <w:keepLines/>
        <w:spacing w:after="60"/>
        <w:ind w:left="576" w:hanging="360"/>
      </w:pPr>
      <w:r>
        <w:rPr>
          <w:b/>
        </w:rPr>
        <w:t xml:space="preserve">A. </w:t>
      </w:r>
      <w:r>
        <w:t>Average the two scores without discussing the methodological disagreement.</w:t>
      </w:r>
    </w:p>
    <w:p>
      <w:pPr>
        <w:keepLines/>
        <w:spacing w:after="60"/>
        <w:ind w:left="576" w:hanging="360"/>
      </w:pPr>
      <w:r>
        <w:rPr>
          <w:b/>
        </w:rPr>
        <w:t xml:space="preserve">B. </w:t>
      </w:r>
      <w:r>
        <w:t>Let interpretive originality compensate for fabricated or undocumented evidence.</w:t>
      </w:r>
    </w:p>
    <w:p>
      <w:pPr>
        <w:keepLines/>
        <w:spacing w:after="60"/>
        <w:ind w:left="576" w:hanging="360"/>
      </w:pPr>
      <w:r>
        <w:rPr>
          <w:b/>
        </w:rPr>
        <w:t xml:space="preserve">C. </w:t>
      </w:r>
      <w:r>
        <w:t>Change the rubric after seeing the candidate's identity.</w:t>
      </w:r>
    </w:p>
    <w:p>
      <w:pPr>
        <w:keepLines/>
        <w:spacing w:after="60"/>
        <w:ind w:left="576" w:hanging="360"/>
      </w:pPr>
      <w:r>
        <w:rPr>
          <w:b/>
        </w:rPr>
        <w:t xml:space="preserve">D. </w:t>
      </w:r>
      <w:r>
        <w:t>Clarify weighted criteria and critical requirements, calibrate both evaluators on anchor work, rescore with documented rationale, and offer remediation if required.</w:t>
      </w:r>
    </w:p>
    <w:p>
      <w:pPr>
        <w:keepNext/>
        <w:spacing w:before="160"/>
      </w:pPr>
      <w:r>
        <w:rPr>
          <w:b/>
        </w:rPr>
        <w:t>14. Which principle is essential when applying Assessment, Rubrics, and Calibration?</w:t>
      </w:r>
    </w:p>
    <w:p>
      <w:pPr>
        <w:keepLines/>
        <w:spacing w:after="60"/>
        <w:ind w:left="576" w:hanging="360"/>
      </w:pPr>
      <w:r>
        <w:rPr>
          <w:b/>
        </w:rPr>
        <w:t xml:space="preserve">A. </w:t>
      </w:r>
      <w:r>
        <w:t>Let interpretive originality compensate for fabricated or undocumented evidence.</w:t>
      </w:r>
    </w:p>
    <w:p>
      <w:pPr>
        <w:keepLines/>
        <w:spacing w:after="60"/>
        <w:ind w:left="576" w:hanging="360"/>
      </w:pPr>
      <w:r>
        <w:rPr>
          <w:b/>
        </w:rPr>
        <w:t xml:space="preserve">B. </w:t>
      </w:r>
      <w:r>
        <w:t>A sufficiently large numerical value can replace source, denominator, and limitation reporting.</w:t>
      </w:r>
    </w:p>
    <w:p>
      <w:pPr>
        <w:keepLines/>
        <w:spacing w:after="60"/>
        <w:ind w:left="576" w:hanging="360"/>
      </w:pPr>
      <w:r>
        <w:rPr>
          <w:b/>
        </w:rPr>
        <w:t xml:space="preserve">C. </w:t>
      </w:r>
      <w:r>
        <w:t>Authorization or completion decisions require evidence of applied methodological judgment, not only an overall quiz or rubric total.</w:t>
      </w:r>
    </w:p>
    <w:p>
      <w:pPr>
        <w:keepLines/>
        <w:spacing w:after="60"/>
        <w:ind w:left="576" w:hanging="360"/>
      </w:pPr>
      <w:r>
        <w:rPr>
          <w:b/>
        </w:rPr>
        <w:t xml:space="preserve">D. </w:t>
      </w:r>
      <w:r>
        <w:t>Average the two scores without discussing the methodological disagreement.</w:t>
      </w:r>
    </w:p>
    <w:p>
      <w:pPr>
        <w:keepNext/>
        <w:spacing w:before="160"/>
      </w:pPr>
      <w:r>
        <w:rPr>
          <w:b/>
        </w:rPr>
        <w:t>15. Which reporting practice best preserves the meaning of evidence in Assessment, Rubrics, and Calibration?</w:t>
      </w:r>
    </w:p>
    <w:p>
      <w:pPr>
        <w:keepLines/>
        <w:spacing w:after="60"/>
        <w:ind w:left="576" w:hanging="360"/>
      </w:pPr>
      <w:r>
        <w:rPr>
          <w:b/>
        </w:rPr>
        <w:t xml:space="preserve">A. </w:t>
      </w:r>
      <w:r>
        <w:t>Omit configuration details so readers can focus on the interpretation.</w:t>
      </w:r>
    </w:p>
    <w:p>
      <w:pPr>
        <w:keepLines/>
        <w:spacing w:after="60"/>
        <w:ind w:left="576" w:hanging="360"/>
      </w:pPr>
      <w:r>
        <w:rPr>
          <w:b/>
        </w:rPr>
        <w:t xml:space="preserve">B. </w:t>
      </w:r>
      <w:r>
        <w:t>Score the evidence described by the rubric.</w:t>
      </w:r>
    </w:p>
    <w:p>
      <w:pPr>
        <w:keepLines/>
        <w:spacing w:after="60"/>
        <w:ind w:left="576" w:hanging="360"/>
      </w:pPr>
      <w:r>
        <w:rPr>
          <w:b/>
        </w:rPr>
        <w:t xml:space="preserve">C. </w:t>
      </w:r>
      <w:r>
        <w:t>A highly detailed rubric can create false objectivity.</w:t>
      </w:r>
    </w:p>
    <w:p>
      <w:pPr>
        <w:keepLines/>
        <w:spacing w:after="60"/>
        <w:ind w:left="576" w:hanging="360"/>
      </w:pPr>
      <w:r>
        <w:rPr>
          <w:b/>
        </w:rPr>
        <w:t xml:space="preserve">D. </w:t>
      </w:r>
      <w:r>
        <w:t>Change the rubric after seeing the candidate's identity.</w:t>
      </w:r>
    </w:p>
    <w:p>
      <w:pPr>
        <w:keepNext/>
        <w:spacing w:before="160"/>
      </w:pPr>
      <w:r>
        <w:rPr>
          <w:b/>
        </w:rPr>
        <w:t>16. A lesson asks learners to identify poems by colored VerseMap points, uses tiny screenshots without alt text, and grades participation through rapid mouse-based navigation. What is the most defensible next action?</w:t>
      </w:r>
    </w:p>
    <w:p>
      <w:pPr>
        <w:keepLines/>
        <w:spacing w:after="60"/>
        <w:ind w:left="576" w:hanging="360"/>
      </w:pPr>
      <w:r>
        <w:rPr>
          <w:b/>
        </w:rPr>
        <w:t xml:space="preserve">A. </w:t>
      </w:r>
      <w:r>
        <w:t>Add textual labels, verbal descriptions, structured accessible materials, and an equivalent non-mouse task that assesses the same VerseMap reasoning.</w:t>
      </w:r>
    </w:p>
    <w:p>
      <w:pPr>
        <w:keepLines/>
        <w:spacing w:after="60"/>
        <w:ind w:left="576" w:hanging="360"/>
      </w:pPr>
      <w:r>
        <w:rPr>
          <w:b/>
        </w:rPr>
        <w:t xml:space="preserve">B. </w:t>
      </w:r>
      <w:r>
        <w:t>Tell learners to ask a classmate to interpret inaccessible charts.</w:t>
      </w:r>
    </w:p>
    <w:p>
      <w:pPr>
        <w:keepLines/>
        <w:spacing w:after="60"/>
        <w:ind w:left="576" w:hanging="360"/>
      </w:pPr>
      <w:r>
        <w:rPr>
          <w:b/>
        </w:rPr>
        <w:t xml:space="preserve">C. </w:t>
      </w:r>
      <w:r>
        <w:t>Remove the analytical task entirely for anyone requesting accommodation.</w:t>
      </w:r>
    </w:p>
    <w:p>
      <w:pPr>
        <w:keepLines/>
        <w:spacing w:after="60"/>
        <w:ind w:left="576" w:hanging="360"/>
      </w:pPr>
      <w:r>
        <w:rPr>
          <w:b/>
        </w:rPr>
        <w:t xml:space="preserve">D. </w:t>
      </w:r>
      <w:r>
        <w:t>Assume Streamlit accessibility automatically makes every teaching artifact accessible.</w:t>
      </w:r>
    </w:p>
    <w:p>
      <w:pPr>
        <w:keepNext/>
        <w:spacing w:before="160"/>
      </w:pPr>
      <w:r>
        <w:rPr>
          <w:b/>
        </w:rPr>
        <w:t>17. Which principle is essential when applying Accessibility and Inclusive Instruction?</w:t>
      </w:r>
    </w:p>
    <w:p>
      <w:pPr>
        <w:keepLines/>
        <w:spacing w:after="60"/>
        <w:ind w:left="576" w:hanging="360"/>
      </w:pPr>
      <w:r>
        <w:rPr>
          <w:b/>
        </w:rPr>
        <w:t xml:space="preserve">A. </w:t>
      </w:r>
      <w:r>
        <w:t>Tell learners to ask a classmate to interpret inaccessible charts.</w:t>
      </w:r>
    </w:p>
    <w:p>
      <w:pPr>
        <w:keepLines/>
        <w:spacing w:after="60"/>
        <w:ind w:left="576" w:hanging="360"/>
      </w:pPr>
      <w:r>
        <w:rPr>
          <w:b/>
        </w:rPr>
        <w:t xml:space="preserve">B. </w:t>
      </w:r>
      <w:r>
        <w:t>Remove the analytical task entirely for anyone requesting accommodation.</w:t>
      </w:r>
    </w:p>
    <w:p>
      <w:pPr>
        <w:keepLines/>
        <w:spacing w:after="60"/>
        <w:ind w:left="576" w:hanging="360"/>
      </w:pPr>
      <w:r>
        <w:rPr>
          <w:b/>
        </w:rPr>
        <w:t xml:space="preserve">C. </w:t>
      </w:r>
      <w:r>
        <w:t>A sufficiently large numerical value can replace source, denominator, and limitation reporting.</w:t>
      </w:r>
    </w:p>
    <w:p>
      <w:pPr>
        <w:keepLines/>
        <w:spacing w:after="60"/>
        <w:ind w:left="576" w:hanging="360"/>
      </w:pPr>
      <w:r>
        <w:rPr>
          <w:b/>
        </w:rPr>
        <w:t xml:space="preserve">D. </w:t>
      </w:r>
      <w:r>
        <w:t>No required learning outcome should depend solely on color, sound, hover, fine pointer control, or an inaccessible document.</w:t>
      </w:r>
    </w:p>
    <w:p>
      <w:pPr>
        <w:keepNext/>
        <w:spacing w:before="160"/>
      </w:pPr>
      <w:r>
        <w:rPr>
          <w:b/>
        </w:rPr>
        <w:t>18. Which reporting practice best preserves the meaning of evidence in Accessibility and Inclusive Instruction?</w:t>
      </w:r>
    </w:p>
    <w:p>
      <w:pPr>
        <w:keepLines/>
        <w:spacing w:after="60"/>
        <w:ind w:left="576" w:hanging="360"/>
      </w:pPr>
      <w:r>
        <w:rPr>
          <w:b/>
        </w:rPr>
        <w:t xml:space="preserve">A. </w:t>
      </w:r>
      <w:r>
        <w:t>Assume Streamlit accessibility automatically makes every teaching artifact accessible.</w:t>
      </w:r>
    </w:p>
    <w:p>
      <w:pPr>
        <w:keepLines/>
        <w:spacing w:after="60"/>
        <w:ind w:left="576" w:hanging="360"/>
      </w:pPr>
      <w:r>
        <w:rPr>
          <w:b/>
        </w:rPr>
        <w:t xml:space="preserve">B. </w:t>
      </w:r>
      <w:r>
        <w:t>Omit configuration details so readers can focus on the interpretation.</w:t>
      </w:r>
    </w:p>
    <w:p>
      <w:pPr>
        <w:keepLines/>
        <w:spacing w:after="60"/>
        <w:ind w:left="576" w:hanging="360"/>
      </w:pPr>
      <w:r>
        <w:rPr>
          <w:b/>
        </w:rPr>
        <w:t xml:space="preserve">C. </w:t>
      </w:r>
      <w:r>
        <w:t>Describe the analytical relationship, not decorative appearance.</w:t>
      </w:r>
    </w:p>
    <w:p>
      <w:pPr>
        <w:keepLines/>
        <w:spacing w:after="60"/>
        <w:ind w:left="576" w:hanging="360"/>
      </w:pPr>
      <w:r>
        <w:rPr>
          <w:b/>
        </w:rPr>
        <w:t xml:space="preserve">D. </w:t>
      </w:r>
      <w:r>
        <w:t>Automated accessibility checks cannot evaluate pedagogical clarity fully.</w:t>
      </w:r>
    </w:p>
    <w:p>
      <w:pPr>
        <w:keepNext/>
        <w:spacing w:before="160"/>
      </w:pPr>
      <w:r>
        <w:rPr>
          <w:b/>
        </w:rPr>
        <w:t>19. An instructor describes a low-dominance result in a student's unpublished poem as evidence that the student feels powerless, then exports class notes with the poem attached. What is the most defensible next action?</w:t>
      </w:r>
    </w:p>
    <w:p>
      <w:pPr>
        <w:keepLines/>
        <w:spacing w:after="60"/>
        <w:ind w:left="576" w:hanging="360"/>
      </w:pPr>
      <w:r>
        <w:rPr>
          <w:b/>
        </w:rPr>
        <w:t xml:space="preserve">A. </w:t>
      </w:r>
      <w:r>
        <w:t>Ask the student to opt out publicly after the export has been shared.</w:t>
      </w:r>
    </w:p>
    <w:p>
      <w:pPr>
        <w:keepLines/>
        <w:spacing w:after="60"/>
        <w:ind w:left="576" w:hanging="360"/>
      </w:pPr>
      <w:r>
        <w:rPr>
          <w:b/>
        </w:rPr>
        <w:t xml:space="preserve">B. </w:t>
      </w:r>
      <w:r>
        <w:t>Withdraw the psychological claim, protect the unpublished text and notes, explain lexical dominance accurately, and use an authorized privacy-preserving teaching workflow.</w:t>
      </w:r>
    </w:p>
    <w:p>
      <w:pPr>
        <w:keepLines/>
        <w:spacing w:after="60"/>
        <w:ind w:left="576" w:hanging="360"/>
      </w:pPr>
      <w:r>
        <w:rPr>
          <w:b/>
        </w:rPr>
        <w:t xml:space="preserve">C. </w:t>
      </w:r>
      <w:r>
        <w:t>Keep the example because authentic student work is pedagogically valuable.</w:t>
      </w:r>
    </w:p>
    <w:p>
      <w:pPr>
        <w:keepLines/>
        <w:spacing w:after="60"/>
        <w:ind w:left="576" w:hanging="360"/>
      </w:pPr>
      <w:r>
        <w:rPr>
          <w:b/>
        </w:rPr>
        <w:t xml:space="preserve">D. </w:t>
      </w:r>
      <w:r>
        <w:t>Replace dominance with valence and repeat the claim.</w:t>
      </w:r>
    </w:p>
    <w:p>
      <w:pPr>
        <w:keepNext/>
        <w:spacing w:before="160"/>
      </w:pPr>
      <w:r>
        <w:rPr>
          <w:b/>
        </w:rPr>
        <w:t>20. Which principle is essential when applying Teaching Limitations, Ethics, and Responsible Claims?</w:t>
      </w:r>
    </w:p>
    <w:p>
      <w:pPr>
        <w:keepLines/>
        <w:spacing w:after="60"/>
        <w:ind w:left="576" w:hanging="360"/>
      </w:pPr>
      <w:r>
        <w:rPr>
          <w:b/>
        </w:rPr>
        <w:t xml:space="preserve">A. </w:t>
      </w:r>
      <w:r>
        <w:t>Never infer or publicly disclose a learner's psychological state, identity, or intention from VerseVAD results.</w:t>
      </w:r>
    </w:p>
    <w:p>
      <w:pPr>
        <w:keepLines/>
        <w:spacing w:after="60"/>
        <w:ind w:left="576" w:hanging="360"/>
      </w:pPr>
      <w:r>
        <w:rPr>
          <w:b/>
        </w:rPr>
        <w:t xml:space="preserve">B. </w:t>
      </w:r>
      <w:r>
        <w:t>Keep the example because authentic student work is pedagogically valuable.</w:t>
      </w:r>
    </w:p>
    <w:p>
      <w:pPr>
        <w:keepLines/>
        <w:spacing w:after="60"/>
        <w:ind w:left="576" w:hanging="360"/>
      </w:pPr>
      <w:r>
        <w:rPr>
          <w:b/>
        </w:rPr>
        <w:t xml:space="preserve">C. </w:t>
      </w:r>
      <w:r>
        <w:t>Replace dominance with valence and repeat the claim.</w:t>
      </w:r>
    </w:p>
    <w:p>
      <w:pPr>
        <w:keepLines/>
        <w:spacing w:after="60"/>
        <w:ind w:left="576" w:hanging="360"/>
      </w:pPr>
      <w:r>
        <w:rPr>
          <w:b/>
        </w:rPr>
        <w:t xml:space="preserve">D. </w:t>
      </w:r>
      <w:r>
        <w:t>A sufficiently large numerical value can replace source, denominator, and limitation reporting.</w:t>
      </w:r>
    </w:p>
    <w:p>
      <w:pPr>
        <w:keepNext/>
        <w:spacing w:before="160"/>
      </w:pPr>
      <w:r>
        <w:rPr>
          <w:b/>
        </w:rPr>
        <w:t>21. Which reporting practice best preserves the meaning of evidence in Teaching Limitations, Ethics, and Responsible Claims?</w:t>
      </w:r>
    </w:p>
    <w:p>
      <w:pPr>
        <w:keepLines/>
        <w:spacing w:after="60"/>
        <w:ind w:left="576" w:hanging="360"/>
      </w:pPr>
      <w:r>
        <w:rPr>
          <w:b/>
        </w:rPr>
        <w:t xml:space="preserve">A. </w:t>
      </w:r>
      <w:r>
        <w:t>Instructor enthusiasm can unintentionally amplify software authority.</w:t>
      </w:r>
    </w:p>
    <w:p>
      <w:pPr>
        <w:keepLines/>
        <w:spacing w:after="60"/>
        <w:ind w:left="576" w:hanging="360"/>
      </w:pPr>
      <w:r>
        <w:rPr>
          <w:b/>
        </w:rPr>
        <w:t xml:space="preserve">B. </w:t>
      </w:r>
      <w:r>
        <w:t>Ask the student to opt out publicly after the export has been shared.</w:t>
      </w:r>
    </w:p>
    <w:p>
      <w:pPr>
        <w:keepLines/>
        <w:spacing w:after="60"/>
        <w:ind w:left="576" w:hanging="360"/>
      </w:pPr>
      <w:r>
        <w:rPr>
          <w:b/>
        </w:rPr>
        <w:t xml:space="preserve">C. </w:t>
      </w:r>
      <w:r>
        <w:t>Omit configuration details so readers can focus on the interpretation.</w:t>
      </w:r>
    </w:p>
    <w:p>
      <w:pPr>
        <w:keepLines/>
        <w:spacing w:after="60"/>
        <w:ind w:left="576" w:hanging="360"/>
      </w:pPr>
      <w:r>
        <w:rPr>
          <w:b/>
        </w:rPr>
        <w:t xml:space="preserve">D. </w:t>
      </w:r>
      <w:r>
        <w:t>Discuss language evidence, not learner psychology.</w:t>
      </w:r>
    </w:p>
    <w:p>
      <w:pPr>
        <w:keepNext/>
        <w:spacing w:before="160"/>
      </w:pPr>
      <w:r>
        <w:rPr>
          <w:b/>
        </w:rPr>
        <w:t>22. An instructor reuses a recorded lesson that calls the workspace Project/Corpus, teaches autosaved drafts, and says VerseMap includes sound features, although the current release differs. What is the most defensible next action?</w:t>
      </w:r>
    </w:p>
    <w:p>
      <w:pPr>
        <w:keepLines/>
        <w:spacing w:after="60"/>
        <w:ind w:left="576" w:hanging="360"/>
      </w:pPr>
      <w:r>
        <w:rPr>
          <w:b/>
        </w:rPr>
        <w:t xml:space="preserve">A. </w:t>
      </w:r>
      <w:r>
        <w:t>Update screenshots only and leave method claims unchanged.</w:t>
      </w:r>
    </w:p>
    <w:p>
      <w:pPr>
        <w:keepLines/>
        <w:spacing w:after="60"/>
        <w:ind w:left="576" w:hanging="360"/>
      </w:pPr>
      <w:r>
        <w:rPr>
          <w:b/>
        </w:rPr>
        <w:t xml:space="preserve">B. </w:t>
      </w:r>
      <w:r>
        <w:t>Invent a local feature explanation to bridge the version difference.</w:t>
      </w:r>
    </w:p>
    <w:p>
      <w:pPr>
        <w:keepLines/>
        <w:spacing w:after="60"/>
        <w:ind w:left="576" w:hanging="360"/>
      </w:pPr>
      <w:r>
        <w:rPr>
          <w:b/>
        </w:rPr>
        <w:t xml:space="preserve">C. </w:t>
      </w:r>
      <w:r>
        <w:t>Suspend the obsolete recording, validate every workflow and method against the current release, issue corrections, update linked assessment content, and seek owner approval where required.</w:t>
      </w:r>
    </w:p>
    <w:p>
      <w:pPr>
        <w:keepLines/>
        <w:spacing w:after="60"/>
        <w:ind w:left="576" w:hanging="360"/>
      </w:pPr>
      <w:r>
        <w:rPr>
          <w:b/>
        </w:rPr>
        <w:t xml:space="preserve">D. </w:t>
      </w:r>
      <w:r>
        <w:t>Keep the recording because learners can infer the current labels.</w:t>
      </w:r>
    </w:p>
    <w:p>
      <w:pPr>
        <w:keepNext/>
        <w:spacing w:before="160"/>
      </w:pPr>
      <w:r>
        <w:rPr>
          <w:b/>
        </w:rPr>
        <w:t>23. Which principle is essential when applying Curriculum Fidelity and Version Management?</w:t>
      </w:r>
    </w:p>
    <w:p>
      <w:pPr>
        <w:keepLines/>
        <w:spacing w:after="60"/>
        <w:ind w:left="576" w:hanging="360"/>
      </w:pPr>
      <w:r>
        <w:rPr>
          <w:b/>
        </w:rPr>
        <w:t xml:space="preserve">A. </w:t>
      </w:r>
      <w:r>
        <w:t>A sufficiently large numerical value can replace source, denominator, and limitation reporting.</w:t>
      </w:r>
    </w:p>
    <w:p>
      <w:pPr>
        <w:keepLines/>
        <w:spacing w:after="60"/>
        <w:ind w:left="576" w:hanging="360"/>
      </w:pPr>
      <w:r>
        <w:rPr>
          <w:b/>
        </w:rPr>
        <w:t xml:space="preserve">B. </w:t>
      </w:r>
      <w:r>
        <w:t>An authorized instructor must never knowingly teach roadmap intentions or obsolete behavior as current VerseVAD functionality.</w:t>
      </w:r>
    </w:p>
    <w:p>
      <w:pPr>
        <w:keepLines/>
        <w:spacing w:after="60"/>
        <w:ind w:left="576" w:hanging="360"/>
      </w:pPr>
      <w:r>
        <w:rPr>
          <w:b/>
        </w:rPr>
        <w:t xml:space="preserve">C. </w:t>
      </w:r>
      <w:r>
        <w:t>Keep the recording because learners can infer the current labels.</w:t>
      </w:r>
    </w:p>
    <w:p>
      <w:pPr>
        <w:keepLines/>
        <w:spacing w:after="60"/>
        <w:ind w:left="576" w:hanging="360"/>
      </w:pPr>
      <w:r>
        <w:rPr>
          <w:b/>
        </w:rPr>
        <w:t xml:space="preserve">D. </w:t>
      </w:r>
      <w:r>
        <w:t>Update screenshots only and leave method claims unchanged.</w:t>
      </w:r>
    </w:p>
    <w:p>
      <w:pPr>
        <w:keepNext/>
        <w:spacing w:before="160"/>
      </w:pPr>
      <w:r>
        <w:rPr>
          <w:b/>
        </w:rPr>
        <w:t>24. Which reporting practice best preserves the meaning of evidence in Curriculum Fidelity and Version Management?</w:t>
      </w:r>
    </w:p>
    <w:p>
      <w:pPr>
        <w:keepLines/>
        <w:spacing w:after="60"/>
        <w:ind w:left="576" w:hanging="360"/>
      </w:pPr>
      <w:r>
        <w:rPr>
          <w:b/>
        </w:rPr>
        <w:t xml:space="preserve">A. </w:t>
      </w:r>
      <w:r>
        <w:t>Current implementation governs current behavior.</w:t>
      </w:r>
    </w:p>
    <w:p>
      <w:pPr>
        <w:keepLines/>
        <w:spacing w:after="60"/>
        <w:ind w:left="576" w:hanging="360"/>
      </w:pPr>
      <w:r>
        <w:rPr>
          <w:b/>
        </w:rPr>
        <w:t xml:space="preserve">B. </w:t>
      </w:r>
      <w:r>
        <w:t>Interface screenshots age quickly.</w:t>
      </w:r>
    </w:p>
    <w:p>
      <w:pPr>
        <w:keepLines/>
        <w:spacing w:after="60"/>
        <w:ind w:left="576" w:hanging="360"/>
      </w:pPr>
      <w:r>
        <w:rPr>
          <w:b/>
        </w:rPr>
        <w:t xml:space="preserve">C. </w:t>
      </w:r>
      <w:r>
        <w:t>Invent a local feature explanation to bridge the version difference.</w:t>
      </w:r>
    </w:p>
    <w:p>
      <w:pPr>
        <w:keepLines/>
        <w:spacing w:after="60"/>
        <w:ind w:left="576" w:hanging="360"/>
      </w:pPr>
      <w:r>
        <w:rPr>
          <w:b/>
        </w:rPr>
        <w:t xml:space="preserve">D. </w:t>
      </w:r>
      <w:r>
        <w:t>Omit configuration details so readers can focus on the interpretation.</w:t>
      </w:r>
    </w:p>
    <w:p>
      <w:pPr>
        <w:keepNext/>
        <w:spacing w:before="160"/>
      </w:pPr>
      <w:r>
        <w:rPr>
          <w:b/>
        </w:rPr>
        <w:t>25. A learner emails a licensed lexicon, an unpublished poem, and a full project database to ask why one coverage value is low. What is the most defensible next action?</w:t>
      </w:r>
    </w:p>
    <w:p>
      <w:pPr>
        <w:keepLines/>
        <w:spacing w:after="60"/>
        <w:ind w:left="576" w:hanging="360"/>
      </w:pPr>
      <w:r>
        <w:rPr>
          <w:b/>
        </w:rPr>
        <w:t xml:space="preserve">A. </w:t>
      </w:r>
      <w:r>
        <w:t>Upload the materials to a public issue so developers can inspect them.</w:t>
      </w:r>
    </w:p>
    <w:p>
      <w:pPr>
        <w:keepLines/>
        <w:spacing w:after="60"/>
        <w:ind w:left="576" w:hanging="360"/>
      </w:pPr>
      <w:r>
        <w:rPr>
          <w:b/>
        </w:rPr>
        <w:t xml:space="preserve">B. </w:t>
      </w:r>
      <w:r>
        <w:t>Return a modified lexicon copy as a quick fix.</w:t>
      </w:r>
    </w:p>
    <w:p>
      <w:pPr>
        <w:keepLines/>
        <w:spacing w:after="60"/>
        <w:ind w:left="576" w:hanging="360"/>
      </w:pPr>
      <w:r>
        <w:rPr>
          <w:b/>
        </w:rPr>
        <w:t xml:space="preserve">C. </w:t>
      </w:r>
      <w:r>
        <w:t>Diagnose the issue from the low coverage value without checking settings or evidence.</w:t>
      </w:r>
    </w:p>
    <w:p>
      <w:pPr>
        <w:keepLines/>
        <w:spacing w:after="60"/>
        <w:ind w:left="576" w:hanging="360"/>
      </w:pPr>
      <w:r>
        <w:rPr>
          <w:b/>
        </w:rPr>
        <w:t xml:space="preserve">D. </w:t>
      </w:r>
      <w:r>
        <w:t>Ask the learner to stop transmitting sensitive files, secure or delete received copies, reproduce with a safe minimal example, and escalate only the necessary diagnostic record.</w:t>
      </w:r>
    </w:p>
    <w:p>
      <w:pPr>
        <w:keepNext/>
        <w:spacing w:before="160"/>
      </w:pPr>
      <w:r>
        <w:rPr>
          <w:b/>
        </w:rPr>
        <w:t>26. Which principle is essential when applying Support, Boundaries, and Escalation?</w:t>
      </w:r>
    </w:p>
    <w:p>
      <w:pPr>
        <w:keepLines/>
        <w:spacing w:after="60"/>
        <w:ind w:left="576" w:hanging="360"/>
      </w:pPr>
      <w:r>
        <w:rPr>
          <w:b/>
        </w:rPr>
        <w:t xml:space="preserve">A. </w:t>
      </w:r>
      <w:r>
        <w:t>Return a modified lexicon copy as a quick fix.</w:t>
      </w:r>
    </w:p>
    <w:p>
      <w:pPr>
        <w:keepLines/>
        <w:spacing w:after="60"/>
        <w:ind w:left="576" w:hanging="360"/>
      </w:pPr>
      <w:r>
        <w:rPr>
          <w:b/>
        </w:rPr>
        <w:t xml:space="preserve">B. </w:t>
      </w:r>
      <w:r>
        <w:t>A sufficiently large numerical value can replace source, denominator, and limitation reporting.</w:t>
      </w:r>
    </w:p>
    <w:p>
      <w:pPr>
        <w:keepLines/>
        <w:spacing w:after="60"/>
        <w:ind w:left="576" w:hanging="360"/>
      </w:pPr>
      <w:r>
        <w:rPr>
          <w:b/>
        </w:rPr>
        <w:t xml:space="preserve">C. </w:t>
      </w:r>
      <w:r>
        <w:t>Support convenience never justifies unnecessary collection or redistribution of private texts, licensed datasets, databases, or notes.</w:t>
      </w:r>
    </w:p>
    <w:p>
      <w:pPr>
        <w:keepLines/>
        <w:spacing w:after="60"/>
        <w:ind w:left="576" w:hanging="360"/>
      </w:pPr>
      <w:r>
        <w:rPr>
          <w:b/>
        </w:rPr>
        <w:t xml:space="preserve">D. </w:t>
      </w:r>
      <w:r>
        <w:t>Upload the materials to a public issue so developers can inspect them.</w:t>
      </w:r>
    </w:p>
    <w:p>
      <w:pPr>
        <w:keepNext/>
        <w:spacing w:before="160"/>
      </w:pPr>
      <w:r>
        <w:rPr>
          <w:b/>
        </w:rPr>
        <w:t>27. Which reporting practice best preserves the meaning of evidence in Support, Boundaries, and Escalation?</w:t>
      </w:r>
    </w:p>
    <w:p>
      <w:pPr>
        <w:keepLines/>
        <w:spacing w:after="60"/>
        <w:ind w:left="576" w:hanging="360"/>
      </w:pPr>
      <w:r>
        <w:rPr>
          <w:b/>
        </w:rPr>
        <w:t xml:space="preserve">A. </w:t>
      </w:r>
      <w:r>
        <w:t>Omit configuration details so readers can focus on the interpretation.</w:t>
      </w:r>
    </w:p>
    <w:p>
      <w:pPr>
        <w:keepLines/>
        <w:spacing w:after="60"/>
        <w:ind w:left="576" w:hanging="360"/>
      </w:pPr>
      <w:r>
        <w:rPr>
          <w:b/>
        </w:rPr>
        <w:t xml:space="preserve">B. </w:t>
      </w:r>
      <w:r>
        <w:t>Do not request complete private data by default.</w:t>
      </w:r>
    </w:p>
    <w:p>
      <w:pPr>
        <w:keepLines/>
        <w:spacing w:after="60"/>
        <w:ind w:left="576" w:hanging="360"/>
      </w:pPr>
      <w:r>
        <w:rPr>
          <w:b/>
        </w:rPr>
        <w:t xml:space="preserve">C. </w:t>
      </w:r>
      <w:r>
        <w:t>Some defects cannot be reproduced without sensitive data.</w:t>
      </w:r>
    </w:p>
    <w:p>
      <w:pPr>
        <w:keepLines/>
        <w:spacing w:after="60"/>
        <w:ind w:left="576" w:hanging="360"/>
      </w:pPr>
      <w:r>
        <w:rPr>
          <w:b/>
        </w:rPr>
        <w:t xml:space="preserve">D. </w:t>
      </w:r>
      <w:r>
        <w:t>Diagnose the issue from the low coverage value without checking settings or evidence.</w:t>
      </w:r>
    </w:p>
    <w:p>
      <w:pPr>
        <w:keepNext/>
        <w:spacing w:before="160"/>
      </w:pPr>
      <w:r>
        <w:rPr>
          <w:b/>
        </w:rPr>
        <w:t>28. A candidate gives an engaging demonstration but calls PoetryID a definitive emotional classification and cannot explain the coverage denominator when asked. What is the most defensible next action?</w:t>
      </w:r>
    </w:p>
    <w:p>
      <w:pPr>
        <w:keepLines/>
        <w:spacing w:after="60"/>
        <w:ind w:left="576" w:hanging="360"/>
      </w:pPr>
      <w:r>
        <w:rPr>
          <w:b/>
        </w:rPr>
        <w:t xml:space="preserve">A. </w:t>
      </w:r>
      <w:r>
        <w:t>Withhold authorization readiness, document the critical method error, require targeted retraining and a new observed explanation of PoetryID and coverage, and preserve the candidate's demonstrated strengths.</w:t>
      </w:r>
    </w:p>
    <w:p>
      <w:pPr>
        <w:keepLines/>
        <w:spacing w:after="60"/>
        <w:ind w:left="576" w:hanging="360"/>
      </w:pPr>
      <w:r>
        <w:rPr>
          <w:b/>
        </w:rPr>
        <w:t xml:space="preserve">B. </w:t>
      </w:r>
      <w:r>
        <w:t>Average strong presentation scores with the method error and pass the candidate.</w:t>
      </w:r>
    </w:p>
    <w:p>
      <w:pPr>
        <w:keepLines/>
        <w:spacing w:after="60"/>
        <w:ind w:left="576" w:hanging="360"/>
      </w:pPr>
      <w:r>
        <w:rPr>
          <w:b/>
        </w:rPr>
        <w:t xml:space="preserve">C. </w:t>
      </w:r>
      <w:r>
        <w:t>Issue conditional authorization without documented remediation.</w:t>
      </w:r>
    </w:p>
    <w:p>
      <w:pPr>
        <w:keepLines/>
        <w:spacing w:after="60"/>
        <w:ind w:left="576" w:hanging="360"/>
      </w:pPr>
      <w:r>
        <w:rPr>
          <w:b/>
        </w:rPr>
        <w:t xml:space="preserve">D. </w:t>
      </w:r>
      <w:r>
        <w:t>Fail the candidate permanently without a defined reassessment path.</w:t>
      </w:r>
    </w:p>
    <w:p>
      <w:pPr>
        <w:keepNext/>
        <w:spacing w:before="160"/>
      </w:pPr>
      <w:r>
        <w:rPr>
          <w:b/>
        </w:rPr>
        <w:t>29. Which principle is essential when applying Authorization Practicum?</w:t>
      </w:r>
    </w:p>
    <w:p>
      <w:pPr>
        <w:keepLines/>
        <w:spacing w:after="60"/>
        <w:ind w:left="576" w:hanging="360"/>
      </w:pPr>
      <w:r>
        <w:rPr>
          <w:b/>
        </w:rPr>
        <w:t xml:space="preserve">A. </w:t>
      </w:r>
      <w:r>
        <w:t>Average strong presentation scores with the method error and pass the candidate.</w:t>
      </w:r>
    </w:p>
    <w:p>
      <w:pPr>
        <w:keepLines/>
        <w:spacing w:after="60"/>
        <w:ind w:left="576" w:hanging="360"/>
      </w:pPr>
      <w:r>
        <w:rPr>
          <w:b/>
        </w:rPr>
        <w:t xml:space="preserve">B. </w:t>
      </w:r>
      <w:r>
        <w:t>Issue conditional authorization without documented remediation.</w:t>
      </w:r>
    </w:p>
    <w:p>
      <w:pPr>
        <w:keepLines/>
        <w:spacing w:after="60"/>
        <w:ind w:left="576" w:hanging="360"/>
      </w:pPr>
      <w:r>
        <w:rPr>
          <w:b/>
        </w:rPr>
        <w:t xml:space="preserve">C. </w:t>
      </w:r>
      <w:r>
        <w:t>A sufficiently large numerical value can replace source, denominator, and limitation reporting.</w:t>
      </w:r>
    </w:p>
    <w:p>
      <w:pPr>
        <w:keepLines/>
        <w:spacing w:after="60"/>
        <w:ind w:left="576" w:hanging="360"/>
      </w:pPr>
      <w:r>
        <w:rPr>
          <w:b/>
        </w:rPr>
        <w:t xml:space="preserve">D. </w:t>
      </w:r>
      <w:r>
        <w:t>A satisfactory practicum and absence of critical errors are required; this training package itself does not issue authorization or a certificate.</w:t>
      </w:r>
    </w:p>
    <w:p>
      <w:pPr>
        <w:keepNext/>
        <w:spacing w:before="160"/>
      </w:pPr>
      <w:r>
        <w:rPr>
          <w:b/>
        </w:rPr>
        <w:t>30. Which reporting practice best preserves the meaning of evidence in Authorization Practicum?</w:t>
      </w:r>
    </w:p>
    <w:p>
      <w:pPr>
        <w:keepLines/>
        <w:spacing w:after="60"/>
        <w:ind w:left="576" w:hanging="360"/>
      </w:pPr>
      <w:r>
        <w:rPr>
          <w:b/>
        </w:rPr>
        <w:t xml:space="preserve">A. </w:t>
      </w:r>
      <w:r>
        <w:t>Fail the candidate permanently without a defined reassessment path.</w:t>
      </w:r>
    </w:p>
    <w:p>
      <w:pPr>
        <w:keepLines/>
        <w:spacing w:after="60"/>
        <w:ind w:left="576" w:hanging="360"/>
      </w:pPr>
      <w:r>
        <w:rPr>
          <w:b/>
        </w:rPr>
        <w:t xml:space="preserve">B. </w:t>
      </w:r>
      <w:r>
        <w:t>Omit configuration details so readers can focus on the interpretation.</w:t>
      </w:r>
    </w:p>
    <w:p>
      <w:pPr>
        <w:keepLines/>
        <w:spacing w:after="60"/>
        <w:ind w:left="576" w:hanging="360"/>
      </w:pPr>
      <w:r>
        <w:rPr>
          <w:b/>
        </w:rPr>
        <w:t xml:space="preserve">C. </w:t>
      </w:r>
      <w:r>
        <w:t>Score evidence against observable criteria.</w:t>
      </w:r>
    </w:p>
    <w:p>
      <w:pPr>
        <w:keepLines/>
        <w:spacing w:after="60"/>
        <w:ind w:left="576" w:hanging="360"/>
      </w:pPr>
      <w:r>
        <w:rPr>
          <w:b/>
        </w:rPr>
        <w:t xml:space="preserve">D. </w:t>
      </w:r>
      <w:r>
        <w:t>One observed lesson samples only part of teaching practice.</w:t>
      </w:r>
    </w:p>
    <w:p>
      <w:pPr>
        <w:pStyle w:val="Heading1"/>
      </w:pPr>
      <w:r>
        <w:t>Applied Assessment Bridge</w:t>
      </w:r>
    </w:p>
    <w:p>
      <w:r>
        <w:t>The separate **Authorization-Readiness Teaching Practicum** converts course knowledge into observable practice. Begin it only after completing the conceptual assessment and resolving any critical-domain remediation.</w:t>
      </w:r>
    </w:p>
    <w:p>
      <w:pPr>
        <w:pStyle w:val="ListBullet"/>
      </w:pPr>
      <w:r>
        <w:t>Scope declaration and prerequisite evidence</w:t>
      </w:r>
    </w:p>
    <w:p>
      <w:pPr>
        <w:pStyle w:val="ListBullet"/>
      </w:pPr>
      <w:r>
        <w:t>Lesson plan with outcomes, timing, activities, checks, and contingency plan</w:t>
      </w:r>
    </w:p>
    <w:p>
      <w:pPr>
        <w:pStyle w:val="ListBullet"/>
      </w:pPr>
      <w:r>
        <w:t>Accessible learner handout or slides with alt text and transcript-equivalent content</w:t>
      </w:r>
    </w:p>
    <w:p>
      <w:pPr>
        <w:pStyle w:val="ListBullet"/>
      </w:pPr>
      <w:r>
        <w:t>Live or recorded VerseVAD demonstration using current labels and methods</w:t>
      </w:r>
    </w:p>
    <w:p>
      <w:pPr>
        <w:pStyle w:val="ListBullet"/>
      </w:pPr>
      <w:r>
        <w:t>Facilitated close-reading activity and formative assessment</w:t>
      </w:r>
    </w:p>
    <w:p>
      <w:pPr>
        <w:pStyle w:val="ListBullet"/>
      </w:pPr>
      <w:r>
        <w:t>Scored sample learner response with calibration rationale</w:t>
      </w:r>
    </w:p>
    <w:p>
      <w:pPr>
        <w:pStyle w:val="ListBullet"/>
      </w:pPr>
      <w:r>
        <w:t>Ethics, privacy, data-rights, support, and escalation plan</w:t>
      </w:r>
    </w:p>
    <w:p>
      <w:pPr>
        <w:pStyle w:val="ListBullet"/>
      </w:pPr>
      <w:r>
        <w:t>Version-validation checklist</w:t>
      </w:r>
    </w:p>
    <w:p>
      <w:pPr>
        <w:pStyle w:val="ListBullet"/>
      </w:pPr>
      <w:r>
        <w:t>Post-observation reflection and revision plan</w:t>
      </w:r>
    </w:p>
    <w:p>
      <w:r>
        <w:t>Use the separate assignment brief for submission instructions and the separate rubric for scoring. These materials do not issue a credential automatically.</w:t>
      </w:r>
    </w:p>
    <w:p>
      <w:pPr>
        <w:pStyle w:val="Heading1"/>
      </w:pPr>
      <w:r>
        <w:t>Glossary</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VerseVAD course glossary"/>
        <w:tblDescription w:val="Definitions of recurring methodological, lexical, statistical, prosodic, and research terms."/>
      </w:tblPr>
      <w:tblGrid>
        <w:gridCol w:w="4680"/>
        <w:gridCol w:w="4680"/>
      </w:tblGrid>
      <w:tr>
        <w:trPr>
          <w:cantSplit/>
          <w:trHeight w:hRule="atLeast"/>
          <w:tblHeader w:val="true"/>
        </w:trPr>
        <w:tc>
          <w:tcPr>
            <w:tcW w:type="dxa" w:w="2100"/>
            <w:tcMar>
              <w:top w:w="75" w:type="dxa"/>
              <w:start w:w="100" w:type="dxa"/>
              <w:bottom w:w="75" w:type="dxa"/>
              <w:end w:w="100" w:type="dxa"/>
            </w:tcMar>
            <w:vAlign w:val="center"/>
            <w:shd w:fill="E8EEF5"/>
          </w:tcPr>
          <w:p>
            <w:pPr>
              <w:spacing w:after="0" w:line="264" w:lineRule="auto"/>
            </w:pPr>
            <w:r>
              <w:rPr>
                <w:b/>
                <w:color w:val="1F4D78"/>
                <w:sz w:val="17"/>
              </w:rPr>
              <w:t>Term</w:t>
            </w:r>
          </w:p>
        </w:tc>
        <w:tc>
          <w:tcPr>
            <w:tcW w:type="dxa" w:w="7260"/>
            <w:tcMar>
              <w:top w:w="75" w:type="dxa"/>
              <w:start w:w="100" w:type="dxa"/>
              <w:bottom w:w="75" w:type="dxa"/>
              <w:end w:w="100" w:type="dxa"/>
            </w:tcMar>
            <w:vAlign w:val="center"/>
            <w:shd w:fill="E8EEF5"/>
          </w:tcPr>
          <w:p>
            <w:pPr>
              <w:spacing w:after="0" w:line="264" w:lineRule="auto"/>
            </w:pPr>
            <w:r>
              <w:rPr>
                <w:b/>
                <w:color w:val="1F4D78"/>
                <w:sz w:val="17"/>
              </w:rPr>
              <w:t>Course definition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Analysis profile</w:t>
            </w:r>
          </w:p>
        </w:tc>
        <w:tc>
          <w:tcPr>
            <w:tcW w:type="dxa" w:w="7260"/>
            <w:tcMar>
              <w:top w:w="75" w:type="dxa"/>
              <w:start w:w="100" w:type="dxa"/>
              <w:bottom w:w="75" w:type="dxa"/>
              <w:end w:w="100" w:type="dxa"/>
            </w:tcMar>
            <w:vAlign w:val="center"/>
          </w:tcPr>
          <w:p>
            <w:pPr>
              <w:spacing w:after="0" w:line="264" w:lineRule="auto"/>
            </w:pPr>
            <w:r>
              <w:rPr>
                <w:sz w:val="17"/>
              </w:rPr>
              <w:t>A reproducible starting set of enabled modules and defaults that may be deliberately customized.</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Arousal</w:t>
            </w:r>
          </w:p>
        </w:tc>
        <w:tc>
          <w:tcPr>
            <w:tcW w:type="dxa" w:w="7260"/>
            <w:tcMar>
              <w:top w:w="75" w:type="dxa"/>
              <w:start w:w="100" w:type="dxa"/>
              <w:bottom w:w="75" w:type="dxa"/>
              <w:end w:w="100" w:type="dxa"/>
            </w:tcMar>
            <w:vAlign w:val="center"/>
          </w:tcPr>
          <w:p>
            <w:pPr>
              <w:spacing w:after="0" w:line="264" w:lineRule="auto"/>
            </w:pPr>
            <w:r>
              <w:rPr>
                <w:sz w:val="17"/>
              </w:rPr>
              <w:t>Normative lexical association with activation, intensity, agitation, or calm.</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Association proportion</w:t>
            </w:r>
          </w:p>
        </w:tc>
        <w:tc>
          <w:tcPr>
            <w:tcW w:type="dxa" w:w="7260"/>
            <w:tcMar>
              <w:top w:w="75" w:type="dxa"/>
              <w:start w:w="100" w:type="dxa"/>
              <w:bottom w:w="75" w:type="dxa"/>
              <w:end w:w="100" w:type="dxa"/>
            </w:tcMar>
            <w:vAlign w:val="center"/>
          </w:tcPr>
          <w:p>
            <w:pPr>
              <w:spacing w:after="0" w:line="264" w:lineRule="auto"/>
            </w:pPr>
            <w:r>
              <w:rPr>
                <w:sz w:val="17"/>
              </w:rPr>
              <w:t>Share of eligible matched evidence linked to a multi-label category; not a reader-response percentage.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Coverage</w:t>
            </w:r>
          </w:p>
        </w:tc>
        <w:tc>
          <w:tcPr>
            <w:tcW w:type="dxa" w:w="7260"/>
            <w:tcMar>
              <w:top w:w="75" w:type="dxa"/>
              <w:start w:w="100" w:type="dxa"/>
              <w:bottom w:w="75" w:type="dxa"/>
              <w:end w:w="100" w:type="dxa"/>
            </w:tcMar>
            <w:vAlign w:val="center"/>
          </w:tcPr>
          <w:p>
            <w:pPr>
              <w:spacing w:after="0" w:line="264" w:lineRule="auto"/>
            </w:pPr>
            <w:r>
              <w:rPr>
                <w:sz w:val="17"/>
              </w:rPr>
              <w:t>Matched eligible evidence divided by eligible evidence under a named policy.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Cumulative lexical load</w:t>
            </w:r>
          </w:p>
        </w:tc>
        <w:tc>
          <w:tcPr>
            <w:tcW w:type="dxa" w:w="7260"/>
            <w:tcMar>
              <w:top w:w="75" w:type="dxa"/>
              <w:start w:w="100" w:type="dxa"/>
              <w:bottom w:w="75" w:type="dxa"/>
              <w:end w:w="100" w:type="dxa"/>
            </w:tcMar>
            <w:vAlign w:val="center"/>
          </w:tcPr>
          <w:p>
            <w:pPr>
              <w:spacing w:after="0" w:line="264" w:lineRule="auto"/>
            </w:pPr>
            <w:r>
              <w:rPr>
                <w:sz w:val="17"/>
              </w:rPr>
              <w:t>A repetition- and length-sensitive accumulation of retained ratings; use a normalized counterpart for cross-length comparison.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Dominance</w:t>
            </w:r>
          </w:p>
        </w:tc>
        <w:tc>
          <w:tcPr>
            <w:tcW w:type="dxa" w:w="7260"/>
            <w:tcMar>
              <w:top w:w="75" w:type="dxa"/>
              <w:start w:w="100" w:type="dxa"/>
              <w:bottom w:w="75" w:type="dxa"/>
              <w:end w:w="100" w:type="dxa"/>
            </w:tcMar>
            <w:vAlign w:val="center"/>
          </w:tcPr>
          <w:p>
            <w:pPr>
              <w:spacing w:after="0" w:line="264" w:lineRule="auto"/>
            </w:pPr>
            <w:r>
              <w:rPr>
                <w:sz w:val="17"/>
              </w:rPr>
              <w:t>Normative lexical association with power, control, agency, submission, or vulnerability.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Eligible denominator</w:t>
            </w:r>
          </w:p>
        </w:tc>
        <w:tc>
          <w:tcPr>
            <w:tcW w:type="dxa" w:w="7260"/>
            <w:tcMar>
              <w:top w:w="75" w:type="dxa"/>
              <w:start w:w="100" w:type="dxa"/>
              <w:bottom w:w="75" w:type="dxa"/>
              <w:end w:w="100" w:type="dxa"/>
            </w:tcMar>
            <w:vAlign w:val="center"/>
          </w:tcPr>
          <w:p>
            <w:pPr>
              <w:spacing w:after="0" w:line="264" w:lineRule="auto"/>
            </w:pPr>
            <w:r>
              <w:rPr>
                <w:sz w:val="17"/>
              </w:rPr>
              <w:t>The observations permitted to contribute under the active source, view, POS, stopword, and processing rules.</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Equal-work mean</w:t>
            </w:r>
          </w:p>
        </w:tc>
        <w:tc>
          <w:tcPr>
            <w:tcW w:type="dxa" w:w="7260"/>
            <w:tcMar>
              <w:top w:w="75" w:type="dxa"/>
              <w:start w:w="100" w:type="dxa"/>
              <w:bottom w:w="75" w:type="dxa"/>
              <w:end w:w="100" w:type="dxa"/>
            </w:tcMar>
            <w:vAlign w:val="center"/>
          </w:tcPr>
          <w:p>
            <w:pPr>
              <w:spacing w:after="0" w:line="264" w:lineRule="auto"/>
            </w:pPr>
            <w:r>
              <w:rPr>
                <w:sz w:val="17"/>
              </w:rPr>
              <w:t>A corpus summary in which each available work-level value contributes equally.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G2P</w:t>
            </w:r>
          </w:p>
        </w:tc>
        <w:tc>
          <w:tcPr>
            <w:tcW w:type="dxa" w:w="7260"/>
            <w:tcMar>
              <w:top w:w="75" w:type="dxa"/>
              <w:start w:w="100" w:type="dxa"/>
              <w:bottom w:w="75" w:type="dxa"/>
              <w:end w:w="100" w:type="dxa"/>
            </w:tcMar>
            <w:vAlign w:val="center"/>
          </w:tcPr>
          <w:p>
            <w:pPr>
              <w:spacing w:after="0" w:line="264" w:lineRule="auto"/>
            </w:pPr>
            <w:r>
              <w:rPr>
                <w:sz w:val="17"/>
              </w:rPr>
              <w:t>Grapheme-to-phoneme prediction; provisional ARPAbet evidence until approved or edited.</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HD-D</w:t>
            </w:r>
          </w:p>
        </w:tc>
        <w:tc>
          <w:tcPr>
            <w:tcW w:type="dxa" w:w="7260"/>
            <w:tcMar>
              <w:top w:w="75" w:type="dxa"/>
              <w:start w:w="100" w:type="dxa"/>
              <w:bottom w:w="75" w:type="dxa"/>
              <w:end w:w="100" w:type="dxa"/>
            </w:tcMar>
            <w:vAlign w:val="center"/>
          </w:tcPr>
          <w:p>
            <w:pPr>
              <w:spacing w:after="0" w:line="264" w:lineRule="auto"/>
            </w:pPr>
            <w:r>
              <w:rPr>
                <w:sz w:val="17"/>
              </w:rPr>
              <w:t>Hypergeometric Distribution Diversity, an expected distinct-type proportion for a without-replacement sample.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Lemma</w:t>
            </w:r>
          </w:p>
        </w:tc>
        <w:tc>
          <w:tcPr>
            <w:tcW w:type="dxa" w:w="7260"/>
            <w:tcMar>
              <w:top w:w="75" w:type="dxa"/>
              <w:start w:w="100" w:type="dxa"/>
              <w:bottom w:w="75" w:type="dxa"/>
              <w:end w:w="100" w:type="dxa"/>
            </w:tcMar>
            <w:vAlign w:val="center"/>
          </w:tcPr>
          <w:p>
            <w:pPr>
              <w:spacing w:after="0" w:line="264" w:lineRule="auto"/>
            </w:pPr>
            <w:r>
              <w:rPr>
                <w:sz w:val="17"/>
              </w:rPr>
              <w:t>A POS-aware normalized dictionary form retained separately from the original surface form.</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MATTR</w:t>
            </w:r>
          </w:p>
        </w:tc>
        <w:tc>
          <w:tcPr>
            <w:tcW w:type="dxa" w:w="7260"/>
            <w:tcMar>
              <w:top w:w="75" w:type="dxa"/>
              <w:start w:w="100" w:type="dxa"/>
              <w:bottom w:w="75" w:type="dxa"/>
              <w:end w:w="100" w:type="dxa"/>
            </w:tcMar>
            <w:vAlign w:val="center"/>
          </w:tcPr>
          <w:p>
            <w:pPr>
              <w:spacing w:after="0" w:line="264" w:lineRule="auto"/>
            </w:pPr>
            <w:r>
              <w:rPr>
                <w:sz w:val="17"/>
              </w:rPr>
              <w:t>Moving-Average Type-Token Ratio across overlapping fixed windows.</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MTLD</w:t>
            </w:r>
          </w:p>
        </w:tc>
        <w:tc>
          <w:tcPr>
            <w:tcW w:type="dxa" w:w="7260"/>
            <w:tcMar>
              <w:top w:w="75" w:type="dxa"/>
              <w:start w:w="100" w:type="dxa"/>
              <w:bottom w:w="75" w:type="dxa"/>
              <w:end w:w="100" w:type="dxa"/>
            </w:tcMar>
            <w:vAlign w:val="center"/>
          </w:tcPr>
          <w:p>
            <w:pPr>
              <w:spacing w:after="0" w:line="264" w:lineRule="auto"/>
            </w:pPr>
            <w:r>
              <w:rPr>
                <w:sz w:val="17"/>
              </w:rPr>
              <w:t>Measure of Textual Lexical Diversity based on sequence length that maintains a configured TTR threshold.</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Observation-weighted mean</w:t>
            </w:r>
          </w:p>
        </w:tc>
        <w:tc>
          <w:tcPr>
            <w:tcW w:type="dxa" w:w="7260"/>
            <w:tcMar>
              <w:top w:w="75" w:type="dxa"/>
              <w:start w:w="100" w:type="dxa"/>
              <w:bottom w:w="75" w:type="dxa"/>
              <w:end w:w="100" w:type="dxa"/>
            </w:tcMar>
            <w:vAlign w:val="center"/>
          </w:tcPr>
          <w:p>
            <w:pPr>
              <w:spacing w:after="0" w:line="264" w:lineRule="auto"/>
            </w:pPr>
            <w:r>
              <w:rPr>
                <w:sz w:val="17"/>
              </w:rPr>
              <w:t>A corpus summary giving greater influence to works with more retained observations.</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PCA</w:t>
            </w:r>
          </w:p>
        </w:tc>
        <w:tc>
          <w:tcPr>
            <w:tcW w:type="dxa" w:w="7260"/>
            <w:tcMar>
              <w:top w:w="75" w:type="dxa"/>
              <w:start w:w="100" w:type="dxa"/>
              <w:bottom w:w="75" w:type="dxa"/>
              <w:end w:w="100" w:type="dxa"/>
            </w:tcMar>
            <w:vAlign w:val="center"/>
          </w:tcPr>
          <w:p>
            <w:pPr>
              <w:spacing w:after="0" w:line="264" w:lineRule="auto"/>
            </w:pPr>
            <w:r>
              <w:rPr>
                <w:sz w:val="17"/>
              </w:rPr>
              <w:t>Principal Component Analysis; in VerseMap, deterministic composite axes for two-dimensional display.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PoetryID category fit</w:t>
            </w:r>
          </w:p>
        </w:tc>
        <w:tc>
          <w:tcPr>
            <w:tcW w:type="dxa" w:w="7260"/>
            <w:tcMar>
              <w:top w:w="75" w:type="dxa"/>
              <w:start w:w="100" w:type="dxa"/>
              <w:bottom w:w="75" w:type="dxa"/>
              <w:end w:w="100" w:type="dxa"/>
            </w:tcMar>
            <w:vAlign w:val="center"/>
          </w:tcPr>
          <w:p>
            <w:pPr>
              <w:spacing w:after="0" w:line="264" w:lineRule="auto"/>
            </w:pPr>
            <w:r>
              <w:rPr>
                <w:sz w:val="17"/>
              </w:rPr>
              <w:t>Prominent rule-based VAD category candidate among 27 profiles; not an emotional diagnosis.</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PoetryID nearest centroid</w:t>
            </w:r>
          </w:p>
        </w:tc>
        <w:tc>
          <w:tcPr>
            <w:tcW w:type="dxa" w:w="7260"/>
            <w:tcMar>
              <w:top w:w="75" w:type="dxa"/>
              <w:start w:w="100" w:type="dxa"/>
              <w:bottom w:w="75" w:type="dxa"/>
              <w:end w:w="100" w:type="dxa"/>
            </w:tcMar>
            <w:vAlign w:val="center"/>
          </w:tcPr>
          <w:p>
            <w:pPr>
              <w:spacing w:after="0" w:line="264" w:lineRule="auto"/>
            </w:pPr>
            <w:r>
              <w:rPr>
                <w:sz w:val="17"/>
              </w:rPr>
              <w:t>Secondary Euclidean nearest-candidate profile in normalized VAD space.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Range</w:t>
            </w:r>
          </w:p>
        </w:tc>
        <w:tc>
          <w:tcPr>
            <w:tcW w:type="dxa" w:w="7260"/>
            <w:tcMar>
              <w:top w:w="75" w:type="dxa"/>
              <w:start w:w="100" w:type="dxa"/>
              <w:bottom w:w="75" w:type="dxa"/>
              <w:end w:w="100" w:type="dxa"/>
            </w:tcMar>
            <w:vAlign w:val="center"/>
          </w:tcPr>
          <w:p>
            <w:pPr>
              <w:spacing w:after="0" w:line="264" w:lineRule="auto"/>
            </w:pPr>
            <w:r>
              <w:rPr>
                <w:sz w:val="17"/>
              </w:rPr>
              <w:t>Observed maximum minus minimum; a descriptive span, not an effect size or significance test.</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Rarity</w:t>
            </w:r>
          </w:p>
        </w:tc>
        <w:tc>
          <w:tcPr>
            <w:tcW w:type="dxa" w:w="7260"/>
            <w:tcMar>
              <w:top w:w="75" w:type="dxa"/>
              <w:start w:w="100" w:type="dxa"/>
              <w:bottom w:w="75" w:type="dxa"/>
              <w:end w:w="100" w:type="dxa"/>
            </w:tcMar>
            <w:vAlign w:val="center"/>
          </w:tcPr>
          <w:p>
            <w:pPr>
              <w:spacing w:after="0" w:line="264" w:lineRule="auto"/>
            </w:pPr>
            <w:r>
              <w:rPr>
                <w:sz w:val="17"/>
              </w:rPr>
              <w:t>VerseVAD display transformation of SUBTLEX Zipf frequency so larger values indicate rarer matched vocabulary.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Scenario</w:t>
            </w:r>
          </w:p>
        </w:tc>
        <w:tc>
          <w:tcPr>
            <w:tcW w:type="dxa" w:w="7260"/>
            <w:tcMar>
              <w:top w:w="75" w:type="dxa"/>
              <w:start w:w="100" w:type="dxa"/>
              <w:bottom w:w="75" w:type="dxa"/>
              <w:end w:w="100" w:type="dxa"/>
            </w:tcMar>
            <w:vAlign w:val="center"/>
          </w:tcPr>
          <w:p>
            <w:pPr>
              <w:spacing w:after="0" w:line="264" w:lineRule="auto"/>
            </w:pPr>
            <w:r>
              <w:rPr>
                <w:sz w:val="17"/>
              </w:rPr>
              <w:t>A versioned set of review decisions applied to a corpus analysis without overwriting the baseline.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Standard deviation</w:t>
            </w:r>
          </w:p>
        </w:tc>
        <w:tc>
          <w:tcPr>
            <w:tcW w:type="dxa" w:w="7260"/>
            <w:tcMar>
              <w:top w:w="75" w:type="dxa"/>
              <w:start w:w="100" w:type="dxa"/>
              <w:bottom w:w="75" w:type="dxa"/>
              <w:end w:w="100" w:type="dxa"/>
            </w:tcMar>
            <w:vAlign w:val="center"/>
          </w:tcPr>
          <w:p>
            <w:pPr>
              <w:spacing w:after="0" w:line="264" w:lineRule="auto"/>
            </w:pPr>
            <w:r>
              <w:rPr>
                <w:sz w:val="17"/>
              </w:rPr>
              <w:t>Dispersion in the units of the summarized value; its level must be identified.</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Token weighting</w:t>
            </w:r>
          </w:p>
        </w:tc>
        <w:tc>
          <w:tcPr>
            <w:tcW w:type="dxa" w:w="7260"/>
            <w:tcMar>
              <w:top w:w="75" w:type="dxa"/>
              <w:start w:w="100" w:type="dxa"/>
              <w:bottom w:w="75" w:type="dxa"/>
              <w:end w:w="100" w:type="dxa"/>
            </w:tcMar>
            <w:vAlign w:val="center"/>
          </w:tcPr>
          <w:p>
            <w:pPr>
              <w:spacing w:after="0" w:line="264" w:lineRule="auto"/>
            </w:pPr>
            <w:r>
              <w:rPr>
                <w:sz w:val="17"/>
              </w:rPr>
              <w:t>Each retained occurrence contributes, preserving repetition.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Type weighting</w:t>
            </w:r>
          </w:p>
        </w:tc>
        <w:tc>
          <w:tcPr>
            <w:tcW w:type="dxa" w:w="7260"/>
            <w:tcMar>
              <w:top w:w="75" w:type="dxa"/>
              <w:start w:w="100" w:type="dxa"/>
              <w:bottom w:w="75" w:type="dxa"/>
              <w:end w:w="100" w:type="dxa"/>
            </w:tcMar>
            <w:vAlign w:val="center"/>
          </w:tcPr>
          <w:p>
            <w:pPr>
              <w:spacing w:after="0" w:line="264" w:lineRule="auto"/>
            </w:pPr>
            <w:r>
              <w:rPr>
                <w:sz w:val="17"/>
              </w:rPr>
              <w:t>Each retained distinct form contributes once within the defined scope.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Valence</w:t>
            </w:r>
          </w:p>
        </w:tc>
        <w:tc>
          <w:tcPr>
            <w:tcW w:type="dxa" w:w="7260"/>
            <w:tcMar>
              <w:top w:w="75" w:type="dxa"/>
              <w:start w:w="100" w:type="dxa"/>
              <w:bottom w:w="75" w:type="dxa"/>
              <w:end w:w="100" w:type="dxa"/>
            </w:tcMar>
            <w:vAlign w:val="center"/>
          </w:tcPr>
          <w:p>
            <w:pPr>
              <w:spacing w:after="0" w:line="264" w:lineRule="auto"/>
            </w:pPr>
            <w:r>
              <w:rPr>
                <w:sz w:val="17"/>
              </w:rPr>
              <w:t>Normative lexical association with positive or negative pleasantness.</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VerseMap Standard Profile 1.0</w:t>
            </w:r>
          </w:p>
        </w:tc>
        <w:tc>
          <w:tcPr>
            <w:tcW w:type="dxa" w:w="7260"/>
            <w:tcMar>
              <w:top w:w="75" w:type="dxa"/>
              <w:start w:w="100" w:type="dxa"/>
              <w:bottom w:w="75" w:type="dxa"/>
              <w:end w:w="100" w:type="dxa"/>
            </w:tcMar>
            <w:vAlign w:val="center"/>
          </w:tcPr>
          <w:p>
            <w:pPr>
              <w:spacing w:after="0" w:line="264" w:lineRule="auto"/>
            </w:pPr>
            <w:r>
              <w:rPr>
                <w:sz w:val="17"/>
              </w:rPr>
              <w:t>The fixed, sound-free, versioned profile used for fair target and reference comparison.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VV-PRE</w:t>
            </w:r>
          </w:p>
        </w:tc>
        <w:tc>
          <w:tcPr>
            <w:tcW w:type="dxa" w:w="7260"/>
            <w:tcMar>
              <w:top w:w="75" w:type="dxa"/>
              <w:start w:w="100" w:type="dxa"/>
              <w:bottom w:w="75" w:type="dxa"/>
              <w:end w:w="100" w:type="dxa"/>
            </w:tcMar>
            <w:vAlign w:val="center"/>
          </w:tcPr>
          <w:p>
            <w:pPr>
              <w:spacing w:after="0" w:line="264" w:lineRule="auto"/>
            </w:pPr>
            <w:r>
              <w:rPr>
                <w:sz w:val="17"/>
              </w:rPr>
              <w:t>Experimental VerseVAD Poetic Reading Ease estimate of surface lexical and presentational accessibility.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Z-score</w:t>
            </w:r>
          </w:p>
        </w:tc>
        <w:tc>
          <w:tcPr>
            <w:tcW w:type="dxa" w:w="7260"/>
            <w:tcMar>
              <w:top w:w="75" w:type="dxa"/>
              <w:start w:w="100" w:type="dxa"/>
              <w:bottom w:w="75" w:type="dxa"/>
              <w:end w:w="100" w:type="dxa"/>
            </w:tcMar>
            <w:vAlign w:val="center"/>
          </w:tcPr>
          <w:p>
            <w:pPr>
              <w:spacing w:after="0" w:line="264" w:lineRule="auto"/>
            </w:pPr>
            <w:r>
              <w:rPr>
                <w:sz w:val="17"/>
              </w:rPr>
              <w:t>Difference from a named reference mean divided by that reference standard deviation.</w:t>
            </w:r>
          </w:p>
        </w:tc>
      </w:tr>
    </w:tbl>
    <w:sectPr w:rsidR="00FC693F" w:rsidRPr="0006063C" w:rsidSect="00034616">
      <w:headerReference w:type="default" r:id="rId9"/>
      <w:footerReference w:type="default" r:id="rId10"/>
      <w:headerReference w:type="first" r:id="rId14"/>
      <w:headerReference w:type="even" r:id="rId15"/>
      <w:footerReference w:type="first" r:id="rId16"/>
      <w:footerReference w:type="even" r:id="rId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color w:val="5E6B75"/>
        <w:sz w:val="16"/>
      </w:rPr>
      <w:t>Free VerseVAD Training Material · Version 1.0</w:t>
    </w:r>
    <w:r>
      <w:tab/>
    </w:r>
    <w:r>
      <w:rPr>
        <w:sz w:val="16"/>
      </w:rPr>
      <w:t xml:space="preserve">Page </w:t>
    </w:r>
    <w:r/>
    <w:r/>
    <w:r/>
    <w:r>
      <w:rPr>
        <w:rFonts w:ascii="Calibri" w:hAnsi="Calibri"/>
        <w:sz w:val="16"/>
      </w:rPr>
      <w:t>1</w:t>
    </w:r>
    <w:r/>
    <w:r>
      <w:rPr>
        <w:sz w:val="16"/>
      </w:rPr>
      <w:t xml:space="preserve"> of </w:t>
    </w:r>
    <w:r/>
    <w:r/>
    <w:r/>
    <w:r>
      <w:rPr>
        <w:rFonts w:ascii="Calibri" w:hAnsi="Calibri"/>
        <w:sz w:val="16"/>
      </w:rPr>
      <w:t>1</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b/>
        <w:color w:val="5E6B75"/>
        <w:sz w:val="16"/>
      </w:rPr>
      <w:t>VerseVAD Authorized Instructor Training · Learner Manual</w:t>
    </w:r>
    <w:r>
      <w:tab/>
    </w:r>
    <w:r>
      <w:rPr>
        <w:rFonts w:ascii="Calibri" w:hAnsi="Calibri"/>
        <w:b/>
        <w:color w:val="8A3B20"/>
        <w:sz w:val="16"/>
      </w:rPr>
      <w:t>TRAINING 1.0 · FREE COURSE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E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224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Calibri" w:hAnsi="Calibri"/>
      <w:b w:val="0"/>
      <w:i/>
      <w:iCs/>
      <w:color w:val="8A3B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color w:val="1E2B3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color w:val="1E2B3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200"/>
    </w:pPr>
    <w:rPr>
      <w:rFonts w:ascii="Calibri" w:hAnsi="Calibri"/>
      <w:b/>
      <w:bCs/>
      <w:i/>
      <w:color w:val="5E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eVADBullet">
    <w:name w:val="VerseVAD Bullet"/>
    <w:basedOn w:val="Normal"/>
    <w:pPr>
      <w:spacing w:after="80" w:line="300" w:lineRule="auto"/>
      <w:ind w:left="540" w:hanging="271"/>
    </w:pPr>
  </w:style>
  <w:style w:type="paragraph" w:customStyle="1" w:styleId="VerseVADNumber">
    <w:name w:val="VerseVAD Number"/>
    <w:basedOn w:val="Normal"/>
    <w:pPr>
      <w:spacing w:after="80" w:line="300" w:lineRule="auto"/>
      <w:ind w:left="540" w:hanging="271"/>
    </w:pPr>
  </w:style>
  <w:style w:type="paragraph" w:customStyle="1" w:styleId="VerseVADOption">
    <w:name w:val="VerseVAD Option"/>
    <w:basedOn w:val="Normal"/>
    <w:pPr>
      <w:keepLines/>
      <w:spacing w:after="60"/>
      <w:ind w:left="576" w:hanging="360"/>
    </w:pPr>
  </w:style>
  <w:style w:type="paragraph" w:customStyle="1" w:styleId="VerseVADKicker">
    <w:name w:val="VerseVAD Kicker"/>
    <w:basedOn w:val="Normal"/>
    <w:pPr>
      <w:keepNext/>
      <w:spacing w:after="160"/>
    </w:pPr>
    <w:rPr>
      <w:rFonts w:ascii="Calibri" w:hAnsi="Calibri"/>
      <w:b/>
      <w:color w:val="8A3B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VerseVAD Authorized Instructor Training</dc:title>
  <dc:subject>A 15–25 hours plus observed teaching independent-study course aligned to VerseVAD 1.0.0</dc:subject>
  <dc:creator/>
  <cp:keywords>VerseVAD; computational poetics; free training; learner material</cp:keywords>
  <dc:description>Free VerseVAD Training Material</dc:description>
  <cp:lastModifiedBy/>
  <cp:revision>1</cp:revision>
  <dcterms:created xsi:type="dcterms:W3CDTF">2013-12-23T23:15:00Z</dcterms:created>
  <dcterms:modified xsi:type="dcterms:W3CDTF">2013-12-23T23:15:00Z</dcterms:modified>
  <cp:category/>
</cp:coreProperties>
</file>