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 xml:space="preserve">Telecom Customer Churn Analysis</w:t>
      </w:r>
    </w:p>
    <w:p>
      <w:pPr>
        <w:spacing w:after="800"/>
        <w:jc w:val="center"/>
      </w:pPr>
      <w:r>
        <w:rPr>
          <w:color w:val="444444"/>
          <w:sz w:val="26"/>
          <w:szCs w:val="26"/>
        </w:rPr>
        <w:t xml:space="preserve">Exploratory Data Analysis &amp; Business Recommendations Report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by: Nicky Kumari</w:t>
      </w:r>
    </w:p>
    <w:p>
      <w:pPr>
        <w:jc w:val="center"/>
      </w:pPr>
      <w:r>
        <w:rPr>
          <w:color w:val="666666"/>
          <w:sz w:val="22"/>
          <w:szCs w:val="22"/>
        </w:rPr>
        <w:t xml:space="preserve">September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Business Problem</w:t>
      </w:r>
    </w:p>
    <w:p>
      <w:pPr>
        <w:spacing w:after="160"/>
      </w:pPr>
      <w:r>
        <w:t xml:space="preserve">The company is losing a significant portion of its customers to churn. This analysis examines customer demographics, account details, and subscribed services to identify which customers are at risk of churning and why — so the business can act early, reduce churn, and maximize customer lifetime value.</w:t>
      </w:r>
    </w:p>
    <w:p>
      <w:pPr>
        <w:pStyle w:val="Heading1"/>
        <w:spacing w:after="150" w:before="300"/>
      </w:pPr>
      <w:r>
        <w:t xml:space="preserve">2. Dataset Overview</w:t>
      </w:r>
    </w:p>
    <w:p>
      <w:pPr>
        <w:spacing w:after="160"/>
      </w:pPr>
      <w:r>
        <w:t xml:space="preserve">The dataset contains 7,043 customer records from a telecom company, with 21 columns covering demographics, account information, subscribed services, and churn status.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Demographics:</w:t>
      </w:r>
      <w:r>
        <w:t xml:space="preserve"> customerID, Gender, SeniorCitizen, Partner, Dependents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Account Information:</w:t>
      </w:r>
      <w:r>
        <w:t xml:space="preserve"> Tenure, Contract, PaperlessBilling, PaymentMethod, MonthlyCharges, TotalCharges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Subscribed Services:</w:t>
      </w:r>
      <w:r>
        <w:t xml:space="preserve"> PhoneService, MultipleLines, InternetService, OnlineSecurity, OnlineBackup, DeviceProtection, TechSupport, StreamingTV, StreamingMovies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Target Variable:</w:t>
      </w:r>
      <w:r>
        <w:t xml:space="preserve"> Yes / No — whether the customer has left the company</w:t>
      </w:r>
    </w:p>
    <w:p>
      <w:pPr>
        <w:pStyle w:val="Heading1"/>
        <w:spacing w:after="150" w:before="300"/>
      </w:pPr>
      <w:r>
        <w:t xml:space="preserve">3. Methodology</w:t>
      </w:r>
    </w:p>
    <w:p>
      <w:pPr>
        <w:pStyle w:val="Heading2"/>
        <w:spacing w:after="120" w:before="240"/>
      </w:pPr>
      <w:r>
        <w:t xml:space="preserve">3.1 Data Cleaning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Blank values in TotalCharges were replaced with 0 and the column converted from text to numeric.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SeniorCitizen was recoded from 1/0 to Yes/No for readability.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Checked for and confirmed no missing values or duplicate customer records.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Renamed columns for consistency (gender → Gender, tenure → Tenure).</w:t>
      </w:r>
    </w:p>
    <w:p>
      <w:pPr>
        <w:pStyle w:val="Heading2"/>
        <w:spacing w:after="120" w:before="240"/>
      </w:pPr>
      <w:r>
        <w:t xml:space="preserve">3.2 Analysis Approach</w:t>
      </w:r>
    </w:p>
    <w:p>
      <w:pPr>
        <w:spacing w:after="160"/>
      </w:pPr>
      <w:r>
        <w:t xml:space="preserve">With the data cleaned, churn was analyzed against each customer attribute in turn — demographics, contract terms, tenure, subscribed services, payment method, and billing amounts — to identify which factors most strongly correlate with churn.</w:t>
      </w:r>
    </w:p>
    <w:p>
      <w:pPr>
        <w:pStyle w:val="Heading1"/>
        <w:spacing w:after="150" w:before="300"/>
      </w:pPr>
      <w:r>
        <w:t xml:space="preserve">4. Key Statistics 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shd w:fill="F2F2F2" w:val="clear"/>
          </w:tcPr>
          <w:p>
            <w:r>
              <w:rPr>
                <w:b/>
                <w:bCs/>
              </w:rPr>
              <w:t xml:space="preserve">Total Customers</w:t>
            </w:r>
          </w:p>
        </w:tc>
        <w:tc>
          <w:tcPr>
            <w:tcW w:type="pct" w:w="45%"/>
          </w:tcPr>
          <w:p>
            <w:r>
              <w:t xml:space="preserve">7,043</w:t>
            </w:r>
          </w:p>
        </w:tc>
      </w:tr>
      <w:tr>
        <w:tc>
          <w:tcPr>
            <w:tcW w:type="pct" w:w="55%"/>
            <w:shd w:fill="F2F2F2" w:val="clear"/>
          </w:tcPr>
          <w:p>
            <w:r>
              <w:rPr>
                <w:b/>
                <w:bCs/>
              </w:rPr>
              <w:t xml:space="preserve">Churned Customers</w:t>
            </w:r>
          </w:p>
        </w:tc>
        <w:tc>
          <w:tcPr>
            <w:tcW w:type="pct" w:w="45%"/>
          </w:tcPr>
          <w:p>
            <w:r>
              <w:t xml:space="preserve">1,869 (26.54%)</w:t>
            </w:r>
          </w:p>
        </w:tc>
      </w:tr>
      <w:tr>
        <w:tc>
          <w:tcPr>
            <w:tcW w:type="pct" w:w="55%"/>
            <w:shd w:fill="F2F2F2" w:val="clear"/>
          </w:tcPr>
          <w:p>
            <w:r>
              <w:rPr>
                <w:b/>
                <w:bCs/>
              </w:rPr>
              <w:t xml:space="preserve">Retained Customers</w:t>
            </w:r>
          </w:p>
        </w:tc>
        <w:tc>
          <w:tcPr>
            <w:tcW w:type="pct" w:w="45%"/>
          </w:tcPr>
          <w:p>
            <w:r>
              <w:t xml:space="preserve">5,174 (73.46%)</w:t>
            </w:r>
          </w:p>
        </w:tc>
      </w:tr>
      <w:tr>
        <w:tc>
          <w:tcPr>
            <w:tcW w:type="pct" w:w="55%"/>
            <w:shd w:fill="F2F2F2" w:val="clear"/>
          </w:tcPr>
          <w:p>
            <w:r>
              <w:rPr>
                <w:b/>
                <w:bCs/>
              </w:rPr>
              <w:t xml:space="preserve">Avg. Tenure (Churned)</w:t>
            </w:r>
          </w:p>
        </w:tc>
        <w:tc>
          <w:tcPr>
            <w:tcW w:type="pct" w:w="45%"/>
          </w:tcPr>
          <w:p>
            <w:r>
              <w:t xml:space="preserve">18.0 months</w:t>
            </w:r>
          </w:p>
        </w:tc>
      </w:tr>
      <w:tr>
        <w:tc>
          <w:tcPr>
            <w:tcW w:type="pct" w:w="55%"/>
            <w:shd w:fill="F2F2F2" w:val="clear"/>
          </w:tcPr>
          <w:p>
            <w:r>
              <w:rPr>
                <w:b/>
                <w:bCs/>
              </w:rPr>
              <w:t xml:space="preserve">Avg. Tenure (Retained)</w:t>
            </w:r>
          </w:p>
        </w:tc>
        <w:tc>
          <w:tcPr>
            <w:tcW w:type="pct" w:w="45%"/>
          </w:tcPr>
          <w:p>
            <w:r>
              <w:t xml:space="preserve">37.6 months</w:t>
            </w:r>
          </w:p>
        </w:tc>
      </w:tr>
      <w:tr>
        <w:tc>
          <w:tcPr>
            <w:tcW w:type="pct" w:w="55%"/>
            <w:shd w:fill="F2F2F2" w:val="clear"/>
          </w:tcPr>
          <w:p>
            <w:r>
              <w:rPr>
                <w:b/>
                <w:bCs/>
              </w:rPr>
              <w:t xml:space="preserve">Avg. Monthly Charges (Churned)</w:t>
            </w:r>
          </w:p>
        </w:tc>
        <w:tc>
          <w:tcPr>
            <w:tcW w:type="pct" w:w="45%"/>
          </w:tcPr>
          <w:p>
            <w:r>
              <w:t xml:space="preserve">$74.44</w:t>
            </w:r>
          </w:p>
        </w:tc>
      </w:tr>
      <w:tr>
        <w:tc>
          <w:tcPr>
            <w:tcW w:type="pct" w:w="55%"/>
            <w:shd w:fill="F2F2F2" w:val="clear"/>
          </w:tcPr>
          <w:p>
            <w:r>
              <w:rPr>
                <w:b/>
                <w:bCs/>
              </w:rPr>
              <w:t xml:space="preserve">Avg. Monthly Charges (Retained)</w:t>
            </w:r>
          </w:p>
        </w:tc>
        <w:tc>
          <w:tcPr>
            <w:tcW w:type="pct" w:w="45%"/>
          </w:tcPr>
          <w:p>
            <w:r>
              <w:t xml:space="preserve">$61.27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150" w:before="300"/>
      </w:pPr>
      <w:r>
        <w:t xml:space="preserve">5. Exploratory Data Analysis — Findings</w:t>
      </w:r>
    </w:p>
    <w:p>
      <w:pPr>
        <w:pStyle w:val="Heading2"/>
        <w:spacing w:after="120" w:before="240"/>
      </w:pPr>
      <w:r>
        <w:t xml:space="preserve">5.1 Overall Churn Rate</w:t>
      </w:r>
    </w:p>
    <w:p>
      <w:pPr>
        <w:spacing w:after="60" w:before="100"/>
        <w:jc w:val="center"/>
      </w:pPr>
      <w:r>
        <w:drawing>
          <wp:inline distT="0" distB="0" distL="0" distR="0">
            <wp:extent cx="3048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00"/>
        <w:jc w:val="center"/>
      </w:pPr>
      <w:r>
        <w:drawing>
          <wp:inline distT="0" distB="0" distL="0" distR="0">
            <wp:extent cx="3048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 &amp; 2: Churn count and percentage — 26.54% of customers have churned.</w:t>
      </w:r>
    </w:p>
    <w:p>
      <w:pPr>
        <w:spacing w:after="160"/>
      </w:pPr>
      <w:r>
        <w:t xml:space="preserve">Roughly 1 in 4 customers has churned (1,869 of 7,043), confirming this is a material revenue risk worth addressing.</w:t>
      </w:r>
    </w:p>
    <w:p>
      <w:pPr>
        <w:pStyle w:val="Heading2"/>
        <w:spacing w:after="120" w:before="240"/>
      </w:pPr>
      <w:r>
        <w:t xml:space="preserve">5.2 Churn by Contract Type</w:t>
      </w:r>
    </w:p>
    <w:p>
      <w:pPr>
        <w:spacing w:after="60" w:before="100"/>
        <w:jc w:val="center"/>
      </w:pPr>
      <w:r>
        <w:drawing>
          <wp:inline distT="0" distB="0" distL="0" distR="0">
            <wp:extent cx="4000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3: Churn count by contract type.</w:t>
      </w:r>
    </w:p>
    <w:p>
      <w:pPr>
        <w:spacing w:after="160"/>
      </w:pPr>
      <w:r>
        <w:t xml:space="preserve">Contract type is the single biggest driver of churn. Month-to-month customers churn far more than One-year or Two-year customers, and most of that churn happens within the customer's first year on the plan.</w:t>
      </w:r>
    </w:p>
    <w:p>
      <w:pPr>
        <w:pStyle w:val="Heading2"/>
        <w:spacing w:after="120" w:before="240"/>
      </w:pPr>
      <w:r>
        <w:t xml:space="preserve">5.3 Tenure vs. Contract Type</w:t>
      </w:r>
    </w:p>
    <w:p>
      <w:pPr>
        <w:spacing w:after="60" w:before="100"/>
        <w:jc w:val="center"/>
      </w:pPr>
      <w:r>
        <w:drawing>
          <wp:inline distT="0" distB="0" distL="0" distR="0">
            <wp:extent cx="4762500" cy="148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4: Distribution of tenure by contract type, split by churn.</w:t>
      </w:r>
    </w:p>
    <w:p>
      <w:pPr>
        <w:spacing w:after="160"/>
      </w:pPr>
      <w:r>
        <w:t xml:space="preserve">Month-to-month customers churn heavily within their first year, with churn risk highest in the earliest months of the relationship. Longer contracts show much flatter, lower churn across all tenure ranges.</w:t>
      </w:r>
    </w:p>
    <w:p>
      <w:pPr>
        <w:pStyle w:val="Heading2"/>
        <w:spacing w:after="120" w:before="240"/>
      </w:pPr>
      <w:r>
        <w:t xml:space="preserve">5.4 Monthly Charges by Churn Status</w:t>
      </w:r>
    </w:p>
    <w:p>
      <w:pPr>
        <w:spacing w:after="60" w:before="100"/>
        <w:jc w:val="center"/>
      </w:pPr>
      <w:r>
        <w:drawing>
          <wp:inline distT="0" distB="0" distL="0" distR="0">
            <wp:extent cx="4000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5: Monthly charges distribution by churn status.</w:t>
      </w:r>
    </w:p>
    <w:p>
      <w:pPr>
        <w:spacing w:after="160"/>
      </w:pPr>
      <w:r>
        <w:t xml:space="preserve">Churned customers tend to pay higher monthly charges than retained customers, reflected in a higher median and 25th percentile. Despite paying more per month, their shorter tenure (18 vs. 37.6 months average) means they generate roughly 40% less total revenue over their lifetime ($1,531.80 vs. $2,549.91).</w:t>
      </w:r>
    </w:p>
    <w:p>
      <w:pPr>
        <w:pStyle w:val="Heading2"/>
        <w:spacing w:after="120" w:before="240"/>
      </w:pPr>
      <w:r>
        <w:t xml:space="preserve">5.5 Payment Method</w:t>
      </w:r>
    </w:p>
    <w:p>
      <w:pPr>
        <w:spacing w:after="60" w:before="100"/>
        <w:jc w:val="center"/>
      </w:pPr>
      <w:r>
        <w:drawing>
          <wp:inline distT="0" distB="0" distL="0" distR="0">
            <wp:extent cx="4762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6: Churn count by payment method.</w:t>
      </w:r>
    </w:p>
    <w:p>
      <w:pPr>
        <w:spacing w:after="160"/>
      </w:pPr>
      <w:r>
        <w:t xml:space="preserve">Customers paying via Electronic Check churn noticeably more than those on automatic payment methods (bank transfer or credit card), which likely correlates with the same non-committal, month-to-month customer segment.</w:t>
      </w:r>
    </w:p>
    <w:p>
      <w:pPr>
        <w:pStyle w:val="Heading2"/>
        <w:spacing w:after="120" w:before="240"/>
      </w:pPr>
      <w:r>
        <w:t xml:space="preserve">5.6 Senior Citizens</w:t>
      </w:r>
    </w:p>
    <w:p>
      <w:pPr>
        <w:spacing w:after="60" w:before="100"/>
        <w:jc w:val="center"/>
      </w:pPr>
      <w:r>
        <w:drawing>
          <wp:inline distT="0" distB="0" distL="0" distR="0">
            <wp:extent cx="3619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7: Churn percentage by senior citizen status.</w:t>
      </w:r>
    </w:p>
    <w:p>
      <w:pPr>
        <w:spacing w:after="160"/>
      </w:pPr>
      <w:r>
        <w:t xml:space="preserve">Senior citizens churn at 41.68%, well above the 26.54% overall average — roughly 1.5x the typical rate.</w:t>
      </w:r>
    </w:p>
    <w:p>
      <w:pPr>
        <w:pStyle w:val="Heading2"/>
        <w:spacing w:after="120" w:before="240"/>
      </w:pPr>
      <w:r>
        <w:t xml:space="preserve">5.7 Add-on Services</w:t>
      </w:r>
    </w:p>
    <w:p>
      <w:pPr>
        <w:spacing w:after="160"/>
      </w:pPr>
      <w:r>
        <w:t xml:space="preserve">Customers without protective add-on services churn considerably more than those who have them: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OnlineSecurity —</w:t>
      </w:r>
      <w:r>
        <w:t xml:space="preserve"> Customers without it churn at 41.8%, vs. 14.6% for those who have it — the strongest single retention lever in the dataset.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OnlineBackup —</w:t>
      </w:r>
      <w:r>
        <w:t xml:space="preserve"> 39.9% churn without it, vs. 21.5% with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DeviceProtection —</w:t>
      </w:r>
      <w:r>
        <w:t xml:space="preserve"> 39.1% churn without it, vs. 22.5% with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TechSupport —</w:t>
      </w:r>
      <w:r>
        <w:t xml:space="preserve"> 41.6% churn without it, vs. 15.2% with it — customers lacking support churn nearly 3x more.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StreamingTV / StreamingMovies —</w:t>
      </w:r>
      <w:r>
        <w:t xml:space="preserve"> Streaming add-ons barely move the churn needle either way.</w:t>
      </w:r>
    </w:p>
    <w:p>
      <w:pPr>
        <w:spacing w:after="160"/>
      </w:pPr>
      <w:r>
        <w:t xml:space="preserve">Fiber optic internet users churn at 41.9% — more than double DSL users (19.0%) and far above customers with no internet service (7.4%), suggesting a service-specific issue (pricing, reliability, or competition) rather than a simple add-on gap.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Key Findings Summary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Overall churn rate:</w:t>
      </w:r>
      <w:r>
        <w:t xml:space="preserve"> 26.54% of customers have churned (1,869 of 7,043) — roughly 1 in 4.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Tenure:</w:t>
      </w:r>
      <w:r>
        <w:t xml:space="preserve"> Churn risk drops sharply the longer a customer stays — 47.7% churn in the first year vs. just 9.5% after 49+ months.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Contract type:</w:t>
      </w:r>
      <w:r>
        <w:t xml:space="preserve"> The single biggest driver — Month-to-month customers churn far more than annual/biennial customers, mostly within their first year.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Add-on services:</w:t>
      </w:r>
      <w:r>
        <w:t xml:space="preserve"> Customers without TechSupport, OnlineSecurity, OnlineBackup, or DeviceProtection churn 2–3x more than those who have them.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Internet service:</w:t>
      </w:r>
      <w:r>
        <w:t xml:space="preserve"> Fiber optic users churn at 41.9% — more than double DSL users (19%).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Monthly charges:</w:t>
      </w:r>
      <w:r>
        <w:t xml:space="preserve"> Churned customers pay more per month ($74.44 vs $61.27) but stay about half as long, generating far less total revenue.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Senior citizens:</w:t>
      </w:r>
      <w:r>
        <w:t xml:space="preserve"> Churn much more than average — 41.68% vs. 26.54% overall.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Payment method:</w:t>
      </w:r>
      <w:r>
        <w:t xml:space="preserve"> Electronic Check users churn the most.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Gender:</w:t>
      </w:r>
      <w:r>
        <w:t xml:space="preserve"> No meaningful impact — churn is nearly identical across genders.</w:t>
      </w:r>
    </w:p>
    <w:p>
      <w:pPr>
        <w:pStyle w:val="Heading1"/>
        <w:spacing w:after="150" w:before="300"/>
      </w:pPr>
      <w:r>
        <w:t xml:space="preserve">7.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Target the first year of the customer lifecycle —</w:t>
      </w:r>
      <w:r>
        <w:t xml:space="preserve"> Focus onboarding support, check-ins, and loyalty perks on a customer's first 12 months, where churn risk is highest.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Incentivize longer contracts —</w:t>
      </w:r>
      <w:r>
        <w:t xml:space="preserve"> Offer discounts or perks to convert Month-to-month customers into One-year or Two-year plans.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Bundle protective add-ons —</w:t>
      </w:r>
      <w:r>
        <w:t xml:space="preserve"> Promote TechSupport and OnlineSecurity (e.g. free trial or discounted bundle), since customers without them churn 2–3x more.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Investigate Fiber optic service —</w:t>
      </w:r>
      <w:r>
        <w:t xml:space="preserve"> High churn there may point to pricing, reliability, or competitor issues specific to that service.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Review pricing for high-paying customers —</w:t>
      </w:r>
      <w:r>
        <w:t xml:space="preserve"> Consider loyalty discounts or value-add perks for customers on higher-priced plans to reduce price-driven churn.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Prioritize senior citizens in retention programs —</w:t>
      </w:r>
      <w:r>
        <w:t xml:space="preserve"> This group churns nearly 1.5x the average rate and may benefit from simplified support or tailored plans.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Encourage other payment methods —</w:t>
      </w:r>
      <w:r>
        <w:t xml:space="preserve"> Investigate why Electronic Check users churn more, and nudge them toward automatic payment methods.</w:t>
      </w:r>
    </w:p>
    <w:p>
      <w:pPr>
        <w:pStyle w:val="Heading1"/>
        <w:spacing w:after="150" w:before="300"/>
      </w:pPr>
      <w:r>
        <w:t xml:space="preserve">8. Conclusion</w:t>
      </w:r>
    </w:p>
    <w:p>
      <w:pPr>
        <w:spacing w:after="160"/>
      </w:pPr>
      <w:r>
        <w:t xml:space="preserve">Contract type, tenure, and the absence of protective add-on services emerge as the primary drivers of churn in this dataset. Customers on month-to-month contracts, in their first year, and without services like TechSupport or OnlineSecurity are consistently the highest-risk segment. These findings give the business clear, actionable levers — from contract incentives to service bundling to targeted retention outreach — to meaningfully reduce churn and improve customer lifetime value.</w:t>
      </w:r>
    </w:p>
    <w:p>
      <w:pPr>
        <w:pStyle w:val="Heading1"/>
        <w:spacing w:after="150" w:before="300"/>
      </w:pPr>
      <w:r>
        <w:t xml:space="preserve">9. Tools Used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Python (Pandas, NumPy) —</w:t>
      </w:r>
      <w:r>
        <w:t xml:space="preserve"> Data manipulation and cleaning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Matplotlib, Seaborn —</w:t>
      </w:r>
      <w:r>
        <w:t xml:space="preserve"> Data visualization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Jupyter Notebook —</w:t>
      </w:r>
      <w:r>
        <w:t xml:space="preserve"> Analysis environment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be64785472bf3aace72fc963f24eee800a8dcbd.png"/><Relationship Id="rId8" Type="http://schemas.openxmlformats.org/officeDocument/2006/relationships/image" Target="media/225f890fb80f20994e503a5761dd2ca36eae28f9.png"/><Relationship Id="rId9" Type="http://schemas.openxmlformats.org/officeDocument/2006/relationships/image" Target="media/9454528edf9239db74262d61a0800a52137a099f.png"/><Relationship Id="rId10" Type="http://schemas.openxmlformats.org/officeDocument/2006/relationships/image" Target="media/3b23a5937264eaa314bb44e6e93b4100bbb5d742.png"/><Relationship Id="rId11" Type="http://schemas.openxmlformats.org/officeDocument/2006/relationships/image" Target="media/9c5fd7e0cce99bec225537355c80e458e26dce52.png"/><Relationship Id="rId12" Type="http://schemas.openxmlformats.org/officeDocument/2006/relationships/image" Target="media/715b882414805358089d43e76395ac903393dc08.png"/><Relationship Id="rId13" Type="http://schemas.openxmlformats.org/officeDocument/2006/relationships/image" Target="media/e28c4d8436f8b57b183efd843011860f74f8116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2026-09-21T09:33:05.021Z</dcterms:created>
  <dcterms:modified xsi:type="dcterms:W3CDTF">2026-09-21T09:33:05.031Z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