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kills-hub---executive-overview"/>
    <w:p>
      <w:pPr>
        <w:pStyle w:val="Heading1"/>
      </w:pPr>
      <w:r>
        <w:t xml:space="preserve">Skills Hub - Executive Overview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Executive sponsors, operational leaders, and stakeholders evaluating Skills Hub.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2026-04-29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Skills Hub is a ServiceNow-based skills management experience that helps the organization understand workforce capability, find experts, maintain employee skill profiles, and support manager review of skill assessments.</w:t>
      </w:r>
    </w:p>
    <w:p>
      <w:pPr>
        <w:pStyle w:val="BodyText"/>
      </w:pPr>
      <w:r>
        <w:t xml:space="preserve">The solution builds on ServiceNow’s out-of-box skill tables instead of creating a separate skills database. This keeps the implementation aligned with platform patterns while adding the user experience and governance controls needed for practical adoption.</w:t>
      </w:r>
    </w:p>
    <w:bookmarkEnd w:id="9"/>
    <w:bookmarkStart w:id="10" w:name="business-outcomes"/>
    <w:p>
      <w:pPr>
        <w:pStyle w:val="Heading2"/>
      </w:pPr>
      <w:r>
        <w:t xml:space="preserve">Business Outcomes</w:t>
      </w:r>
    </w:p>
    <w:p>
      <w:pPr>
        <w:pStyle w:val="FirstParagraph"/>
      </w:pPr>
      <w:r>
        <w:t xml:space="preserve">Skills Hub supports four primary outcomes.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How Skills Hub supports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Better skill visibility</w:t>
            </w:r>
          </w:p>
        </w:tc>
        <w:tc>
          <w:tcPr/>
          <w:p>
            <w:pPr>
              <w:pStyle w:val="Compact"/>
            </w:pPr>
            <w:r>
              <w:t xml:space="preserve">Employees maintain skills in a shared ServiceNow profile.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Faster expert discovery</w:t>
            </w:r>
          </w:p>
        </w:tc>
        <w:tc>
          <w:tcPr/>
          <w:p>
            <w:pPr>
              <w:pStyle w:val="Compact"/>
            </w:pPr>
            <w:r>
              <w:t xml:space="preserve">Find Experts helps users locate people by skill, department, business unit, and related filters.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Improved data quality</w:t>
            </w:r>
          </w:p>
        </w:tc>
        <w:tc>
          <w:tcPr/>
          <w:p>
            <w:pPr>
              <w:pStyle w:val="Compact"/>
            </w:pPr>
            <w:r>
              <w:t xml:space="preserve">Managers can validate or dispute direct report skill assessments.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Easier skill adoption</w:t>
            </w:r>
          </w:p>
        </w:tc>
        <w:tc>
          <w:tcPr/>
          <w:p>
            <w:pPr>
              <w:pStyle w:val="Compact"/>
            </w:pPr>
            <w:r>
              <w:t xml:space="preserve">Skill Library lets employees browse, filter, and add skills quickly.</w:t>
            </w:r>
          </w:p>
        </w:tc>
      </w:tr>
    </w:tbl>
    <w:bookmarkEnd w:id="10"/>
    <w:bookmarkStart w:id="11" w:name="user-experience"/>
    <w:p>
      <w:pPr>
        <w:pStyle w:val="Heading2"/>
      </w:pPr>
      <w:r>
        <w:t xml:space="preserve">User Experience</w:t>
      </w:r>
    </w:p>
    <w:p>
      <w:pPr>
        <w:pStyle w:val="FirstParagraph"/>
      </w:pPr>
      <w:r>
        <w:t xml:space="preserve">Skills Hub is delivered through a ServiceNow portal page with four main areas.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Skills</w:t>
            </w:r>
          </w:p>
        </w:tc>
        <w:tc>
          <w:tcPr/>
          <w:p>
            <w:pPr>
              <w:pStyle w:val="Compact"/>
            </w:pPr>
            <w:r>
              <w:t xml:space="preserve">Employees manage their skill profile, levels, interest, endorsements, and review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 Experts</w:t>
            </w:r>
          </w:p>
        </w:tc>
        <w:tc>
          <w:tcPr/>
          <w:p>
            <w:pPr>
              <w:pStyle w:val="Compact"/>
            </w:pPr>
            <w:r>
              <w:t xml:space="preserve">Users search for colleagues with specific skills.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Library</w:t>
            </w:r>
          </w:p>
        </w:tc>
        <w:tc>
          <w:tcPr/>
          <w:p>
            <w:pPr>
              <w:pStyle w:val="Compact"/>
            </w:pPr>
            <w:r>
              <w:t xml:space="preserve">Users browse the skill library and add skills to their profile.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Review</w:t>
            </w:r>
          </w:p>
        </w:tc>
        <w:tc>
          <w:tcPr/>
          <w:p>
            <w:pPr>
              <w:pStyle w:val="Compact"/>
            </w:pPr>
            <w:r>
              <w:t xml:space="preserve">Managers review and validate direct report skill assessments.</w:t>
            </w:r>
          </w:p>
        </w:tc>
      </w:tr>
    </w:tbl>
    <w:p>
      <w:pPr>
        <w:pStyle w:val="BodyText"/>
      </w:pPr>
      <w:r>
        <w:t xml:space="preserve">The latest cleanup pass focused on stabilization, usability, accessibility readiness, and reducing friction in high-volume skill management.</w:t>
      </w:r>
    </w:p>
    <w:bookmarkEnd w:id="11"/>
    <w:bookmarkStart w:id="12" w:name="governance-and-data-quality"/>
    <w:p>
      <w:pPr>
        <w:pStyle w:val="Heading2"/>
      </w:pPr>
      <w:r>
        <w:t xml:space="preserve">Governance and Data Quality</w:t>
      </w:r>
    </w:p>
    <w:p>
      <w:pPr>
        <w:pStyle w:val="FirstParagraph"/>
      </w:pPr>
      <w:r>
        <w:t xml:space="preserve">Skills Hub uses a lightweight governance model:</w:t>
      </w:r>
    </w:p>
    <w:p>
      <w:pPr>
        <w:pStyle w:val="Compact"/>
        <w:numPr>
          <w:ilvl w:val="0"/>
          <w:numId w:val="1001"/>
        </w:numPr>
      </w:pPr>
      <w:r>
        <w:t xml:space="preserve">Skill data is stored on ServiceNow skill and user-skill records.</w:t>
      </w:r>
    </w:p>
    <w:p>
      <w:pPr>
        <w:pStyle w:val="Compact"/>
        <w:numPr>
          <w:ilvl w:val="0"/>
          <w:numId w:val="1001"/>
        </w:numPr>
      </w:pPr>
      <w:r>
        <w:t xml:space="preserve">Manager validation and dispute state are stored directly on employee skill records.</w:t>
      </w:r>
    </w:p>
    <w:p>
      <w:pPr>
        <w:pStyle w:val="Compact"/>
        <w:numPr>
          <w:ilvl w:val="0"/>
          <w:numId w:val="1001"/>
        </w:numPr>
      </w:pPr>
      <w:r>
        <w:t xml:space="preserve">Skill requests provide a path to improve the library when a skill does not exist.</w:t>
      </w:r>
    </w:p>
    <w:p>
      <w:pPr>
        <w:pStyle w:val="Compact"/>
        <w:numPr>
          <w:ilvl w:val="0"/>
          <w:numId w:val="1001"/>
        </w:numPr>
      </w:pPr>
      <w:r>
        <w:t xml:space="preserve">Endorsements provide peer signal without replacing manager review.</w:t>
      </w:r>
    </w:p>
    <w:p>
      <w:pPr>
        <w:pStyle w:val="Compact"/>
        <w:numPr>
          <w:ilvl w:val="0"/>
          <w:numId w:val="1001"/>
        </w:numPr>
      </w:pPr>
      <w:r>
        <w:t xml:space="preserve">Skill levels align to the ServiceNow rating scale assigned to each skill.</w:t>
      </w:r>
    </w:p>
    <w:p>
      <w:pPr>
        <w:pStyle w:val="FirstParagraph"/>
      </w:pPr>
      <w:r>
        <w:t xml:space="preserve">The larger governance model for skill grouping, specialized skills, and verification tiers is intentionally paused for a separate design decision. That model should be handled as one cohesive solution because taxonomy, verification, and required employee detail are closely related.</w:t>
      </w:r>
    </w:p>
    <w:bookmarkEnd w:id="12"/>
    <w:bookmarkStart w:id="13" w:name="accessibility-and-usability"/>
    <w:p>
      <w:pPr>
        <w:pStyle w:val="Heading2"/>
      </w:pPr>
      <w:r>
        <w:t xml:space="preserve">Accessibility and Usability</w:t>
      </w:r>
    </w:p>
    <w:p>
      <w:pPr>
        <w:pStyle w:val="FirstParagraph"/>
      </w:pPr>
      <w:r>
        <w:t xml:space="preserve">The solution includes improvements that support 508 and ADA readiness:</w:t>
      </w:r>
    </w:p>
    <w:p>
      <w:pPr>
        <w:pStyle w:val="Compact"/>
        <w:numPr>
          <w:ilvl w:val="0"/>
          <w:numId w:val="1002"/>
        </w:numPr>
      </w:pPr>
      <w:r>
        <w:t xml:space="preserve">Clearer tab labels and navigation language.</w:t>
      </w:r>
    </w:p>
    <w:p>
      <w:pPr>
        <w:pStyle w:val="Compact"/>
        <w:numPr>
          <w:ilvl w:val="0"/>
          <w:numId w:val="1002"/>
        </w:numPr>
      </w:pPr>
      <w:r>
        <w:t xml:space="preserve">Keyboard-visible focus states.</w:t>
      </w:r>
    </w:p>
    <w:p>
      <w:pPr>
        <w:pStyle w:val="Compact"/>
        <w:numPr>
          <w:ilvl w:val="0"/>
          <w:numId w:val="1002"/>
        </w:numPr>
      </w:pPr>
      <w:r>
        <w:t xml:space="preserve">Descriptive labels for icon buttons.</w:t>
      </w:r>
    </w:p>
    <w:p>
      <w:pPr>
        <w:pStyle w:val="Compact"/>
        <w:numPr>
          <w:ilvl w:val="0"/>
          <w:numId w:val="1002"/>
        </w:numPr>
      </w:pPr>
      <w:r>
        <w:t xml:space="preserve">Accessible table captions and headers.</w:t>
      </w:r>
    </w:p>
    <w:p>
      <w:pPr>
        <w:pStyle w:val="Compact"/>
        <w:numPr>
          <w:ilvl w:val="0"/>
          <w:numId w:val="1002"/>
        </w:numPr>
      </w:pPr>
      <w:r>
        <w:t xml:space="preserve">More compact list and table layouts for large skill sets.</w:t>
      </w:r>
    </w:p>
    <w:p>
      <w:pPr>
        <w:pStyle w:val="FirstParagraph"/>
      </w:pPr>
      <w:r>
        <w:t xml:space="preserve">A formal accessibility review should still be completed before enterprise production rollout.</w:t>
      </w:r>
    </w:p>
    <w:bookmarkEnd w:id="13"/>
    <w:bookmarkStart w:id="14" w:name="current-readiness"/>
    <w:p>
      <w:pPr>
        <w:pStyle w:val="Heading2"/>
      </w:pPr>
      <w:r>
        <w:t xml:space="preserve">Current Readiness</w:t>
      </w:r>
    </w:p>
    <w:p>
      <w:pPr>
        <w:pStyle w:val="FirstParagraph"/>
      </w:pPr>
      <w:r>
        <w:t xml:space="preserve">Recent work has completed:</w:t>
      </w:r>
    </w:p>
    <w:p>
      <w:pPr>
        <w:pStyle w:val="Compact"/>
        <w:numPr>
          <w:ilvl w:val="0"/>
          <w:numId w:val="1003"/>
        </w:numPr>
      </w:pPr>
      <w:r>
        <w:t xml:space="preserve">Skill Library tab with search, category filtering, pagination, and add action.</w:t>
      </w:r>
    </w:p>
    <w:p>
      <w:pPr>
        <w:pStyle w:val="Compact"/>
        <w:numPr>
          <w:ilvl w:val="0"/>
          <w:numId w:val="1003"/>
        </w:numPr>
      </w:pPr>
      <w:r>
        <w:t xml:space="preserve">Compact and accessible Skill Library toolbar.</w:t>
      </w:r>
    </w:p>
    <w:p>
      <w:pPr>
        <w:pStyle w:val="Compact"/>
        <w:numPr>
          <w:ilvl w:val="0"/>
          <w:numId w:val="1003"/>
        </w:numPr>
      </w:pPr>
      <w:r>
        <w:t xml:space="preserve">Team Review filter repair.</w:t>
      </w:r>
    </w:p>
    <w:p>
      <w:pPr>
        <w:pStyle w:val="Compact"/>
        <w:numPr>
          <w:ilvl w:val="0"/>
          <w:numId w:val="1003"/>
        </w:numPr>
      </w:pPr>
      <w:r>
        <w:t xml:space="preserve">Dispute loop visibility.</w:t>
      </w:r>
    </w:p>
    <w:p>
      <w:pPr>
        <w:pStyle w:val="Compact"/>
        <w:numPr>
          <w:ilvl w:val="0"/>
          <w:numId w:val="1003"/>
        </w:numPr>
      </w:pPr>
      <w:r>
        <w:t xml:space="preserve">Skill level alignment to ServiceNow level types and levels.</w:t>
      </w:r>
    </w:p>
    <w:p>
      <w:pPr>
        <w:pStyle w:val="Compact"/>
        <w:numPr>
          <w:ilvl w:val="0"/>
          <w:numId w:val="1003"/>
        </w:numPr>
      </w:pPr>
      <w:r>
        <w:t xml:space="preserve">Request New Skill language cleanup.</w:t>
      </w:r>
    </w:p>
    <w:p>
      <w:pPr>
        <w:pStyle w:val="Compact"/>
        <w:numPr>
          <w:ilvl w:val="0"/>
          <w:numId w:val="1003"/>
        </w:numPr>
      </w:pPr>
      <w:r>
        <w:t xml:space="preserve">Endorsement visibility improvements.</w:t>
      </w:r>
    </w:p>
    <w:p>
      <w:pPr>
        <w:pStyle w:val="Compact"/>
        <w:numPr>
          <w:ilvl w:val="0"/>
          <w:numId w:val="1003"/>
        </w:numPr>
      </w:pPr>
      <w:r>
        <w:t xml:space="preserve">Profile and search stabilization.</w:t>
      </w:r>
    </w:p>
    <w:bookmarkEnd w:id="14"/>
    <w:bookmarkStart w:id="15" w:name="open-strategic-decision"/>
    <w:p>
      <w:pPr>
        <w:pStyle w:val="Heading2"/>
      </w:pPr>
      <w:r>
        <w:t xml:space="preserve">Open Strategic Decision</w:t>
      </w:r>
    </w:p>
    <w:p>
      <w:pPr>
        <w:pStyle w:val="FirstParagraph"/>
      </w:pPr>
      <w:r>
        <w:t xml:space="preserve">The remaining major design decision is the combined skill grouping and skill tiering model.</w:t>
      </w:r>
    </w:p>
    <w:p>
      <w:pPr>
        <w:pStyle w:val="BodyText"/>
      </w:pPr>
      <w:r>
        <w:t xml:space="preserve">This should define:</w:t>
      </w:r>
    </w:p>
    <w:p>
      <w:pPr>
        <w:pStyle w:val="Compact"/>
        <w:numPr>
          <w:ilvl w:val="0"/>
          <w:numId w:val="1004"/>
        </w:numPr>
      </w:pPr>
      <w:r>
        <w:t xml:space="preserve">How skills are grouped or categorized.</w:t>
      </w:r>
    </w:p>
    <w:p>
      <w:pPr>
        <w:pStyle w:val="Compact"/>
        <w:numPr>
          <w:ilvl w:val="0"/>
          <w:numId w:val="1004"/>
        </w:numPr>
      </w:pPr>
      <w:r>
        <w:t xml:space="preserve">Which skills require additional employee context.</w:t>
      </w:r>
    </w:p>
    <w:p>
      <w:pPr>
        <w:pStyle w:val="Compact"/>
        <w:numPr>
          <w:ilvl w:val="0"/>
          <w:numId w:val="1004"/>
        </w:numPr>
      </w:pPr>
      <w:r>
        <w:t xml:space="preserve">Which skills require manager or SME verification.</w:t>
      </w:r>
    </w:p>
    <w:p>
      <w:pPr>
        <w:pStyle w:val="Compact"/>
        <w:numPr>
          <w:ilvl w:val="0"/>
          <w:numId w:val="1004"/>
        </w:numPr>
      </w:pPr>
      <w:r>
        <w:t xml:space="preserve">Whether sensitive or specialized skills need owner attestation, visibility controls, and review cadence.</w:t>
      </w:r>
    </w:p>
    <w:p>
      <w:pPr>
        <w:pStyle w:val="FirstParagraph"/>
      </w:pPr>
      <w:r>
        <w:t xml:space="preserve">This is intentionally not finalized in the current cleanup pass because it affects governance, data model, user experience, and reporting.</w:t>
      </w:r>
    </w:p>
    <w:bookmarkEnd w:id="15"/>
    <w:bookmarkStart w:id="16" w:name="recommended-next-steps"/>
    <w:p>
      <w:pPr>
        <w:pStyle w:val="Heading2"/>
      </w:pPr>
      <w:r>
        <w:t xml:space="preserve">Recommended Next Steps</w:t>
      </w:r>
    </w:p>
    <w:p>
      <w:pPr>
        <w:pStyle w:val="Compact"/>
        <w:numPr>
          <w:ilvl w:val="0"/>
          <w:numId w:val="1005"/>
        </w:numPr>
      </w:pPr>
      <w:r>
        <w:t xml:space="preserve">Approve the current stabilized Skills Hub experience for broader testing.</w:t>
      </w:r>
    </w:p>
    <w:p>
      <w:pPr>
        <w:pStyle w:val="Compact"/>
        <w:numPr>
          <w:ilvl w:val="0"/>
          <w:numId w:val="1005"/>
        </w:numPr>
      </w:pPr>
      <w:r>
        <w:t xml:space="preserve">Complete a formal 508/ADA review with keyboard and screen reader testing.</w:t>
      </w:r>
    </w:p>
    <w:p>
      <w:pPr>
        <w:pStyle w:val="Compact"/>
        <w:numPr>
          <w:ilvl w:val="0"/>
          <w:numId w:val="1005"/>
        </w:numPr>
      </w:pPr>
      <w:r>
        <w:t xml:space="preserve">Run a pilot with employees and managers using real skill data.</w:t>
      </w:r>
    </w:p>
    <w:p>
      <w:pPr>
        <w:pStyle w:val="Compact"/>
        <w:numPr>
          <w:ilvl w:val="0"/>
          <w:numId w:val="1005"/>
        </w:numPr>
      </w:pPr>
      <w:r>
        <w:t xml:space="preserve">Design the combined grouping, specialized skill, and verification tier model.</w:t>
      </w:r>
    </w:p>
    <w:p>
      <w:pPr>
        <w:pStyle w:val="Compact"/>
        <w:numPr>
          <w:ilvl w:val="0"/>
          <w:numId w:val="1005"/>
        </w:numPr>
      </w:pPr>
      <w:r>
        <w:t xml:space="preserve">Decide whether additional analytics, reporting, or workflow automation is needed for rollout.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2026-04-29T17:59:44Z</dcterms:created>
  <dcterms:modified xsi:type="dcterms:W3CDTF">2026-04-29T17:59:44Z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