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092D1" w14:textId="6385A185" w:rsidR="00AD36FA" w:rsidRDefault="0010773F" w:rsidP="00755086">
      <w:pPr>
        <w:pStyle w:val="KeinLeerraum"/>
      </w:pPr>
      <w:r>
        <w:tab/>
      </w:r>
    </w:p>
    <w:p w14:paraId="7219F776" w14:textId="45DBA400" w:rsidR="00C4288E" w:rsidRDefault="0015177A" w:rsidP="00E84738">
      <w:pPr>
        <w:pStyle w:val="KeinLeerraum"/>
      </w:pPr>
      <w:r w:rsidRPr="005702BD">
        <w:t>Desktop as a Service</w:t>
      </w:r>
      <w:r w:rsidR="005702BD" w:rsidRPr="005702BD">
        <w:t xml:space="preserve"> steht für die Ku</w:t>
      </w:r>
      <w:r w:rsidR="005702BD">
        <w:t>nden der ProKreisIT im Wettbewerb zum Kauf</w:t>
      </w:r>
      <w:r w:rsidR="000D428C">
        <w:t xml:space="preserve"> und Betrieb</w:t>
      </w:r>
      <w:r w:rsidR="005702BD">
        <w:t xml:space="preserve"> einer eigenen IT Infrastruktur</w:t>
      </w:r>
      <w:r w:rsidR="00E763D9">
        <w:t xml:space="preserve"> On-Premises</w:t>
      </w:r>
      <w:r w:rsidR="00B84902">
        <w:t xml:space="preserve"> oder </w:t>
      </w:r>
      <w:r w:rsidR="00A401FB">
        <w:t>in der Cloud.</w:t>
      </w:r>
      <w:r w:rsidR="004B5D0E">
        <w:t xml:space="preserve"> </w:t>
      </w:r>
      <w:r w:rsidR="00A05C24">
        <w:t xml:space="preserve">Alternativ zum Kauf von Geräten werden auch Miete bzw. Leasing Verträge </w:t>
      </w:r>
      <w:r w:rsidR="00AB0B99">
        <w:t xml:space="preserve">für Clients </w:t>
      </w:r>
      <w:r w:rsidR="00A05C24">
        <w:t>angeboten.</w:t>
      </w:r>
      <w:r w:rsidR="00EF0799">
        <w:t xml:space="preserve"> Die Entscheidung hängt von Prioritäten und Präferenzen des Kunden im Einzelfall ab. </w:t>
      </w:r>
      <w:r w:rsidR="00340395">
        <w:t xml:space="preserve">Die ProKreisIT hat mehrere Kunden </w:t>
      </w:r>
      <w:r w:rsidR="0046209D">
        <w:t xml:space="preserve">mit diesem Geschäftsmodell. </w:t>
      </w:r>
    </w:p>
    <w:p w14:paraId="57759715" w14:textId="26CC2809" w:rsidR="00B0562D" w:rsidRDefault="00B0562D" w:rsidP="00E84738">
      <w:pPr>
        <w:pStyle w:val="KeinLeerraum"/>
      </w:pPr>
    </w:p>
    <w:p w14:paraId="4547ADD8" w14:textId="0894C674" w:rsidR="00AB0B99" w:rsidRDefault="00AB0B99" w:rsidP="00E84738">
      <w:pPr>
        <w:pStyle w:val="KeinLeerraum"/>
      </w:pPr>
      <w:r>
        <w:t xml:space="preserve">Für die ProKreisIT ist es </w:t>
      </w:r>
      <w:r w:rsidR="000633FA">
        <w:t xml:space="preserve">vor einer Erweiterung des Leistungsportfolios um </w:t>
      </w:r>
      <w:r w:rsidR="002D6BAD">
        <w:t xml:space="preserve">ein DaaS Angebot wichtig, </w:t>
      </w:r>
      <w:r w:rsidR="00AB4421">
        <w:t xml:space="preserve">eine Vergleichsrechnung </w:t>
      </w:r>
      <w:r w:rsidR="001A5DBE">
        <w:t xml:space="preserve">auf Basis TCO gegenüber einem klassischen Kaufansatz von Hardware und Software </w:t>
      </w:r>
      <w:r w:rsidR="00AB4421">
        <w:t xml:space="preserve">zu </w:t>
      </w:r>
      <w:r w:rsidR="00D87747">
        <w:t>erstellen</w:t>
      </w:r>
      <w:r w:rsidR="00F77B1A">
        <w:t>:</w:t>
      </w:r>
      <w:r w:rsidR="00D87747">
        <w:t xml:space="preserve"> </w:t>
      </w:r>
      <w:r w:rsidR="00791DA5">
        <w:t>Das DaaS Angebot muss einerseits konkurrenzfähig</w:t>
      </w:r>
      <w:r w:rsidR="00E24692">
        <w:t xml:space="preserve"> sein, andererseits </w:t>
      </w:r>
      <w:r w:rsidR="00820E6C">
        <w:t>verspricht sich das Management</w:t>
      </w:r>
      <w:r w:rsidR="00E41EEF">
        <w:t xml:space="preserve"> von diesem Geschäftsmodell</w:t>
      </w:r>
      <w:r w:rsidR="00820E6C">
        <w:t xml:space="preserve"> höhere Margen</w:t>
      </w:r>
      <w:r w:rsidR="00E24692">
        <w:t>.</w:t>
      </w:r>
      <w:r w:rsidR="0091328A">
        <w:t xml:space="preserve"> </w:t>
      </w:r>
    </w:p>
    <w:p w14:paraId="5AF90B62" w14:textId="587071A9" w:rsidR="00493582" w:rsidRDefault="00E41EEF" w:rsidP="00E84738">
      <w:pPr>
        <w:pStyle w:val="KeinLeerraum"/>
      </w:pPr>
      <w:r>
        <w:t>In einem</w:t>
      </w:r>
      <w:r w:rsidR="000108D5">
        <w:t xml:space="preserve"> erster </w:t>
      </w:r>
      <w:r w:rsidR="0071545C">
        <w:t>Schritt</w:t>
      </w:r>
      <w:r w:rsidR="000108D5">
        <w:t xml:space="preserve"> soll berechnet werden, wie hoch </w:t>
      </w:r>
      <w:r w:rsidR="005D3E78">
        <w:t>die monatliche Miete eines DaaS Modells höchstens ausfallen dar</w:t>
      </w:r>
      <w:r w:rsidR="003430F6">
        <w:t xml:space="preserve">f, </w:t>
      </w:r>
      <w:r w:rsidR="0071545C">
        <w:t>wenn es mit dem o.g. klassischen Kaufansatz konkurriert</w:t>
      </w:r>
      <w:r w:rsidR="003430F6">
        <w:t>.</w:t>
      </w:r>
    </w:p>
    <w:p w14:paraId="566777D4" w14:textId="45899923" w:rsidR="00D87747" w:rsidRDefault="00D87747" w:rsidP="00E84738">
      <w:pPr>
        <w:pStyle w:val="KeinLeerraum"/>
      </w:pPr>
    </w:p>
    <w:p w14:paraId="4AC4A217" w14:textId="1A43EFDD" w:rsidR="00030BA6" w:rsidRDefault="00030BA6" w:rsidP="00E84738">
      <w:pPr>
        <w:pStyle w:val="KeinLeerraum"/>
        <w:rPr>
          <w:lang w:val="en-US"/>
        </w:rPr>
      </w:pPr>
      <w:r w:rsidRPr="00030BA6">
        <w:rPr>
          <w:lang w:val="en-US"/>
        </w:rPr>
        <w:t xml:space="preserve">TCO (Total Cost of </w:t>
      </w:r>
      <w:r>
        <w:rPr>
          <w:lang w:val="en-US"/>
        </w:rPr>
        <w:t>Ownership)</w:t>
      </w:r>
    </w:p>
    <w:p w14:paraId="3B55AF2D" w14:textId="204F2203" w:rsidR="00030BA6" w:rsidRPr="00DA06C9" w:rsidRDefault="00DA06C9" w:rsidP="00E84738">
      <w:pPr>
        <w:pStyle w:val="KeinLeerraum"/>
      </w:pPr>
      <w:r w:rsidRPr="00DA06C9">
        <w:t xml:space="preserve">Total Cost of Ownership (TCO, Gesamtkosten des Betriebs) ist ein Abrechnungsverfahren, das Verbrauchern und Unternehmen helfen soll, alle anfallenden Kosten von Investitionsgütern (wie beispielsweise Software und Hardware in der IT) abzuschätzen. </w:t>
      </w:r>
      <w:r w:rsidR="007E5651">
        <w:t>Dazu gehören auch sog.</w:t>
      </w:r>
      <w:r w:rsidR="007E5651" w:rsidRPr="00DA06C9">
        <w:t xml:space="preserve"> direkte und indirekte Kosten.</w:t>
      </w:r>
      <w:r w:rsidR="007E5651">
        <w:t xml:space="preserve"> </w:t>
      </w:r>
      <w:r w:rsidRPr="00DA06C9">
        <w:t>Die Idee dabei ist, eine Abrechnung zu erhalten, die nicht nur die Anschaffungskosten enthält, sondern alle Aspekte der späteren Nutzung (Energiekosten, Reparatur und Wartung</w:t>
      </w:r>
      <w:r w:rsidR="00E65328">
        <w:t xml:space="preserve">, </w:t>
      </w:r>
      <w:r w:rsidR="003712E9">
        <w:t>Organisations- und sonstige Schulungskosten, Verwaltungsaufwand</w:t>
      </w:r>
      <w:r w:rsidRPr="00DA06C9">
        <w:t xml:space="preserve">) der betreffenden Komponenten. </w:t>
      </w:r>
      <w:r w:rsidR="00F17F5D">
        <w:t xml:space="preserve">Folgekosten </w:t>
      </w:r>
      <w:r w:rsidR="004010F5">
        <w:t xml:space="preserve">und indirekte Kosten </w:t>
      </w:r>
      <w:r w:rsidR="001775A7">
        <w:t>sollen</w:t>
      </w:r>
      <w:r w:rsidRPr="00DA06C9">
        <w:t xml:space="preserve"> bereits im Vorfeld einer Investitionsentscheidung identifiziert werden. </w:t>
      </w:r>
    </w:p>
    <w:p w14:paraId="4948240F" w14:textId="6CC6F74B" w:rsidR="00C4288E" w:rsidRPr="00DA06C9" w:rsidRDefault="00C4288E" w:rsidP="00E84738">
      <w:pPr>
        <w:pStyle w:val="KeinLeerraum"/>
        <w:rPr>
          <w:b/>
          <w:bCs/>
        </w:rPr>
      </w:pPr>
    </w:p>
    <w:p w14:paraId="2C0697D2" w14:textId="10243399" w:rsidR="00E84738" w:rsidRDefault="00E84738" w:rsidP="00E84738">
      <w:pPr>
        <w:pStyle w:val="KeinLeerraum"/>
        <w:rPr>
          <w:b/>
          <w:bCs/>
        </w:rPr>
      </w:pPr>
      <w:r>
        <w:rPr>
          <w:b/>
          <w:bCs/>
        </w:rPr>
        <w:t>Auftrag 4: Erstellen Sie modellhaft eine Wirtschaftlichkeitsberechnung über 4 Jahre. Dabei stellen Sie</w:t>
      </w:r>
      <w:r w:rsidR="00B75438">
        <w:rPr>
          <w:b/>
          <w:bCs/>
        </w:rPr>
        <w:t xml:space="preserve"> der Neubeschaffung der </w:t>
      </w:r>
      <w:r>
        <w:rPr>
          <w:b/>
          <w:bCs/>
        </w:rPr>
        <w:t xml:space="preserve">IT Ausstattung der SBKL einem DaaS Ansatz gegenüber. Treffen Sie dazu </w:t>
      </w:r>
      <w:r w:rsidR="00B75438">
        <w:rPr>
          <w:b/>
          <w:bCs/>
        </w:rPr>
        <w:t xml:space="preserve">ggf. weitere </w:t>
      </w:r>
      <w:r>
        <w:rPr>
          <w:b/>
          <w:bCs/>
        </w:rPr>
        <w:t>geeignete Annahmen (Anzahl Mitarbeiter: 120</w:t>
      </w:r>
      <w:r w:rsidR="00B75438">
        <w:rPr>
          <w:b/>
          <w:bCs/>
        </w:rPr>
        <w:t xml:space="preserve">, </w:t>
      </w:r>
      <w:r w:rsidR="006B77E6">
        <w:rPr>
          <w:b/>
          <w:bCs/>
        </w:rPr>
        <w:t>Abschreibung und Ersatz eines Desktop PC nach 4 Jahren</w:t>
      </w:r>
      <w:r w:rsidR="003F2F7F">
        <w:rPr>
          <w:b/>
          <w:bCs/>
        </w:rPr>
        <w:t>, ThinClient nach 8 Jahren</w:t>
      </w:r>
      <w:r w:rsidR="007C2285">
        <w:rPr>
          <w:b/>
          <w:bCs/>
        </w:rPr>
        <w:t xml:space="preserve">, </w:t>
      </w:r>
      <w:r w:rsidR="007D5657">
        <w:rPr>
          <w:b/>
          <w:bCs/>
        </w:rPr>
        <w:t>Arbeitsplatzlizenzen</w:t>
      </w:r>
      <w:r>
        <w:rPr>
          <w:b/>
          <w:bCs/>
        </w:rPr>
        <w:t xml:space="preserve">) </w:t>
      </w:r>
    </w:p>
    <w:p w14:paraId="13FB2BC8" w14:textId="77777777" w:rsidR="00E84738" w:rsidRPr="00D47687" w:rsidRDefault="00E84738" w:rsidP="00E84738">
      <w:pPr>
        <w:pStyle w:val="KeinLeerraum"/>
        <w:ind w:left="720" w:firstLine="0"/>
      </w:pPr>
    </w:p>
    <w:p w14:paraId="54C7EFD2" w14:textId="5FB8567D" w:rsidR="00E84738" w:rsidRDefault="0008242B" w:rsidP="00E84738">
      <w:pPr>
        <w:pStyle w:val="KeinLeerraum"/>
        <w:rPr>
          <w:b/>
          <w:bCs/>
        </w:rPr>
      </w:pPr>
      <w:r>
        <w:rPr>
          <w:b/>
          <w:bCs/>
        </w:rPr>
        <w:t>Annahmen:</w:t>
      </w:r>
    </w:p>
    <w:tbl>
      <w:tblPr>
        <w:tblStyle w:val="Tabellenraster"/>
        <w:tblW w:w="0" w:type="auto"/>
        <w:tblInd w:w="10" w:type="dxa"/>
        <w:tblLook w:val="04A0" w:firstRow="1" w:lastRow="0" w:firstColumn="1" w:lastColumn="0" w:noHBand="0" w:noVBand="1"/>
      </w:tblPr>
      <w:tblGrid>
        <w:gridCol w:w="5088"/>
        <w:gridCol w:w="2410"/>
        <w:gridCol w:w="2228"/>
      </w:tblGrid>
      <w:tr w:rsidR="00916BEF" w14:paraId="6DF5ED5B" w14:textId="77777777" w:rsidTr="005D0901">
        <w:tc>
          <w:tcPr>
            <w:tcW w:w="5088" w:type="dxa"/>
          </w:tcPr>
          <w:p w14:paraId="0026E677" w14:textId="44188A47" w:rsidR="00916BEF" w:rsidRDefault="00916BEF" w:rsidP="00271DA8">
            <w:pPr>
              <w:pStyle w:val="KeinLeerraum"/>
              <w:ind w:left="0" w:firstLine="0"/>
              <w:jc w:val="left"/>
              <w:rPr>
                <w:b/>
                <w:bCs/>
              </w:rPr>
            </w:pPr>
          </w:p>
        </w:tc>
        <w:tc>
          <w:tcPr>
            <w:tcW w:w="2410" w:type="dxa"/>
          </w:tcPr>
          <w:p w14:paraId="7EA7A8B1" w14:textId="58FBBF24" w:rsidR="00916BEF" w:rsidRDefault="00916BEF" w:rsidP="00271DA8">
            <w:pPr>
              <w:pStyle w:val="KeinLeerraum"/>
              <w:ind w:left="0" w:firstLine="0"/>
              <w:jc w:val="left"/>
              <w:rPr>
                <w:b/>
                <w:bCs/>
              </w:rPr>
            </w:pPr>
            <w:r>
              <w:rPr>
                <w:b/>
                <w:bCs/>
              </w:rPr>
              <w:t>Desktop</w:t>
            </w:r>
          </w:p>
        </w:tc>
        <w:tc>
          <w:tcPr>
            <w:tcW w:w="2228" w:type="dxa"/>
          </w:tcPr>
          <w:p w14:paraId="6F6417E7" w14:textId="33FEB37A" w:rsidR="00916BEF" w:rsidRDefault="00916BEF" w:rsidP="00271DA8">
            <w:pPr>
              <w:pStyle w:val="KeinLeerraum"/>
              <w:ind w:left="0" w:firstLine="0"/>
              <w:jc w:val="left"/>
              <w:rPr>
                <w:b/>
                <w:bCs/>
              </w:rPr>
            </w:pPr>
            <w:r>
              <w:rPr>
                <w:b/>
                <w:bCs/>
              </w:rPr>
              <w:t>DaaS</w:t>
            </w:r>
          </w:p>
        </w:tc>
      </w:tr>
      <w:tr w:rsidR="00597D9A" w14:paraId="4CC3060F" w14:textId="77777777" w:rsidTr="005D0901">
        <w:tc>
          <w:tcPr>
            <w:tcW w:w="5088" w:type="dxa"/>
            <w:shd w:val="clear" w:color="auto" w:fill="F2F2F2" w:themeFill="background1" w:themeFillShade="F2"/>
          </w:tcPr>
          <w:p w14:paraId="2EDFDFBB" w14:textId="09AC45FC" w:rsidR="00597D9A" w:rsidRPr="001B5C02" w:rsidRDefault="00597D9A" w:rsidP="00271DA8">
            <w:pPr>
              <w:pStyle w:val="KeinLeerraum"/>
              <w:ind w:left="0" w:firstLine="0"/>
              <w:jc w:val="left"/>
            </w:pPr>
            <w:r>
              <w:t>Direkte Kosten</w:t>
            </w:r>
          </w:p>
        </w:tc>
        <w:tc>
          <w:tcPr>
            <w:tcW w:w="2410" w:type="dxa"/>
            <w:shd w:val="clear" w:color="auto" w:fill="F2F2F2" w:themeFill="background1" w:themeFillShade="F2"/>
          </w:tcPr>
          <w:p w14:paraId="5D96D283" w14:textId="77777777" w:rsidR="00597D9A" w:rsidRDefault="00597D9A" w:rsidP="00271DA8">
            <w:pPr>
              <w:pStyle w:val="KeinLeerraum"/>
              <w:ind w:left="0" w:firstLine="0"/>
              <w:jc w:val="left"/>
              <w:rPr>
                <w:b/>
                <w:bCs/>
              </w:rPr>
            </w:pPr>
          </w:p>
        </w:tc>
        <w:tc>
          <w:tcPr>
            <w:tcW w:w="2228" w:type="dxa"/>
            <w:shd w:val="clear" w:color="auto" w:fill="F2F2F2" w:themeFill="background1" w:themeFillShade="F2"/>
          </w:tcPr>
          <w:p w14:paraId="7E16D3A9" w14:textId="77777777" w:rsidR="00597D9A" w:rsidRDefault="00597D9A" w:rsidP="00271DA8">
            <w:pPr>
              <w:pStyle w:val="KeinLeerraum"/>
              <w:ind w:left="0" w:firstLine="0"/>
              <w:jc w:val="left"/>
              <w:rPr>
                <w:b/>
                <w:bCs/>
              </w:rPr>
            </w:pPr>
          </w:p>
        </w:tc>
      </w:tr>
      <w:tr w:rsidR="00916BEF" w14:paraId="1E2D6C40" w14:textId="77777777" w:rsidTr="005D0901">
        <w:tc>
          <w:tcPr>
            <w:tcW w:w="5088" w:type="dxa"/>
          </w:tcPr>
          <w:p w14:paraId="0E9FAEA1" w14:textId="4CEB03BA" w:rsidR="00916BEF" w:rsidRPr="001B5C02" w:rsidRDefault="00916BEF" w:rsidP="00271DA8">
            <w:pPr>
              <w:pStyle w:val="KeinLeerraum"/>
              <w:ind w:left="0" w:firstLine="0"/>
              <w:jc w:val="left"/>
            </w:pPr>
            <w:r w:rsidRPr="001B5C02">
              <w:t>Anschaffungskosten</w:t>
            </w:r>
            <w:r w:rsidR="00CC4BD3">
              <w:t xml:space="preserve"> HW</w:t>
            </w:r>
            <w:r w:rsidRPr="001B5C02">
              <w:t xml:space="preserve"> (alle 4 Jahre)</w:t>
            </w:r>
          </w:p>
        </w:tc>
        <w:tc>
          <w:tcPr>
            <w:tcW w:w="2410" w:type="dxa"/>
          </w:tcPr>
          <w:p w14:paraId="6A50FDAF" w14:textId="77777777" w:rsidR="00916BEF" w:rsidRDefault="00916BEF" w:rsidP="00271DA8">
            <w:pPr>
              <w:pStyle w:val="KeinLeerraum"/>
              <w:ind w:left="0" w:firstLine="0"/>
              <w:jc w:val="left"/>
              <w:rPr>
                <w:b/>
                <w:bCs/>
              </w:rPr>
            </w:pPr>
          </w:p>
        </w:tc>
        <w:tc>
          <w:tcPr>
            <w:tcW w:w="2228" w:type="dxa"/>
          </w:tcPr>
          <w:p w14:paraId="1EFAFFA0" w14:textId="15EAC33F" w:rsidR="00916BEF" w:rsidRDefault="00916BEF" w:rsidP="00271DA8">
            <w:pPr>
              <w:pStyle w:val="KeinLeerraum"/>
              <w:ind w:left="0" w:firstLine="0"/>
              <w:jc w:val="left"/>
              <w:rPr>
                <w:b/>
                <w:bCs/>
              </w:rPr>
            </w:pPr>
          </w:p>
        </w:tc>
      </w:tr>
      <w:tr w:rsidR="00997A8C" w14:paraId="5DD2114B" w14:textId="77777777" w:rsidTr="005D0901">
        <w:tc>
          <w:tcPr>
            <w:tcW w:w="5088" w:type="dxa"/>
          </w:tcPr>
          <w:p w14:paraId="7BEA6571" w14:textId="1735C2B2" w:rsidR="00997A8C" w:rsidRPr="001B5C02" w:rsidRDefault="00554479" w:rsidP="00271DA8">
            <w:pPr>
              <w:pStyle w:val="KeinLeerraum"/>
              <w:ind w:left="0" w:firstLine="0"/>
              <w:jc w:val="left"/>
            </w:pPr>
            <w:r w:rsidRPr="001B5C02">
              <w:t>Initiale Installationskosten</w:t>
            </w:r>
          </w:p>
        </w:tc>
        <w:tc>
          <w:tcPr>
            <w:tcW w:w="2410" w:type="dxa"/>
          </w:tcPr>
          <w:p w14:paraId="6A429922" w14:textId="77777777" w:rsidR="00997A8C" w:rsidRDefault="00997A8C" w:rsidP="00271DA8">
            <w:pPr>
              <w:pStyle w:val="KeinLeerraum"/>
              <w:ind w:left="0" w:firstLine="0"/>
              <w:jc w:val="left"/>
              <w:rPr>
                <w:b/>
                <w:bCs/>
              </w:rPr>
            </w:pPr>
          </w:p>
        </w:tc>
        <w:tc>
          <w:tcPr>
            <w:tcW w:w="2228" w:type="dxa"/>
          </w:tcPr>
          <w:p w14:paraId="17F99B93" w14:textId="77777777" w:rsidR="00997A8C" w:rsidRDefault="00997A8C" w:rsidP="00271DA8">
            <w:pPr>
              <w:pStyle w:val="KeinLeerraum"/>
              <w:ind w:left="0" w:firstLine="0"/>
              <w:jc w:val="left"/>
              <w:rPr>
                <w:b/>
                <w:bCs/>
              </w:rPr>
            </w:pPr>
          </w:p>
        </w:tc>
      </w:tr>
      <w:tr w:rsidR="00554479" w14:paraId="45451BCA" w14:textId="77777777" w:rsidTr="005D0901">
        <w:tc>
          <w:tcPr>
            <w:tcW w:w="5088" w:type="dxa"/>
          </w:tcPr>
          <w:p w14:paraId="5E68A4F0" w14:textId="0A6175C4" w:rsidR="00554479" w:rsidRPr="001B5C02" w:rsidRDefault="008D28F1" w:rsidP="00271DA8">
            <w:pPr>
              <w:pStyle w:val="KeinLeerraum"/>
              <w:ind w:left="0" w:firstLine="0"/>
              <w:jc w:val="left"/>
            </w:pPr>
            <w:r w:rsidRPr="001B5C02">
              <w:t>Upgrade Installationskosten</w:t>
            </w:r>
          </w:p>
        </w:tc>
        <w:tc>
          <w:tcPr>
            <w:tcW w:w="2410" w:type="dxa"/>
          </w:tcPr>
          <w:p w14:paraId="6F8C865E" w14:textId="77777777" w:rsidR="00554479" w:rsidRDefault="00554479" w:rsidP="00271DA8">
            <w:pPr>
              <w:pStyle w:val="KeinLeerraum"/>
              <w:ind w:left="0" w:firstLine="0"/>
              <w:jc w:val="left"/>
              <w:rPr>
                <w:b/>
                <w:bCs/>
              </w:rPr>
            </w:pPr>
          </w:p>
        </w:tc>
        <w:tc>
          <w:tcPr>
            <w:tcW w:w="2228" w:type="dxa"/>
          </w:tcPr>
          <w:p w14:paraId="7D0BB5A9" w14:textId="77777777" w:rsidR="00554479" w:rsidRDefault="00554479" w:rsidP="00271DA8">
            <w:pPr>
              <w:pStyle w:val="KeinLeerraum"/>
              <w:ind w:left="0" w:firstLine="0"/>
              <w:jc w:val="left"/>
              <w:rPr>
                <w:b/>
                <w:bCs/>
              </w:rPr>
            </w:pPr>
          </w:p>
        </w:tc>
      </w:tr>
      <w:tr w:rsidR="008D28F1" w14:paraId="01B7928B" w14:textId="77777777" w:rsidTr="005D0901">
        <w:tc>
          <w:tcPr>
            <w:tcW w:w="5088" w:type="dxa"/>
          </w:tcPr>
          <w:p w14:paraId="755D9BC4" w14:textId="20D79510" w:rsidR="008D28F1" w:rsidRPr="0040627B" w:rsidRDefault="001B5C02" w:rsidP="00271DA8">
            <w:pPr>
              <w:pStyle w:val="KeinLeerraum"/>
              <w:ind w:left="0" w:firstLine="0"/>
              <w:jc w:val="left"/>
            </w:pPr>
            <w:r w:rsidRPr="0040627B">
              <w:t xml:space="preserve">jährliche </w:t>
            </w:r>
            <w:r w:rsidR="00790679" w:rsidRPr="0040627B">
              <w:t>Wartungs</w:t>
            </w:r>
            <w:r w:rsidR="00A94413" w:rsidRPr="0040627B">
              <w:t>- und Support</w:t>
            </w:r>
            <w:r w:rsidR="00790679" w:rsidRPr="0040627B">
              <w:t>kosten</w:t>
            </w:r>
          </w:p>
        </w:tc>
        <w:tc>
          <w:tcPr>
            <w:tcW w:w="2410" w:type="dxa"/>
          </w:tcPr>
          <w:p w14:paraId="232DA0B2" w14:textId="77777777" w:rsidR="008D28F1" w:rsidRDefault="008D28F1" w:rsidP="00271DA8">
            <w:pPr>
              <w:pStyle w:val="KeinLeerraum"/>
              <w:ind w:left="0" w:firstLine="0"/>
              <w:jc w:val="left"/>
              <w:rPr>
                <w:b/>
                <w:bCs/>
              </w:rPr>
            </w:pPr>
          </w:p>
        </w:tc>
        <w:tc>
          <w:tcPr>
            <w:tcW w:w="2228" w:type="dxa"/>
          </w:tcPr>
          <w:p w14:paraId="287A951F" w14:textId="77777777" w:rsidR="008D28F1" w:rsidRDefault="008D28F1" w:rsidP="00271DA8">
            <w:pPr>
              <w:pStyle w:val="KeinLeerraum"/>
              <w:ind w:left="0" w:firstLine="0"/>
              <w:jc w:val="left"/>
              <w:rPr>
                <w:b/>
                <w:bCs/>
              </w:rPr>
            </w:pPr>
          </w:p>
        </w:tc>
      </w:tr>
      <w:tr w:rsidR="001B5C02" w14:paraId="7D3733BE" w14:textId="77777777" w:rsidTr="005D0901">
        <w:tc>
          <w:tcPr>
            <w:tcW w:w="5088" w:type="dxa"/>
          </w:tcPr>
          <w:p w14:paraId="3C625C0A" w14:textId="5D3EB55E" w:rsidR="001B5C02" w:rsidRPr="0040627B" w:rsidRDefault="00776B68" w:rsidP="00271DA8">
            <w:pPr>
              <w:pStyle w:val="KeinLeerraum"/>
              <w:ind w:left="0" w:firstLine="0"/>
              <w:jc w:val="left"/>
            </w:pPr>
            <w:r w:rsidRPr="0040627B">
              <w:t>Erweiterungskosten neue Mitarbeiter pro Jahr</w:t>
            </w:r>
          </w:p>
        </w:tc>
        <w:tc>
          <w:tcPr>
            <w:tcW w:w="2410" w:type="dxa"/>
          </w:tcPr>
          <w:p w14:paraId="2471B67D" w14:textId="77777777" w:rsidR="001B5C02" w:rsidRDefault="001B5C02" w:rsidP="00271DA8">
            <w:pPr>
              <w:pStyle w:val="KeinLeerraum"/>
              <w:ind w:left="0" w:firstLine="0"/>
              <w:jc w:val="left"/>
              <w:rPr>
                <w:b/>
                <w:bCs/>
              </w:rPr>
            </w:pPr>
          </w:p>
        </w:tc>
        <w:tc>
          <w:tcPr>
            <w:tcW w:w="2228" w:type="dxa"/>
          </w:tcPr>
          <w:p w14:paraId="39729E7F" w14:textId="77777777" w:rsidR="001B5C02" w:rsidRDefault="001B5C02" w:rsidP="00271DA8">
            <w:pPr>
              <w:pStyle w:val="KeinLeerraum"/>
              <w:ind w:left="0" w:firstLine="0"/>
              <w:jc w:val="left"/>
              <w:rPr>
                <w:b/>
                <w:bCs/>
              </w:rPr>
            </w:pPr>
          </w:p>
        </w:tc>
      </w:tr>
      <w:tr w:rsidR="006F0813" w14:paraId="128D255A" w14:textId="77777777" w:rsidTr="005D0901">
        <w:tc>
          <w:tcPr>
            <w:tcW w:w="5088" w:type="dxa"/>
          </w:tcPr>
          <w:p w14:paraId="7F5DE95B" w14:textId="77777777" w:rsidR="00271DA8" w:rsidRDefault="006F0813" w:rsidP="00271DA8">
            <w:pPr>
              <w:pStyle w:val="KeinLeerraum"/>
              <w:ind w:left="0" w:firstLine="0"/>
              <w:jc w:val="left"/>
            </w:pPr>
            <w:r>
              <w:t>Verwaltungskosten</w:t>
            </w:r>
          </w:p>
          <w:p w14:paraId="048AFB22" w14:textId="32019F72" w:rsidR="006F0813" w:rsidRPr="0040627B" w:rsidRDefault="00271DA8" w:rsidP="00271DA8">
            <w:pPr>
              <w:pStyle w:val="KeinLeerraum"/>
              <w:ind w:left="0" w:firstLine="0"/>
              <w:jc w:val="left"/>
            </w:pPr>
            <w:r>
              <w:t>(</w:t>
            </w:r>
            <w:r w:rsidR="006F0813">
              <w:t>Asset Management</w:t>
            </w:r>
            <w:r>
              <w:t>, Budgetplanung, etc)</w:t>
            </w:r>
          </w:p>
        </w:tc>
        <w:tc>
          <w:tcPr>
            <w:tcW w:w="2410" w:type="dxa"/>
          </w:tcPr>
          <w:p w14:paraId="62D109E3" w14:textId="77777777" w:rsidR="006F0813" w:rsidRDefault="006F0813" w:rsidP="00271DA8">
            <w:pPr>
              <w:pStyle w:val="KeinLeerraum"/>
              <w:ind w:left="0" w:firstLine="0"/>
              <w:jc w:val="left"/>
              <w:rPr>
                <w:b/>
                <w:bCs/>
              </w:rPr>
            </w:pPr>
          </w:p>
        </w:tc>
        <w:tc>
          <w:tcPr>
            <w:tcW w:w="2228" w:type="dxa"/>
          </w:tcPr>
          <w:p w14:paraId="08752EB2" w14:textId="77777777" w:rsidR="006F0813" w:rsidRDefault="006F0813" w:rsidP="00271DA8">
            <w:pPr>
              <w:pStyle w:val="KeinLeerraum"/>
              <w:ind w:left="0" w:firstLine="0"/>
              <w:jc w:val="left"/>
              <w:rPr>
                <w:b/>
                <w:bCs/>
              </w:rPr>
            </w:pPr>
          </w:p>
        </w:tc>
      </w:tr>
      <w:tr w:rsidR="00546417" w14:paraId="47080244" w14:textId="77777777" w:rsidTr="005D0901">
        <w:tc>
          <w:tcPr>
            <w:tcW w:w="5088" w:type="dxa"/>
          </w:tcPr>
          <w:p w14:paraId="5204B107" w14:textId="56DB8352" w:rsidR="00546417" w:rsidRDefault="00546417" w:rsidP="00271DA8">
            <w:pPr>
              <w:pStyle w:val="KeinLeerraum"/>
              <w:ind w:left="0" w:firstLine="0"/>
              <w:jc w:val="left"/>
            </w:pPr>
            <w:r>
              <w:t>Energiekosten</w:t>
            </w:r>
          </w:p>
        </w:tc>
        <w:tc>
          <w:tcPr>
            <w:tcW w:w="2410" w:type="dxa"/>
          </w:tcPr>
          <w:p w14:paraId="19084179" w14:textId="77777777" w:rsidR="00546417" w:rsidRDefault="00546417" w:rsidP="00271DA8">
            <w:pPr>
              <w:pStyle w:val="KeinLeerraum"/>
              <w:ind w:left="0" w:firstLine="0"/>
              <w:jc w:val="left"/>
              <w:rPr>
                <w:b/>
                <w:bCs/>
              </w:rPr>
            </w:pPr>
          </w:p>
        </w:tc>
        <w:tc>
          <w:tcPr>
            <w:tcW w:w="2228" w:type="dxa"/>
          </w:tcPr>
          <w:p w14:paraId="6CC46FF5" w14:textId="77777777" w:rsidR="00546417" w:rsidRDefault="00546417" w:rsidP="00271DA8">
            <w:pPr>
              <w:pStyle w:val="KeinLeerraum"/>
              <w:ind w:left="0" w:firstLine="0"/>
              <w:jc w:val="left"/>
              <w:rPr>
                <w:b/>
                <w:bCs/>
              </w:rPr>
            </w:pPr>
          </w:p>
        </w:tc>
      </w:tr>
      <w:tr w:rsidR="00625D3D" w14:paraId="364B1E9F" w14:textId="77777777" w:rsidTr="005D0901">
        <w:tc>
          <w:tcPr>
            <w:tcW w:w="5088" w:type="dxa"/>
          </w:tcPr>
          <w:p w14:paraId="7C645C2D" w14:textId="7600C23E" w:rsidR="00625D3D" w:rsidRDefault="00625D3D" w:rsidP="00271DA8">
            <w:pPr>
              <w:pStyle w:val="KeinLeerraum"/>
              <w:ind w:left="0" w:firstLine="0"/>
              <w:jc w:val="left"/>
            </w:pPr>
            <w:r>
              <w:t>Datensicherung</w:t>
            </w:r>
          </w:p>
        </w:tc>
        <w:tc>
          <w:tcPr>
            <w:tcW w:w="2410" w:type="dxa"/>
          </w:tcPr>
          <w:p w14:paraId="313128FA" w14:textId="77777777" w:rsidR="00625D3D" w:rsidRDefault="00625D3D" w:rsidP="00271DA8">
            <w:pPr>
              <w:pStyle w:val="KeinLeerraum"/>
              <w:ind w:left="0" w:firstLine="0"/>
              <w:jc w:val="left"/>
              <w:rPr>
                <w:b/>
                <w:bCs/>
              </w:rPr>
            </w:pPr>
          </w:p>
        </w:tc>
        <w:tc>
          <w:tcPr>
            <w:tcW w:w="2228" w:type="dxa"/>
          </w:tcPr>
          <w:p w14:paraId="45FDD7C3" w14:textId="77777777" w:rsidR="00625D3D" w:rsidRDefault="00625D3D" w:rsidP="00271DA8">
            <w:pPr>
              <w:pStyle w:val="KeinLeerraum"/>
              <w:ind w:left="0" w:firstLine="0"/>
              <w:jc w:val="left"/>
              <w:rPr>
                <w:b/>
                <w:bCs/>
              </w:rPr>
            </w:pPr>
          </w:p>
        </w:tc>
      </w:tr>
      <w:tr w:rsidR="00BA111F" w14:paraId="68DE1BB0" w14:textId="77777777" w:rsidTr="005D0901">
        <w:tc>
          <w:tcPr>
            <w:tcW w:w="5088" w:type="dxa"/>
          </w:tcPr>
          <w:p w14:paraId="6ADE38FD" w14:textId="77777777" w:rsidR="00BA111F" w:rsidRDefault="00BA111F" w:rsidP="00B209DA">
            <w:pPr>
              <w:pStyle w:val="KeinLeerraum"/>
              <w:ind w:left="0" w:firstLine="0"/>
              <w:jc w:val="left"/>
            </w:pPr>
            <w:r>
              <w:t>Platz- und Ersatzteillagerbedarf</w:t>
            </w:r>
          </w:p>
        </w:tc>
        <w:tc>
          <w:tcPr>
            <w:tcW w:w="2410" w:type="dxa"/>
          </w:tcPr>
          <w:p w14:paraId="6A3D28A2" w14:textId="77777777" w:rsidR="00BA111F" w:rsidRDefault="00BA111F" w:rsidP="00B209DA">
            <w:pPr>
              <w:pStyle w:val="KeinLeerraum"/>
              <w:ind w:left="0" w:firstLine="0"/>
              <w:jc w:val="left"/>
              <w:rPr>
                <w:b/>
                <w:bCs/>
              </w:rPr>
            </w:pPr>
          </w:p>
        </w:tc>
        <w:tc>
          <w:tcPr>
            <w:tcW w:w="2228" w:type="dxa"/>
          </w:tcPr>
          <w:p w14:paraId="474CD041" w14:textId="77777777" w:rsidR="00BA111F" w:rsidRDefault="00BA111F" w:rsidP="00B209DA">
            <w:pPr>
              <w:pStyle w:val="KeinLeerraum"/>
              <w:ind w:left="0" w:firstLine="0"/>
              <w:jc w:val="left"/>
              <w:rPr>
                <w:b/>
                <w:bCs/>
              </w:rPr>
            </w:pPr>
          </w:p>
        </w:tc>
      </w:tr>
      <w:tr w:rsidR="00646C84" w14:paraId="71BE4869" w14:textId="77777777" w:rsidTr="005D0901">
        <w:tc>
          <w:tcPr>
            <w:tcW w:w="5088" w:type="dxa"/>
          </w:tcPr>
          <w:p w14:paraId="1AB3A878" w14:textId="5B9C458F" w:rsidR="00646C84" w:rsidRDefault="00646C84" w:rsidP="00B209DA">
            <w:pPr>
              <w:pStyle w:val="KeinLeerraum"/>
              <w:ind w:left="0" w:firstLine="0"/>
              <w:jc w:val="left"/>
            </w:pPr>
            <w:r>
              <w:t>Netzwerk</w:t>
            </w:r>
          </w:p>
        </w:tc>
        <w:tc>
          <w:tcPr>
            <w:tcW w:w="2410" w:type="dxa"/>
          </w:tcPr>
          <w:p w14:paraId="7952C06F" w14:textId="77777777" w:rsidR="00646C84" w:rsidRDefault="00646C84" w:rsidP="00B209DA">
            <w:pPr>
              <w:pStyle w:val="KeinLeerraum"/>
              <w:ind w:left="0" w:firstLine="0"/>
              <w:jc w:val="left"/>
              <w:rPr>
                <w:b/>
                <w:bCs/>
              </w:rPr>
            </w:pPr>
          </w:p>
        </w:tc>
        <w:tc>
          <w:tcPr>
            <w:tcW w:w="2228" w:type="dxa"/>
          </w:tcPr>
          <w:p w14:paraId="76AD4F0B" w14:textId="77777777" w:rsidR="00646C84" w:rsidRDefault="00646C84" w:rsidP="00B209DA">
            <w:pPr>
              <w:pStyle w:val="KeinLeerraum"/>
              <w:ind w:left="0" w:firstLine="0"/>
              <w:jc w:val="left"/>
              <w:rPr>
                <w:b/>
                <w:bCs/>
              </w:rPr>
            </w:pPr>
          </w:p>
        </w:tc>
      </w:tr>
      <w:tr w:rsidR="00271DA8" w14:paraId="68653F63" w14:textId="77777777" w:rsidTr="005D0901">
        <w:tc>
          <w:tcPr>
            <w:tcW w:w="5088" w:type="dxa"/>
            <w:shd w:val="clear" w:color="auto" w:fill="F2F2F2" w:themeFill="background1" w:themeFillShade="F2"/>
          </w:tcPr>
          <w:p w14:paraId="625C4F67" w14:textId="2BEAF145" w:rsidR="00271DA8" w:rsidRDefault="00597D9A" w:rsidP="00271DA8">
            <w:pPr>
              <w:pStyle w:val="KeinLeerraum"/>
              <w:ind w:left="0" w:firstLine="0"/>
              <w:jc w:val="left"/>
            </w:pPr>
            <w:r>
              <w:t>Indirekte Kosten</w:t>
            </w:r>
          </w:p>
        </w:tc>
        <w:tc>
          <w:tcPr>
            <w:tcW w:w="2410" w:type="dxa"/>
            <w:shd w:val="clear" w:color="auto" w:fill="F2F2F2" w:themeFill="background1" w:themeFillShade="F2"/>
          </w:tcPr>
          <w:p w14:paraId="0A5F06C0" w14:textId="77777777" w:rsidR="00271DA8" w:rsidRDefault="00271DA8" w:rsidP="00271DA8">
            <w:pPr>
              <w:pStyle w:val="KeinLeerraum"/>
              <w:ind w:left="0" w:firstLine="0"/>
              <w:jc w:val="left"/>
              <w:rPr>
                <w:b/>
                <w:bCs/>
              </w:rPr>
            </w:pPr>
          </w:p>
        </w:tc>
        <w:tc>
          <w:tcPr>
            <w:tcW w:w="2228" w:type="dxa"/>
            <w:shd w:val="clear" w:color="auto" w:fill="F2F2F2" w:themeFill="background1" w:themeFillShade="F2"/>
          </w:tcPr>
          <w:p w14:paraId="7A92AF8A" w14:textId="77777777" w:rsidR="00271DA8" w:rsidRDefault="00271DA8" w:rsidP="00271DA8">
            <w:pPr>
              <w:pStyle w:val="KeinLeerraum"/>
              <w:ind w:left="0" w:firstLine="0"/>
              <w:jc w:val="left"/>
              <w:rPr>
                <w:b/>
                <w:bCs/>
              </w:rPr>
            </w:pPr>
          </w:p>
        </w:tc>
      </w:tr>
      <w:tr w:rsidR="00597D9A" w14:paraId="641C810E" w14:textId="77777777" w:rsidTr="005D0901">
        <w:tc>
          <w:tcPr>
            <w:tcW w:w="5088" w:type="dxa"/>
          </w:tcPr>
          <w:p w14:paraId="1A75F866" w14:textId="3F3308C7" w:rsidR="00597D9A" w:rsidRDefault="009D52A5" w:rsidP="00271DA8">
            <w:pPr>
              <w:pStyle w:val="KeinLeerraum"/>
              <w:ind w:left="0" w:firstLine="0"/>
              <w:jc w:val="left"/>
            </w:pPr>
            <w:r>
              <w:t>Nicht-verfügbarkeit</w:t>
            </w:r>
            <w:r w:rsidR="005D0901">
              <w:t>: Produktivitätsverlust</w:t>
            </w:r>
          </w:p>
        </w:tc>
        <w:tc>
          <w:tcPr>
            <w:tcW w:w="2410" w:type="dxa"/>
          </w:tcPr>
          <w:p w14:paraId="3AC70E16" w14:textId="77777777" w:rsidR="00597D9A" w:rsidRDefault="00597D9A" w:rsidP="00271DA8">
            <w:pPr>
              <w:pStyle w:val="KeinLeerraum"/>
              <w:ind w:left="0" w:firstLine="0"/>
              <w:jc w:val="left"/>
              <w:rPr>
                <w:b/>
                <w:bCs/>
              </w:rPr>
            </w:pPr>
          </w:p>
        </w:tc>
        <w:tc>
          <w:tcPr>
            <w:tcW w:w="2228" w:type="dxa"/>
          </w:tcPr>
          <w:p w14:paraId="01744234" w14:textId="77777777" w:rsidR="00597D9A" w:rsidRDefault="00597D9A" w:rsidP="00271DA8">
            <w:pPr>
              <w:pStyle w:val="KeinLeerraum"/>
              <w:ind w:left="0" w:firstLine="0"/>
              <w:jc w:val="left"/>
              <w:rPr>
                <w:b/>
                <w:bCs/>
              </w:rPr>
            </w:pPr>
          </w:p>
        </w:tc>
      </w:tr>
    </w:tbl>
    <w:p w14:paraId="3DDADAE4" w14:textId="77777777" w:rsidR="0008242B" w:rsidRDefault="0008242B" w:rsidP="00E84738">
      <w:pPr>
        <w:pStyle w:val="KeinLeerraum"/>
        <w:rPr>
          <w:b/>
          <w:bCs/>
        </w:rPr>
      </w:pPr>
    </w:p>
    <w:p w14:paraId="72946710" w14:textId="2D157982" w:rsidR="004536EE" w:rsidRPr="004314C0" w:rsidRDefault="004536EE" w:rsidP="004536EE">
      <w:pPr>
        <w:pStyle w:val="KeinLeerraum"/>
        <w:rPr>
          <w:b/>
          <w:bCs/>
          <w:lang w:val="en-US"/>
        </w:rPr>
      </w:pPr>
      <w:r w:rsidRPr="004314C0">
        <w:rPr>
          <w:b/>
          <w:bCs/>
          <w:lang w:val="en-US"/>
        </w:rPr>
        <w:t>Return on Invest:</w:t>
      </w:r>
    </w:p>
    <w:p w14:paraId="7556BD04" w14:textId="77777777" w:rsidR="00E94D20" w:rsidRPr="00E94D20" w:rsidRDefault="00E94D20" w:rsidP="00E94D20">
      <w:pPr>
        <w:pStyle w:val="KeinLeerraum"/>
      </w:pPr>
      <w:r w:rsidRPr="00E94D20">
        <w:t>Das Return-on-Investment ist die prozentuale Relation zwischen Investition und Gewinn.</w:t>
      </w:r>
    </w:p>
    <w:p w14:paraId="1B9E4521" w14:textId="77777777" w:rsidR="00E94D20" w:rsidRPr="00E94D20" w:rsidRDefault="00E94D20" w:rsidP="00E94D20">
      <w:pPr>
        <w:pStyle w:val="KeinLeerraum"/>
      </w:pPr>
    </w:p>
    <w:p w14:paraId="5364CFC0" w14:textId="1F090C71" w:rsidR="00E94D20" w:rsidRDefault="00E94D20" w:rsidP="00BA23D0">
      <w:pPr>
        <w:pStyle w:val="KeinLeerraum"/>
      </w:pPr>
      <w:r w:rsidRPr="00E94D20">
        <w:lastRenderedPageBreak/>
        <w:t xml:space="preserve">Ob sich eine Investition gelohnt hat, zeigt die Errechnung des Return-on-Investment, was im deutschen Sprachgebrauch so viel bedeutet wie Kapitalrendite und mit ROI abgekürzt wird. Die Kennziffer des ROI beschreibt das prozentuale Verhältnis zwischen dem investierten Kapital und dem Gewinn, den das Unternehmen erwirtschaften konnte. </w:t>
      </w:r>
    </w:p>
    <w:p w14:paraId="392EFC0E" w14:textId="5A8876FB" w:rsidR="00BA23D0" w:rsidRDefault="00BA23D0" w:rsidP="00BA23D0">
      <w:pPr>
        <w:pStyle w:val="KeinLeerraum"/>
      </w:pPr>
    </w:p>
    <w:p w14:paraId="4049697A" w14:textId="18D2BFAA" w:rsidR="00BA23D0" w:rsidRPr="00E94D20" w:rsidRDefault="00BA23D0" w:rsidP="00BA23D0">
      <w:pPr>
        <w:pStyle w:val="KeinLeerraum"/>
        <w:rPr>
          <w:b/>
          <w:bCs/>
        </w:rPr>
      </w:pPr>
      <w:r>
        <w:t>ROI = T</w:t>
      </w:r>
      <w:r w:rsidR="008F646D">
        <w:t>otalerfolg / Investitionskosten</w:t>
      </w:r>
    </w:p>
    <w:p w14:paraId="29C9336D" w14:textId="6FEC206C" w:rsidR="00E94D20" w:rsidRDefault="00E94D20" w:rsidP="00E94D20">
      <w:pPr>
        <w:pStyle w:val="KeinLeerraum"/>
        <w:rPr>
          <w:b/>
          <w:bCs/>
        </w:rPr>
      </w:pPr>
    </w:p>
    <w:p w14:paraId="50A4B3AD" w14:textId="64D4811B" w:rsidR="008F646D" w:rsidRPr="008F39FF" w:rsidRDefault="001F28BA" w:rsidP="00E94D20">
      <w:pPr>
        <w:pStyle w:val="KeinLeerraum"/>
      </w:pPr>
      <w:r>
        <w:t>Der ROI ist größer 1 bzw. 100%, wenn</w:t>
      </w:r>
      <w:r w:rsidR="008F646D" w:rsidRPr="008F39FF">
        <w:t xml:space="preserve"> der Totalerfolg</w:t>
      </w:r>
      <w:r w:rsidR="00805564" w:rsidRPr="008F39FF">
        <w:t xml:space="preserve"> innerhalb der Nutzungsdauer der Investition größer sein als die Investitionskosten.</w:t>
      </w:r>
      <w:r w:rsidR="001B31B2" w:rsidRPr="008F39FF">
        <w:t xml:space="preserve"> Da die mittlere Nutzungsdauer von Hard- und Softwareprodukten mit etwa 3 Jahren relativ gering ist, müssen die Rückflüsse (Gewinne)</w:t>
      </w:r>
      <w:r w:rsidR="007A102C" w:rsidRPr="008F39FF">
        <w:t xml:space="preserve"> schon erheblich sein. </w:t>
      </w:r>
    </w:p>
    <w:p w14:paraId="185692EB" w14:textId="4C4F05A1" w:rsidR="007A102C" w:rsidRDefault="007A102C" w:rsidP="00E94D20">
      <w:pPr>
        <w:pStyle w:val="KeinLeerraum"/>
        <w:rPr>
          <w:b/>
          <w:bCs/>
        </w:rPr>
      </w:pPr>
    </w:p>
    <w:p w14:paraId="0E97DD8A" w14:textId="03DE35C3" w:rsidR="007A102C" w:rsidRDefault="007A102C" w:rsidP="00E94D20">
      <w:pPr>
        <w:pStyle w:val="KeinLeerraum"/>
        <w:rPr>
          <w:b/>
          <w:bCs/>
        </w:rPr>
      </w:pPr>
      <w:r>
        <w:rPr>
          <w:b/>
          <w:bCs/>
        </w:rPr>
        <w:t>Beispiel:</w:t>
      </w:r>
    </w:p>
    <w:p w14:paraId="0A6E8122" w14:textId="44C31A92" w:rsidR="00FA6FA7" w:rsidRPr="00B12E0E" w:rsidRDefault="008F39FF" w:rsidP="00E94D20">
      <w:pPr>
        <w:pStyle w:val="KeinLeerraum"/>
      </w:pPr>
      <w:r w:rsidRPr="00B12E0E">
        <w:t xml:space="preserve">Durch die Beschaffung eines neuen Warenwirtschaftssystems </w:t>
      </w:r>
      <w:r w:rsidR="00BA4672" w:rsidRPr="00B12E0E">
        <w:t>für 10</w:t>
      </w:r>
      <w:r w:rsidR="001B3734">
        <w:t>0</w:t>
      </w:r>
      <w:r w:rsidR="00BA4672" w:rsidRPr="00B12E0E">
        <w:t>.000</w:t>
      </w:r>
      <w:r w:rsidR="001B3734">
        <w:t xml:space="preserve"> €</w:t>
      </w:r>
      <w:r w:rsidR="00BA4672" w:rsidRPr="00B12E0E">
        <w:t xml:space="preserve"> sollen jährliche Personalkosten i.H.v. 12.000 €, Lagerhaltungskosten von </w:t>
      </w:r>
      <w:r w:rsidR="00FA6FA7" w:rsidRPr="00B12E0E">
        <w:t>8</w:t>
      </w:r>
      <w:r w:rsidR="00BA4672" w:rsidRPr="00B12E0E">
        <w:t xml:space="preserve">.000 € </w:t>
      </w:r>
      <w:r w:rsidR="00FA6FA7" w:rsidRPr="00B12E0E">
        <w:t>, Zinsen für das Lager i.H.v. 40.000 € und weitere Logistikkosten von 7.000 € eingespart werden. Berechnen Sie den ROI bei einer Nutzungsdauer von 3 Jahren.</w:t>
      </w:r>
    </w:p>
    <w:p w14:paraId="3696ADDD" w14:textId="4D98D073" w:rsidR="00B12E0E" w:rsidRDefault="00B12E0E" w:rsidP="00E94D20">
      <w:pPr>
        <w:pStyle w:val="KeinLeerraum"/>
        <w:rPr>
          <w:b/>
          <w:bCs/>
        </w:rPr>
      </w:pPr>
    </w:p>
    <w:p w14:paraId="7A81AB75" w14:textId="7AD2400F" w:rsidR="00B12E0E" w:rsidRPr="007434AF" w:rsidRDefault="00D5793E" w:rsidP="00E94D20">
      <w:pPr>
        <w:pStyle w:val="KeinLeerraum"/>
      </w:pPr>
      <w:r w:rsidRPr="007434AF">
        <w:t>ROI = 67.000 x 3 / 100.000</w:t>
      </w:r>
      <w:r w:rsidR="006D035F" w:rsidRPr="007434AF">
        <w:t xml:space="preserve"> = 2,01 </w:t>
      </w:r>
      <w:r w:rsidR="0094227A" w:rsidRPr="007434AF">
        <w:t xml:space="preserve">. </w:t>
      </w:r>
    </w:p>
    <w:p w14:paraId="6EF08C03" w14:textId="1D384601" w:rsidR="0094227A" w:rsidRDefault="0094227A" w:rsidP="00E94D20">
      <w:pPr>
        <w:pStyle w:val="KeinLeerraum"/>
        <w:rPr>
          <w:b/>
          <w:bCs/>
        </w:rPr>
      </w:pPr>
    </w:p>
    <w:p w14:paraId="12E25208" w14:textId="3D7B7065" w:rsidR="0094227A" w:rsidRPr="00E77E29" w:rsidRDefault="0094227A" w:rsidP="00E94D20">
      <w:pPr>
        <w:pStyle w:val="KeinLeerraum"/>
      </w:pPr>
      <w:r w:rsidRPr="00E77E29">
        <w:t>Die Amortisation</w:t>
      </w:r>
      <w:r w:rsidR="00EC6BED" w:rsidRPr="00E77E29">
        <w:t xml:space="preserve"> ist die Zeit, innerhalb der die Investition durch die Gewinne oder Einsparung kompensiert wird.</w:t>
      </w:r>
      <w:r w:rsidR="007700C8" w:rsidRPr="00E77E29">
        <w:t xml:space="preserve"> Im Beispiel: </w:t>
      </w:r>
      <w:r w:rsidR="00113870" w:rsidRPr="00E77E29">
        <w:t xml:space="preserve">Auf den Monat gerechnet betragen die Einsparungen </w:t>
      </w:r>
      <w:r w:rsidR="00B46ED1" w:rsidRPr="00E77E29">
        <w:t>67.000€/</w:t>
      </w:r>
      <w:r w:rsidR="007434AF" w:rsidRPr="00E77E29">
        <w:t>12 = 5583,</w:t>
      </w:r>
      <w:r w:rsidR="003C270E" w:rsidRPr="00E77E29">
        <w:t>33€. Daher ist die Investition nach 100.000/</w:t>
      </w:r>
      <w:r w:rsidR="00644104" w:rsidRPr="00E77E29">
        <w:t xml:space="preserve">5582,33 = </w:t>
      </w:r>
      <w:r w:rsidR="00B46ED1" w:rsidRPr="00E77E29">
        <w:t xml:space="preserve"> </w:t>
      </w:r>
      <w:r w:rsidR="002148F6" w:rsidRPr="00E77E29">
        <w:t xml:space="preserve">17,9 </w:t>
      </w:r>
      <w:r w:rsidR="00B46ED1" w:rsidRPr="00E77E29">
        <w:t>Monate</w:t>
      </w:r>
      <w:r w:rsidR="002148F6" w:rsidRPr="00E77E29">
        <w:t>n zurückgezahlt.</w:t>
      </w:r>
      <w:r w:rsidR="00E77E29" w:rsidRPr="00E77E29">
        <w:t xml:space="preserve"> Man kann alternativ rechnen:</w:t>
      </w:r>
    </w:p>
    <w:p w14:paraId="43939740" w14:textId="101E53CF" w:rsidR="00E77E29" w:rsidRPr="00E77E29" w:rsidRDefault="00E77E29" w:rsidP="00E94D20">
      <w:pPr>
        <w:pStyle w:val="KeinLeerraum"/>
      </w:pPr>
    </w:p>
    <w:p w14:paraId="7681F2B4" w14:textId="28345C4C" w:rsidR="00E77E29" w:rsidRPr="00E77E29" w:rsidRDefault="00E77E29" w:rsidP="00E94D20">
      <w:pPr>
        <w:pStyle w:val="KeinLeerraum"/>
      </w:pPr>
      <w:r w:rsidRPr="00E77E29">
        <w:t>Amortisation = Laufzeit/ROI = 17,9 Monate</w:t>
      </w:r>
    </w:p>
    <w:p w14:paraId="300D2B21" w14:textId="043C5481" w:rsidR="008F646D" w:rsidRDefault="008F646D" w:rsidP="00E94D20">
      <w:pPr>
        <w:pStyle w:val="KeinLeerraum"/>
        <w:rPr>
          <w:b/>
          <w:bCs/>
        </w:rPr>
      </w:pPr>
    </w:p>
    <w:p w14:paraId="190B902F" w14:textId="77777777" w:rsidR="004536EE" w:rsidRDefault="004536EE" w:rsidP="004536EE">
      <w:pPr>
        <w:pStyle w:val="KeinLeerraum"/>
        <w:rPr>
          <w:b/>
          <w:bCs/>
        </w:rPr>
      </w:pPr>
    </w:p>
    <w:p w14:paraId="54338001" w14:textId="77777777" w:rsidR="00A87C51" w:rsidRDefault="004536EE" w:rsidP="004536EE">
      <w:pPr>
        <w:pStyle w:val="KeinLeerraum"/>
        <w:rPr>
          <w:b/>
          <w:bCs/>
        </w:rPr>
      </w:pPr>
      <w:r>
        <w:rPr>
          <w:b/>
          <w:bCs/>
        </w:rPr>
        <w:t xml:space="preserve">Auftrag </w:t>
      </w:r>
      <w:r w:rsidR="00336763">
        <w:rPr>
          <w:b/>
          <w:bCs/>
        </w:rPr>
        <w:t>5</w:t>
      </w:r>
      <w:r>
        <w:rPr>
          <w:b/>
          <w:bCs/>
        </w:rPr>
        <w:t xml:space="preserve">: </w:t>
      </w:r>
      <w:r w:rsidR="00336763">
        <w:rPr>
          <w:b/>
          <w:bCs/>
        </w:rPr>
        <w:t xml:space="preserve">Die ProkreisIT muss für den Aufbau der DaaS Infrastruktur eine erhebliche Investition in </w:t>
      </w:r>
      <w:r w:rsidR="00DA1C5E">
        <w:rPr>
          <w:b/>
          <w:bCs/>
        </w:rPr>
        <w:t>das Rechenzentrum vornehmen.</w:t>
      </w:r>
      <w:r>
        <w:rPr>
          <w:b/>
          <w:bCs/>
        </w:rPr>
        <w:t xml:space="preserve"> </w:t>
      </w:r>
    </w:p>
    <w:p w14:paraId="7605C1E9" w14:textId="77777777" w:rsidR="00695B7F" w:rsidRDefault="00DA1C5E" w:rsidP="004536EE">
      <w:pPr>
        <w:pStyle w:val="KeinLeerraum"/>
        <w:rPr>
          <w:b/>
          <w:bCs/>
        </w:rPr>
      </w:pPr>
      <w:r>
        <w:rPr>
          <w:b/>
          <w:bCs/>
        </w:rPr>
        <w:t>Berechnen Sie den ROI und die Amortisation, wenn die Investition</w:t>
      </w:r>
      <w:r w:rsidR="0049467F">
        <w:rPr>
          <w:b/>
          <w:bCs/>
        </w:rPr>
        <w:t>skosten über 4 Jahre</w:t>
      </w:r>
      <w:r>
        <w:rPr>
          <w:b/>
          <w:bCs/>
        </w:rPr>
        <w:t xml:space="preserve"> </w:t>
      </w:r>
      <w:r w:rsidR="00A87C51">
        <w:rPr>
          <w:b/>
          <w:bCs/>
        </w:rPr>
        <w:t>350.000 € betr</w:t>
      </w:r>
      <w:r w:rsidR="0049467F">
        <w:rPr>
          <w:b/>
          <w:bCs/>
        </w:rPr>
        <w:t>agen</w:t>
      </w:r>
      <w:r w:rsidR="00A87C51">
        <w:rPr>
          <w:b/>
          <w:bCs/>
        </w:rPr>
        <w:t xml:space="preserve"> und </w:t>
      </w:r>
      <w:r w:rsidR="00FD1DB9">
        <w:rPr>
          <w:b/>
          <w:bCs/>
        </w:rPr>
        <w:t>der operative</w:t>
      </w:r>
      <w:r w:rsidR="0049467F">
        <w:rPr>
          <w:b/>
          <w:bCs/>
        </w:rPr>
        <w:t xml:space="preserve"> Gewinn </w:t>
      </w:r>
      <w:r w:rsidR="00FD1DB9">
        <w:rPr>
          <w:b/>
          <w:bCs/>
        </w:rPr>
        <w:t xml:space="preserve">aus dem DaaS Geschäft monatlich 4€ </w:t>
      </w:r>
      <w:r w:rsidR="008A78D0">
        <w:rPr>
          <w:b/>
          <w:bCs/>
        </w:rPr>
        <w:t xml:space="preserve">beträgt. </w:t>
      </w:r>
    </w:p>
    <w:p w14:paraId="04445898" w14:textId="15EA9D61" w:rsidR="00ED63B8" w:rsidRDefault="00DA71A6" w:rsidP="004536EE">
      <w:pPr>
        <w:pStyle w:val="KeinLeerraum"/>
        <w:rPr>
          <w:b/>
          <w:bCs/>
        </w:rPr>
      </w:pPr>
      <w:r>
        <w:rPr>
          <w:b/>
          <w:bCs/>
        </w:rPr>
        <w:t xml:space="preserve">Es gelingt der ProKreis IT, jährlich </w:t>
      </w:r>
      <w:r w:rsidR="00695B7F">
        <w:rPr>
          <w:b/>
          <w:bCs/>
        </w:rPr>
        <w:t>K</w:t>
      </w:r>
      <w:r>
        <w:rPr>
          <w:b/>
          <w:bCs/>
        </w:rPr>
        <w:t xml:space="preserve">unden mit </w:t>
      </w:r>
      <w:r w:rsidR="007068FF">
        <w:rPr>
          <w:b/>
          <w:bCs/>
        </w:rPr>
        <w:t xml:space="preserve">je </w:t>
      </w:r>
      <w:r>
        <w:rPr>
          <w:b/>
          <w:bCs/>
        </w:rPr>
        <w:t xml:space="preserve">1000 Arbeitsplätzen </w:t>
      </w:r>
      <w:r w:rsidR="007068FF">
        <w:rPr>
          <w:b/>
          <w:bCs/>
        </w:rPr>
        <w:t xml:space="preserve">neu </w:t>
      </w:r>
      <w:r>
        <w:rPr>
          <w:b/>
          <w:bCs/>
        </w:rPr>
        <w:t>zu</w:t>
      </w:r>
      <w:r w:rsidR="007068FF">
        <w:rPr>
          <w:b/>
          <w:bCs/>
        </w:rPr>
        <w:t xml:space="preserve"> </w:t>
      </w:r>
      <w:r>
        <w:rPr>
          <w:b/>
          <w:bCs/>
        </w:rPr>
        <w:t>gewinnen.</w:t>
      </w:r>
    </w:p>
    <w:p w14:paraId="32911F49" w14:textId="77777777" w:rsidR="00ED63B8" w:rsidRDefault="00ED63B8" w:rsidP="004536EE">
      <w:pPr>
        <w:pStyle w:val="KeinLeerraum"/>
        <w:rPr>
          <w:b/>
          <w:bCs/>
        </w:rPr>
      </w:pPr>
    </w:p>
    <w:p w14:paraId="70817745" w14:textId="77777777" w:rsidR="00ED63B8" w:rsidRDefault="00ED63B8" w:rsidP="004536EE">
      <w:pPr>
        <w:pStyle w:val="KeinLeerraum"/>
        <w:rPr>
          <w:b/>
          <w:bCs/>
        </w:rPr>
      </w:pPr>
    </w:p>
    <w:p w14:paraId="4B25B2E6" w14:textId="0469F8FB" w:rsidR="004536EE" w:rsidRDefault="00AF13BF" w:rsidP="004536EE">
      <w:pPr>
        <w:pStyle w:val="KeinLeerraum"/>
        <w:rPr>
          <w:b/>
          <w:bCs/>
        </w:rPr>
      </w:pPr>
      <w:r>
        <w:rPr>
          <w:b/>
          <w:bCs/>
        </w:rPr>
        <w:t xml:space="preserve"> </w:t>
      </w:r>
    </w:p>
    <w:p w14:paraId="004D0164" w14:textId="77777777" w:rsidR="004536EE" w:rsidRPr="00D47687" w:rsidRDefault="004536EE" w:rsidP="004536EE">
      <w:pPr>
        <w:pStyle w:val="KeinLeerraum"/>
        <w:ind w:left="720" w:firstLine="0"/>
      </w:pPr>
    </w:p>
    <w:p w14:paraId="5445E078" w14:textId="43C759C9" w:rsidR="00D47687" w:rsidRDefault="00D47687" w:rsidP="00755086">
      <w:pPr>
        <w:pStyle w:val="KeinLeerraum"/>
        <w:rPr>
          <w:b/>
          <w:bCs/>
        </w:rPr>
      </w:pPr>
    </w:p>
    <w:p w14:paraId="5C11592E" w14:textId="273D39F8" w:rsidR="001301D3" w:rsidRDefault="001301D3">
      <w:pPr>
        <w:spacing w:after="160" w:line="259" w:lineRule="auto"/>
        <w:ind w:left="0" w:firstLine="0"/>
        <w:jc w:val="left"/>
        <w:rPr>
          <w:b/>
          <w:bCs/>
        </w:rPr>
      </w:pPr>
    </w:p>
    <w:sectPr w:rsidR="001301D3" w:rsidSect="00EA14AB">
      <w:headerReference w:type="default" r:id="rId10"/>
      <w:footerReference w:type="default" r:id="rId11"/>
      <w:pgSz w:w="11906" w:h="16838"/>
      <w:pgMar w:top="1440" w:right="1080" w:bottom="851" w:left="1080" w:header="720" w:footer="2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58870" w14:textId="77777777" w:rsidR="00953729" w:rsidRDefault="00953729" w:rsidP="0010773F">
      <w:pPr>
        <w:spacing w:after="0" w:line="240" w:lineRule="auto"/>
      </w:pPr>
      <w:r>
        <w:separator/>
      </w:r>
    </w:p>
  </w:endnote>
  <w:endnote w:type="continuationSeparator" w:id="0">
    <w:p w14:paraId="01D58642" w14:textId="77777777" w:rsidR="00953729" w:rsidRDefault="00953729" w:rsidP="0010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10773F" w14:paraId="50C859F6" w14:textId="77777777" w:rsidTr="00793841">
      <w:tc>
        <w:tcPr>
          <w:tcW w:w="3114" w:type="dxa"/>
        </w:tcPr>
        <w:p w14:paraId="41ECD5B1" w14:textId="477EEFC8" w:rsidR="0010773F" w:rsidRDefault="0010773F" w:rsidP="0010773F">
          <w:pPr>
            <w:pStyle w:val="Fuzeile"/>
            <w:ind w:left="0" w:firstLine="0"/>
          </w:pPr>
          <w:r>
            <w:t>APRA</w:t>
          </w:r>
        </w:p>
      </w:tc>
      <w:tc>
        <w:tcPr>
          <w:tcW w:w="3115" w:type="dxa"/>
        </w:tcPr>
        <w:p w14:paraId="35CEB4ED" w14:textId="1DD2004F" w:rsidR="0010773F" w:rsidRDefault="00067C02" w:rsidP="0010773F">
          <w:pPr>
            <w:pStyle w:val="Fuzeile"/>
            <w:ind w:left="0" w:firstLine="0"/>
            <w:jc w:val="center"/>
          </w:pPr>
          <w:r>
            <w:t>FI 1#</w:t>
          </w:r>
          <w:r w:rsidR="00654B6C">
            <w:t xml:space="preserve"> - LF2</w:t>
          </w:r>
        </w:p>
      </w:tc>
      <w:tc>
        <w:tcPr>
          <w:tcW w:w="3115" w:type="dxa"/>
        </w:tcPr>
        <w:p w14:paraId="55FFC8D4" w14:textId="77777777" w:rsidR="0010773F" w:rsidRDefault="0010773F" w:rsidP="0010773F">
          <w:pPr>
            <w:pStyle w:val="Fuzeile"/>
            <w:ind w:left="0" w:firstLine="0"/>
            <w:jc w:val="right"/>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2</w:t>
          </w:r>
          <w:r>
            <w:rPr>
              <w:b/>
              <w:bCs/>
            </w:rPr>
            <w:fldChar w:fldCharType="end"/>
          </w:r>
        </w:p>
      </w:tc>
    </w:tr>
  </w:tbl>
  <w:p w14:paraId="71C6D417" w14:textId="77777777" w:rsidR="0010773F" w:rsidRDefault="0010773F" w:rsidP="0010773F">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2443A" w14:textId="77777777" w:rsidR="00953729" w:rsidRDefault="00953729" w:rsidP="0010773F">
      <w:pPr>
        <w:spacing w:after="0" w:line="240" w:lineRule="auto"/>
      </w:pPr>
      <w:r>
        <w:separator/>
      </w:r>
    </w:p>
  </w:footnote>
  <w:footnote w:type="continuationSeparator" w:id="0">
    <w:p w14:paraId="235FBB98" w14:textId="77777777" w:rsidR="00953729" w:rsidRDefault="00953729" w:rsidP="0010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2CDE3" w14:textId="4FD714E1" w:rsidR="0010773F" w:rsidRPr="0010773F" w:rsidRDefault="0010773F">
    <w:pPr>
      <w:pStyle w:val="Kopfzeile"/>
      <w:rPr>
        <w:b/>
        <w:bCs/>
        <w:sz w:val="40"/>
        <w:szCs w:val="36"/>
      </w:rPr>
    </w:pPr>
    <w:r>
      <w:rPr>
        <w:noProof/>
        <w:sz w:val="22"/>
      </w:rPr>
      <mc:AlternateContent>
        <mc:Choice Requires="wpg">
          <w:drawing>
            <wp:anchor distT="0" distB="0" distL="114300" distR="114300" simplePos="0" relativeHeight="251658240" behindDoc="1" locked="0" layoutInCell="1" allowOverlap="1" wp14:anchorId="15AD3A0B" wp14:editId="7EA11946">
              <wp:simplePos x="0" y="0"/>
              <wp:positionH relativeFrom="column">
                <wp:posOffset>4441190</wp:posOffset>
              </wp:positionH>
              <wp:positionV relativeFrom="paragraph">
                <wp:posOffset>-205766</wp:posOffset>
              </wp:positionV>
              <wp:extent cx="1714500" cy="666750"/>
              <wp:effectExtent l="0" t="0" r="0" b="19050"/>
              <wp:wrapTight wrapText="bothSides">
                <wp:wrapPolygon edited="0">
                  <wp:start x="0" y="0"/>
                  <wp:lineTo x="0" y="21600"/>
                  <wp:lineTo x="21360" y="21600"/>
                  <wp:lineTo x="21360" y="0"/>
                  <wp:lineTo x="0" y="0"/>
                </wp:wrapPolygon>
              </wp:wrapTight>
              <wp:docPr id="1703" name="Group 1703"/>
              <wp:cNvGraphicFramePr/>
              <a:graphic xmlns:a="http://schemas.openxmlformats.org/drawingml/2006/main">
                <a:graphicData uri="http://schemas.microsoft.com/office/word/2010/wordprocessingGroup">
                  <wpg:wgp>
                    <wpg:cNvGrpSpPr/>
                    <wpg:grpSpPr>
                      <a:xfrm>
                        <a:off x="0" y="0"/>
                        <a:ext cx="1714500" cy="666750"/>
                        <a:chOff x="0" y="0"/>
                        <a:chExt cx="1714500" cy="666750"/>
                      </a:xfrm>
                    </wpg:grpSpPr>
                    <wps:wsp>
                      <wps:cNvPr id="11" name="Rectangle 11"/>
                      <wps:cNvSpPr/>
                      <wps:spPr>
                        <a:xfrm>
                          <a:off x="1431925" y="460984"/>
                          <a:ext cx="50673" cy="224380"/>
                        </a:xfrm>
                        <a:prstGeom prst="rect">
                          <a:avLst/>
                        </a:prstGeom>
                        <a:ln>
                          <a:noFill/>
                        </a:ln>
                      </wps:spPr>
                      <wps:txbx>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1"/>
                        <a:stretch>
                          <a:fillRect/>
                        </a:stretch>
                      </pic:blipFill>
                      <pic:spPr>
                        <a:xfrm>
                          <a:off x="0" y="0"/>
                          <a:ext cx="1714500" cy="666750"/>
                        </a:xfrm>
                        <a:prstGeom prst="rect">
                          <a:avLst/>
                        </a:prstGeom>
                      </pic:spPr>
                    </pic:pic>
                  </wpg:wgp>
                </a:graphicData>
              </a:graphic>
            </wp:anchor>
          </w:drawing>
        </mc:Choice>
        <mc:Fallback>
          <w:pict>
            <v:group w14:anchorId="15AD3A0B" id="Group 1703" o:spid="_x0000_s1026" style="position:absolute;left:0;text-align:left;margin-left:349.7pt;margin-top:-16.2pt;width:135pt;height:52.5pt;z-index:-251658240" coordsize="17145,6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">
              <v:rect id="Rectangle 11" o:spid="_x0000_s1027" style="position:absolute;left:14319;top:46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width:17145;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">
                <v:imagedata r:id="rId2" o:title=""/>
              </v:shape>
              <w10:wrap type="tight"/>
            </v:group>
          </w:pict>
        </mc:Fallback>
      </mc:AlternateContent>
    </w:r>
    <w:r w:rsidR="00D47687">
      <w:rPr>
        <w:b/>
        <w:bCs/>
        <w:sz w:val="40"/>
        <w:szCs w:val="36"/>
      </w:rPr>
      <w:t>Arbeits</w:t>
    </w:r>
    <w:r w:rsidRPr="0010773F">
      <w:rPr>
        <w:b/>
        <w:bCs/>
        <w:sz w:val="40"/>
        <w:szCs w:val="36"/>
      </w:rPr>
      <w:t xml:space="preserve">blatt </w:t>
    </w:r>
    <w:r w:rsidR="00254B1D">
      <w:rPr>
        <w:b/>
        <w:bCs/>
        <w:sz w:val="40"/>
        <w:szCs w:val="36"/>
      </w:rPr>
      <w:t>–</w:t>
    </w:r>
    <w:r w:rsidR="0005185A">
      <w:rPr>
        <w:b/>
        <w:bCs/>
        <w:sz w:val="40"/>
        <w:szCs w:val="36"/>
      </w:rPr>
      <w:t xml:space="preserve"> </w:t>
    </w:r>
    <w:r w:rsidR="004B5D0E">
      <w:rPr>
        <w:b/>
        <w:bCs/>
        <w:sz w:val="40"/>
        <w:szCs w:val="36"/>
      </w:rPr>
      <w:t>TCO und ROI</w:t>
    </w:r>
    <w:r w:rsidR="0005185A">
      <w:rPr>
        <w:b/>
        <w:bCs/>
        <w:sz w:val="40"/>
        <w:szCs w:val="36"/>
      </w:rPr>
      <w:t xml:space="preserve"> </w:t>
    </w:r>
    <w:r w:rsidRPr="0010773F">
      <w:rPr>
        <w:noProof/>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BBB"/>
    <w:multiLevelType w:val="hybridMultilevel"/>
    <w:tmpl w:val="0518AB26"/>
    <w:lvl w:ilvl="0" w:tplc="5B264A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6C76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40CA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F0A5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9419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C432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368B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C79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2AA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0038A8"/>
    <w:multiLevelType w:val="hybridMultilevel"/>
    <w:tmpl w:val="548E2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43554F"/>
    <w:multiLevelType w:val="hybridMultilevel"/>
    <w:tmpl w:val="FD28B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4267C0"/>
    <w:multiLevelType w:val="hybridMultilevel"/>
    <w:tmpl w:val="D6645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455E39"/>
    <w:multiLevelType w:val="hybridMultilevel"/>
    <w:tmpl w:val="EA066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D30C1D"/>
    <w:multiLevelType w:val="hybridMultilevel"/>
    <w:tmpl w:val="B986D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983DDB"/>
    <w:multiLevelType w:val="hybridMultilevel"/>
    <w:tmpl w:val="8D462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7D6929"/>
    <w:multiLevelType w:val="hybridMultilevel"/>
    <w:tmpl w:val="505EA048"/>
    <w:lvl w:ilvl="0" w:tplc="A216CAF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C51406"/>
    <w:multiLevelType w:val="hybridMultilevel"/>
    <w:tmpl w:val="12A49F3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6A906F66"/>
    <w:multiLevelType w:val="hybridMultilevel"/>
    <w:tmpl w:val="D5687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9"/>
  </w:num>
  <w:num w:numId="6">
    <w:abstractNumId w:val="8"/>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FA"/>
    <w:rsid w:val="00002081"/>
    <w:rsid w:val="0000313F"/>
    <w:rsid w:val="000108D5"/>
    <w:rsid w:val="00012903"/>
    <w:rsid w:val="00014EE9"/>
    <w:rsid w:val="00017FA9"/>
    <w:rsid w:val="00020800"/>
    <w:rsid w:val="0002289C"/>
    <w:rsid w:val="00026ABF"/>
    <w:rsid w:val="000274F7"/>
    <w:rsid w:val="00030BA6"/>
    <w:rsid w:val="0003500A"/>
    <w:rsid w:val="000417DA"/>
    <w:rsid w:val="0005185A"/>
    <w:rsid w:val="0005212F"/>
    <w:rsid w:val="00053BE9"/>
    <w:rsid w:val="00062298"/>
    <w:rsid w:val="000633FA"/>
    <w:rsid w:val="000641A0"/>
    <w:rsid w:val="00067C02"/>
    <w:rsid w:val="0007091F"/>
    <w:rsid w:val="00080B4C"/>
    <w:rsid w:val="0008242B"/>
    <w:rsid w:val="00091735"/>
    <w:rsid w:val="000A2271"/>
    <w:rsid w:val="000C51BA"/>
    <w:rsid w:val="000C6DB4"/>
    <w:rsid w:val="000D0388"/>
    <w:rsid w:val="000D428C"/>
    <w:rsid w:val="000E046F"/>
    <w:rsid w:val="000E3424"/>
    <w:rsid w:val="000E68D9"/>
    <w:rsid w:val="0010773F"/>
    <w:rsid w:val="00111A1B"/>
    <w:rsid w:val="00113870"/>
    <w:rsid w:val="001301D3"/>
    <w:rsid w:val="00141ADF"/>
    <w:rsid w:val="001476BF"/>
    <w:rsid w:val="0015177A"/>
    <w:rsid w:val="00151789"/>
    <w:rsid w:val="0016056D"/>
    <w:rsid w:val="00164C18"/>
    <w:rsid w:val="00173462"/>
    <w:rsid w:val="00176B13"/>
    <w:rsid w:val="00177474"/>
    <w:rsid w:val="001775A7"/>
    <w:rsid w:val="00177FDB"/>
    <w:rsid w:val="00180572"/>
    <w:rsid w:val="00180C4A"/>
    <w:rsid w:val="00180DC7"/>
    <w:rsid w:val="00185A6C"/>
    <w:rsid w:val="0019625B"/>
    <w:rsid w:val="001A5DBE"/>
    <w:rsid w:val="001B31B2"/>
    <w:rsid w:val="001B3734"/>
    <w:rsid w:val="001B5C02"/>
    <w:rsid w:val="001C2E34"/>
    <w:rsid w:val="001C312E"/>
    <w:rsid w:val="001D0118"/>
    <w:rsid w:val="001E1E95"/>
    <w:rsid w:val="001E224C"/>
    <w:rsid w:val="001E454C"/>
    <w:rsid w:val="001F28BA"/>
    <w:rsid w:val="00201CAC"/>
    <w:rsid w:val="00210BFD"/>
    <w:rsid w:val="002148F6"/>
    <w:rsid w:val="00230576"/>
    <w:rsid w:val="00233DA6"/>
    <w:rsid w:val="00235382"/>
    <w:rsid w:val="002367DA"/>
    <w:rsid w:val="002427FA"/>
    <w:rsid w:val="00254B1D"/>
    <w:rsid w:val="00255B30"/>
    <w:rsid w:val="002605CC"/>
    <w:rsid w:val="002609A8"/>
    <w:rsid w:val="00271DA8"/>
    <w:rsid w:val="002757C2"/>
    <w:rsid w:val="00277778"/>
    <w:rsid w:val="00281B83"/>
    <w:rsid w:val="00287C5F"/>
    <w:rsid w:val="00293EAE"/>
    <w:rsid w:val="00294B3E"/>
    <w:rsid w:val="002A3A09"/>
    <w:rsid w:val="002C260E"/>
    <w:rsid w:val="002C37DE"/>
    <w:rsid w:val="002C454D"/>
    <w:rsid w:val="002D6BAD"/>
    <w:rsid w:val="002E6827"/>
    <w:rsid w:val="002F3E97"/>
    <w:rsid w:val="002F5667"/>
    <w:rsid w:val="00301D1A"/>
    <w:rsid w:val="003051C0"/>
    <w:rsid w:val="00315C87"/>
    <w:rsid w:val="003310EE"/>
    <w:rsid w:val="003320D9"/>
    <w:rsid w:val="00336763"/>
    <w:rsid w:val="00337761"/>
    <w:rsid w:val="00340395"/>
    <w:rsid w:val="00341716"/>
    <w:rsid w:val="003430F6"/>
    <w:rsid w:val="00355590"/>
    <w:rsid w:val="0035575D"/>
    <w:rsid w:val="00360C87"/>
    <w:rsid w:val="00361556"/>
    <w:rsid w:val="00367F61"/>
    <w:rsid w:val="003712E9"/>
    <w:rsid w:val="0037254F"/>
    <w:rsid w:val="00374FF4"/>
    <w:rsid w:val="00385143"/>
    <w:rsid w:val="003A202E"/>
    <w:rsid w:val="003A2CB6"/>
    <w:rsid w:val="003A672C"/>
    <w:rsid w:val="003C270E"/>
    <w:rsid w:val="003C31B2"/>
    <w:rsid w:val="003E017C"/>
    <w:rsid w:val="003E5B8C"/>
    <w:rsid w:val="003F0E0E"/>
    <w:rsid w:val="003F2F7F"/>
    <w:rsid w:val="00400510"/>
    <w:rsid w:val="004010F5"/>
    <w:rsid w:val="0040627B"/>
    <w:rsid w:val="00423EC9"/>
    <w:rsid w:val="00424E2C"/>
    <w:rsid w:val="004314C0"/>
    <w:rsid w:val="00431B9F"/>
    <w:rsid w:val="004412D1"/>
    <w:rsid w:val="00441F8F"/>
    <w:rsid w:val="00443BC1"/>
    <w:rsid w:val="00445394"/>
    <w:rsid w:val="00451357"/>
    <w:rsid w:val="004526F9"/>
    <w:rsid w:val="004533AE"/>
    <w:rsid w:val="004536EE"/>
    <w:rsid w:val="0046209D"/>
    <w:rsid w:val="00473ACA"/>
    <w:rsid w:val="00475C0F"/>
    <w:rsid w:val="00486FD9"/>
    <w:rsid w:val="0049068B"/>
    <w:rsid w:val="004909A2"/>
    <w:rsid w:val="00492006"/>
    <w:rsid w:val="00493582"/>
    <w:rsid w:val="0049467F"/>
    <w:rsid w:val="00495600"/>
    <w:rsid w:val="004A23CB"/>
    <w:rsid w:val="004B5D0E"/>
    <w:rsid w:val="004B614A"/>
    <w:rsid w:val="004D0E7F"/>
    <w:rsid w:val="004D4ABF"/>
    <w:rsid w:val="004E24A5"/>
    <w:rsid w:val="004E24B9"/>
    <w:rsid w:val="004F0371"/>
    <w:rsid w:val="004F1A49"/>
    <w:rsid w:val="005027DA"/>
    <w:rsid w:val="00526C60"/>
    <w:rsid w:val="00533F51"/>
    <w:rsid w:val="00537DE5"/>
    <w:rsid w:val="0054531C"/>
    <w:rsid w:val="00545910"/>
    <w:rsid w:val="00546417"/>
    <w:rsid w:val="0054718E"/>
    <w:rsid w:val="00552349"/>
    <w:rsid w:val="00554479"/>
    <w:rsid w:val="00560DD1"/>
    <w:rsid w:val="005702BD"/>
    <w:rsid w:val="00573D75"/>
    <w:rsid w:val="00576D04"/>
    <w:rsid w:val="005916E9"/>
    <w:rsid w:val="00597538"/>
    <w:rsid w:val="00597D9A"/>
    <w:rsid w:val="00597E43"/>
    <w:rsid w:val="005B43ED"/>
    <w:rsid w:val="005C0EDF"/>
    <w:rsid w:val="005D0901"/>
    <w:rsid w:val="005D3E78"/>
    <w:rsid w:val="005E1735"/>
    <w:rsid w:val="005E5650"/>
    <w:rsid w:val="005F36FD"/>
    <w:rsid w:val="0060079A"/>
    <w:rsid w:val="00601AE9"/>
    <w:rsid w:val="00611B0E"/>
    <w:rsid w:val="00612AAF"/>
    <w:rsid w:val="00616774"/>
    <w:rsid w:val="00623480"/>
    <w:rsid w:val="00625D3D"/>
    <w:rsid w:val="00625D41"/>
    <w:rsid w:val="00640C48"/>
    <w:rsid w:val="00644104"/>
    <w:rsid w:val="006443B0"/>
    <w:rsid w:val="006454E7"/>
    <w:rsid w:val="00646C84"/>
    <w:rsid w:val="00653C40"/>
    <w:rsid w:val="00654B6C"/>
    <w:rsid w:val="00656689"/>
    <w:rsid w:val="0067163B"/>
    <w:rsid w:val="00674D6B"/>
    <w:rsid w:val="00676004"/>
    <w:rsid w:val="00695B7F"/>
    <w:rsid w:val="006972FF"/>
    <w:rsid w:val="00697618"/>
    <w:rsid w:val="00697751"/>
    <w:rsid w:val="006A4E4F"/>
    <w:rsid w:val="006A568E"/>
    <w:rsid w:val="006B4590"/>
    <w:rsid w:val="006B77E6"/>
    <w:rsid w:val="006D035F"/>
    <w:rsid w:val="006D598A"/>
    <w:rsid w:val="006E3669"/>
    <w:rsid w:val="006F0813"/>
    <w:rsid w:val="006F1579"/>
    <w:rsid w:val="00706100"/>
    <w:rsid w:val="007068FF"/>
    <w:rsid w:val="007150ED"/>
    <w:rsid w:val="0071545C"/>
    <w:rsid w:val="00720BA1"/>
    <w:rsid w:val="00732DDE"/>
    <w:rsid w:val="00737C92"/>
    <w:rsid w:val="0074264C"/>
    <w:rsid w:val="007434AF"/>
    <w:rsid w:val="00755086"/>
    <w:rsid w:val="00762E29"/>
    <w:rsid w:val="00763EFB"/>
    <w:rsid w:val="00764A76"/>
    <w:rsid w:val="0076602F"/>
    <w:rsid w:val="007676F8"/>
    <w:rsid w:val="007700C8"/>
    <w:rsid w:val="0077100E"/>
    <w:rsid w:val="00776B68"/>
    <w:rsid w:val="00783232"/>
    <w:rsid w:val="00790679"/>
    <w:rsid w:val="00791DA5"/>
    <w:rsid w:val="007A102C"/>
    <w:rsid w:val="007B254C"/>
    <w:rsid w:val="007B288E"/>
    <w:rsid w:val="007C2285"/>
    <w:rsid w:val="007D04D4"/>
    <w:rsid w:val="007D5657"/>
    <w:rsid w:val="007D6CD8"/>
    <w:rsid w:val="007E5651"/>
    <w:rsid w:val="0080067E"/>
    <w:rsid w:val="0080152B"/>
    <w:rsid w:val="00805564"/>
    <w:rsid w:val="008071AB"/>
    <w:rsid w:val="00815762"/>
    <w:rsid w:val="00820E6C"/>
    <w:rsid w:val="00836C6E"/>
    <w:rsid w:val="00842CB6"/>
    <w:rsid w:val="00846642"/>
    <w:rsid w:val="00854E7F"/>
    <w:rsid w:val="00871DC6"/>
    <w:rsid w:val="00877EE6"/>
    <w:rsid w:val="00881A0B"/>
    <w:rsid w:val="00892E2F"/>
    <w:rsid w:val="00896E05"/>
    <w:rsid w:val="00897ADE"/>
    <w:rsid w:val="008A3E2E"/>
    <w:rsid w:val="008A78D0"/>
    <w:rsid w:val="008B24F0"/>
    <w:rsid w:val="008C722F"/>
    <w:rsid w:val="008D28F1"/>
    <w:rsid w:val="008F39FF"/>
    <w:rsid w:val="008F646D"/>
    <w:rsid w:val="00910DC7"/>
    <w:rsid w:val="0091328A"/>
    <w:rsid w:val="00916BEF"/>
    <w:rsid w:val="0094227A"/>
    <w:rsid w:val="00952463"/>
    <w:rsid w:val="00953729"/>
    <w:rsid w:val="0097686E"/>
    <w:rsid w:val="00980A97"/>
    <w:rsid w:val="009970AD"/>
    <w:rsid w:val="00997A8C"/>
    <w:rsid w:val="009A3210"/>
    <w:rsid w:val="009B18A3"/>
    <w:rsid w:val="009B1B57"/>
    <w:rsid w:val="009B4B72"/>
    <w:rsid w:val="009C219D"/>
    <w:rsid w:val="009D396E"/>
    <w:rsid w:val="009D52A5"/>
    <w:rsid w:val="009E6789"/>
    <w:rsid w:val="009F3053"/>
    <w:rsid w:val="00A05C24"/>
    <w:rsid w:val="00A100E9"/>
    <w:rsid w:val="00A27685"/>
    <w:rsid w:val="00A401FB"/>
    <w:rsid w:val="00A4767D"/>
    <w:rsid w:val="00A56D3B"/>
    <w:rsid w:val="00A74624"/>
    <w:rsid w:val="00A809C8"/>
    <w:rsid w:val="00A87C51"/>
    <w:rsid w:val="00A92973"/>
    <w:rsid w:val="00A94413"/>
    <w:rsid w:val="00AA1619"/>
    <w:rsid w:val="00AA7294"/>
    <w:rsid w:val="00AB0B99"/>
    <w:rsid w:val="00AB4421"/>
    <w:rsid w:val="00AB475B"/>
    <w:rsid w:val="00AC0094"/>
    <w:rsid w:val="00AC5266"/>
    <w:rsid w:val="00AC65A1"/>
    <w:rsid w:val="00AC6613"/>
    <w:rsid w:val="00AD181C"/>
    <w:rsid w:val="00AD1EB6"/>
    <w:rsid w:val="00AD36FA"/>
    <w:rsid w:val="00AD7555"/>
    <w:rsid w:val="00AE2158"/>
    <w:rsid w:val="00AE2FD5"/>
    <w:rsid w:val="00AE34EF"/>
    <w:rsid w:val="00AE3894"/>
    <w:rsid w:val="00AF13BF"/>
    <w:rsid w:val="00B0562D"/>
    <w:rsid w:val="00B12E0E"/>
    <w:rsid w:val="00B139A9"/>
    <w:rsid w:val="00B13D40"/>
    <w:rsid w:val="00B22A39"/>
    <w:rsid w:val="00B25138"/>
    <w:rsid w:val="00B30DA5"/>
    <w:rsid w:val="00B322C9"/>
    <w:rsid w:val="00B36A85"/>
    <w:rsid w:val="00B46ED1"/>
    <w:rsid w:val="00B639EC"/>
    <w:rsid w:val="00B75438"/>
    <w:rsid w:val="00B75985"/>
    <w:rsid w:val="00B77426"/>
    <w:rsid w:val="00B84902"/>
    <w:rsid w:val="00B90767"/>
    <w:rsid w:val="00B9283D"/>
    <w:rsid w:val="00BA111F"/>
    <w:rsid w:val="00BA23D0"/>
    <w:rsid w:val="00BA4672"/>
    <w:rsid w:val="00BB21A2"/>
    <w:rsid w:val="00BD4684"/>
    <w:rsid w:val="00BD70A6"/>
    <w:rsid w:val="00BE0FF5"/>
    <w:rsid w:val="00BE52B5"/>
    <w:rsid w:val="00BE6E99"/>
    <w:rsid w:val="00BF366B"/>
    <w:rsid w:val="00BF4211"/>
    <w:rsid w:val="00C300E9"/>
    <w:rsid w:val="00C33A62"/>
    <w:rsid w:val="00C414E4"/>
    <w:rsid w:val="00C4288E"/>
    <w:rsid w:val="00C4618E"/>
    <w:rsid w:val="00C461D5"/>
    <w:rsid w:val="00C50AAA"/>
    <w:rsid w:val="00C518B7"/>
    <w:rsid w:val="00C51B17"/>
    <w:rsid w:val="00C62B1F"/>
    <w:rsid w:val="00C72718"/>
    <w:rsid w:val="00C73B2D"/>
    <w:rsid w:val="00C86C9D"/>
    <w:rsid w:val="00CA1B1A"/>
    <w:rsid w:val="00CA7093"/>
    <w:rsid w:val="00CB1223"/>
    <w:rsid w:val="00CB1E68"/>
    <w:rsid w:val="00CB23B7"/>
    <w:rsid w:val="00CC230E"/>
    <w:rsid w:val="00CC4BD3"/>
    <w:rsid w:val="00CD4977"/>
    <w:rsid w:val="00CD614F"/>
    <w:rsid w:val="00CD704B"/>
    <w:rsid w:val="00CF3933"/>
    <w:rsid w:val="00CF6BBB"/>
    <w:rsid w:val="00D01155"/>
    <w:rsid w:val="00D05E45"/>
    <w:rsid w:val="00D0637D"/>
    <w:rsid w:val="00D12154"/>
    <w:rsid w:val="00D2152B"/>
    <w:rsid w:val="00D21F1A"/>
    <w:rsid w:val="00D47687"/>
    <w:rsid w:val="00D5793E"/>
    <w:rsid w:val="00D6364A"/>
    <w:rsid w:val="00D66FA9"/>
    <w:rsid w:val="00D75562"/>
    <w:rsid w:val="00D7632E"/>
    <w:rsid w:val="00D824CD"/>
    <w:rsid w:val="00D87747"/>
    <w:rsid w:val="00D92FB9"/>
    <w:rsid w:val="00DA06C9"/>
    <w:rsid w:val="00DA1C5E"/>
    <w:rsid w:val="00DA2A7E"/>
    <w:rsid w:val="00DA312B"/>
    <w:rsid w:val="00DA341B"/>
    <w:rsid w:val="00DA4377"/>
    <w:rsid w:val="00DA71A6"/>
    <w:rsid w:val="00DB20DE"/>
    <w:rsid w:val="00DB41D1"/>
    <w:rsid w:val="00DC30DE"/>
    <w:rsid w:val="00DD39F2"/>
    <w:rsid w:val="00DD4CEB"/>
    <w:rsid w:val="00DF189B"/>
    <w:rsid w:val="00DF5535"/>
    <w:rsid w:val="00DF66B7"/>
    <w:rsid w:val="00DF6777"/>
    <w:rsid w:val="00E24692"/>
    <w:rsid w:val="00E261B3"/>
    <w:rsid w:val="00E3134B"/>
    <w:rsid w:val="00E31FCF"/>
    <w:rsid w:val="00E41EEF"/>
    <w:rsid w:val="00E4784C"/>
    <w:rsid w:val="00E60A64"/>
    <w:rsid w:val="00E6186D"/>
    <w:rsid w:val="00E64E96"/>
    <w:rsid w:val="00E65328"/>
    <w:rsid w:val="00E763D9"/>
    <w:rsid w:val="00E77E29"/>
    <w:rsid w:val="00E803FD"/>
    <w:rsid w:val="00E84738"/>
    <w:rsid w:val="00E92AC9"/>
    <w:rsid w:val="00E94D20"/>
    <w:rsid w:val="00E96B30"/>
    <w:rsid w:val="00E97042"/>
    <w:rsid w:val="00EA14AB"/>
    <w:rsid w:val="00EA2B8A"/>
    <w:rsid w:val="00EA3EC6"/>
    <w:rsid w:val="00EA71E8"/>
    <w:rsid w:val="00EB45F3"/>
    <w:rsid w:val="00EB615B"/>
    <w:rsid w:val="00EC6BED"/>
    <w:rsid w:val="00ED188E"/>
    <w:rsid w:val="00ED4D3C"/>
    <w:rsid w:val="00ED63B8"/>
    <w:rsid w:val="00EE1084"/>
    <w:rsid w:val="00EE12A0"/>
    <w:rsid w:val="00EE238C"/>
    <w:rsid w:val="00EF0799"/>
    <w:rsid w:val="00EF2B47"/>
    <w:rsid w:val="00EF62B4"/>
    <w:rsid w:val="00F17D74"/>
    <w:rsid w:val="00F17F5D"/>
    <w:rsid w:val="00F226C9"/>
    <w:rsid w:val="00F2282D"/>
    <w:rsid w:val="00F260D1"/>
    <w:rsid w:val="00F26606"/>
    <w:rsid w:val="00F30252"/>
    <w:rsid w:val="00F345BC"/>
    <w:rsid w:val="00F4639C"/>
    <w:rsid w:val="00F539CB"/>
    <w:rsid w:val="00F6288D"/>
    <w:rsid w:val="00F64829"/>
    <w:rsid w:val="00F65D9A"/>
    <w:rsid w:val="00F67380"/>
    <w:rsid w:val="00F736F9"/>
    <w:rsid w:val="00F77B1A"/>
    <w:rsid w:val="00F9381E"/>
    <w:rsid w:val="00F9694B"/>
    <w:rsid w:val="00F96F48"/>
    <w:rsid w:val="00FA6FA7"/>
    <w:rsid w:val="00FA6FCF"/>
    <w:rsid w:val="00FB6550"/>
    <w:rsid w:val="00FC2AE9"/>
    <w:rsid w:val="00FD1DB9"/>
    <w:rsid w:val="00FD43AD"/>
    <w:rsid w:val="00FE7826"/>
    <w:rsid w:val="00FF212F"/>
    <w:rsid w:val="00FF63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CF74B"/>
  <w15:docId w15:val="{78ACDDB1-4CDC-493A-8CED-E04673F0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6A85"/>
    <w:pPr>
      <w:spacing w:after="110" w:line="250" w:lineRule="auto"/>
      <w:ind w:left="1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0"/>
      <w:ind w:left="10" w:right="-441" w:hanging="10"/>
      <w:outlineLvl w:val="0"/>
    </w:pPr>
    <w:rPr>
      <w:rFonts w:ascii="Calibri" w:eastAsia="Calibri" w:hAnsi="Calibri" w:cs="Calibri"/>
      <w:b/>
      <w:color w:val="000000"/>
      <w:sz w:val="44"/>
    </w:rPr>
  </w:style>
  <w:style w:type="paragraph" w:styleId="berschrift2">
    <w:name w:val="heading 2"/>
    <w:next w:val="Standard"/>
    <w:link w:val="berschrift2Zchn"/>
    <w:uiPriority w:val="9"/>
    <w:unhideWhenUsed/>
    <w:qFormat/>
    <w:pPr>
      <w:keepNext/>
      <w:keepLines/>
      <w:spacing w:after="97"/>
      <w:ind w:left="10" w:hanging="10"/>
      <w:outlineLvl w:val="1"/>
    </w:pPr>
    <w:rPr>
      <w:rFonts w:ascii="Calibri" w:eastAsia="Calibri" w:hAnsi="Calibri" w:cs="Calibri"/>
      <w:b/>
      <w:color w:val="000000"/>
      <w:sz w:val="24"/>
    </w:rPr>
  </w:style>
  <w:style w:type="paragraph" w:styleId="berschrift3">
    <w:name w:val="heading 3"/>
    <w:basedOn w:val="Standard"/>
    <w:next w:val="Standard"/>
    <w:link w:val="berschrift3Zchn"/>
    <w:uiPriority w:val="9"/>
    <w:semiHidden/>
    <w:unhideWhenUsed/>
    <w:qFormat/>
    <w:rsid w:val="00185A6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b/>
      <w:color w:val="000000"/>
      <w:sz w:val="24"/>
    </w:rPr>
  </w:style>
  <w:style w:type="character" w:customStyle="1" w:styleId="berschrift1Zchn">
    <w:name w:val="Überschrift 1 Zchn"/>
    <w:link w:val="berschrift1"/>
    <w:rPr>
      <w:rFonts w:ascii="Calibri" w:eastAsia="Calibri" w:hAnsi="Calibri" w:cs="Calibri"/>
      <w:b/>
      <w:color w:val="000000"/>
      <w:sz w:val="44"/>
    </w:rPr>
  </w:style>
  <w:style w:type="paragraph" w:styleId="Kopfzeile">
    <w:name w:val="header"/>
    <w:basedOn w:val="Standard"/>
    <w:link w:val="KopfzeileZchn"/>
    <w:uiPriority w:val="99"/>
    <w:unhideWhenUsed/>
    <w:rsid w:val="001077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73F"/>
    <w:rPr>
      <w:rFonts w:ascii="Calibri" w:eastAsia="Calibri" w:hAnsi="Calibri" w:cs="Calibri"/>
      <w:color w:val="000000"/>
      <w:sz w:val="24"/>
    </w:rPr>
  </w:style>
  <w:style w:type="paragraph" w:styleId="Fuzeile">
    <w:name w:val="footer"/>
    <w:basedOn w:val="Standard"/>
    <w:link w:val="FuzeileZchn"/>
    <w:uiPriority w:val="99"/>
    <w:unhideWhenUsed/>
    <w:rsid w:val="001077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73F"/>
    <w:rPr>
      <w:rFonts w:ascii="Calibri" w:eastAsia="Calibri" w:hAnsi="Calibri" w:cs="Calibri"/>
      <w:color w:val="000000"/>
      <w:sz w:val="24"/>
    </w:rPr>
  </w:style>
  <w:style w:type="table" w:styleId="Tabellenraster">
    <w:name w:val="Table Grid"/>
    <w:basedOn w:val="NormaleTabelle"/>
    <w:uiPriority w:val="59"/>
    <w:rsid w:val="0010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55086"/>
    <w:pPr>
      <w:spacing w:after="0" w:line="240" w:lineRule="auto"/>
      <w:ind w:left="10" w:hanging="10"/>
      <w:jc w:val="both"/>
    </w:pPr>
    <w:rPr>
      <w:rFonts w:ascii="Calibri" w:eastAsia="Calibri" w:hAnsi="Calibri" w:cs="Calibri"/>
      <w:color w:val="000000"/>
      <w:sz w:val="24"/>
    </w:rPr>
  </w:style>
  <w:style w:type="paragraph" w:styleId="StandardWeb">
    <w:name w:val="Normal (Web)"/>
    <w:basedOn w:val="Standard"/>
    <w:uiPriority w:val="99"/>
    <w:unhideWhenUsed/>
    <w:rsid w:val="00177FD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erschrift3Zchn">
    <w:name w:val="Überschrift 3 Zchn"/>
    <w:basedOn w:val="Absatz-Standardschriftart"/>
    <w:link w:val="berschrift3"/>
    <w:uiPriority w:val="9"/>
    <w:semiHidden/>
    <w:rsid w:val="00185A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024">
      <w:bodyDiv w:val="1"/>
      <w:marLeft w:val="0"/>
      <w:marRight w:val="0"/>
      <w:marTop w:val="0"/>
      <w:marBottom w:val="0"/>
      <w:divBdr>
        <w:top w:val="none" w:sz="0" w:space="0" w:color="auto"/>
        <w:left w:val="none" w:sz="0" w:space="0" w:color="auto"/>
        <w:bottom w:val="none" w:sz="0" w:space="0" w:color="auto"/>
        <w:right w:val="none" w:sz="0" w:space="0" w:color="auto"/>
      </w:divBdr>
    </w:div>
    <w:div w:id="233904390">
      <w:bodyDiv w:val="1"/>
      <w:marLeft w:val="0"/>
      <w:marRight w:val="0"/>
      <w:marTop w:val="0"/>
      <w:marBottom w:val="0"/>
      <w:divBdr>
        <w:top w:val="none" w:sz="0" w:space="0" w:color="auto"/>
        <w:left w:val="none" w:sz="0" w:space="0" w:color="auto"/>
        <w:bottom w:val="none" w:sz="0" w:space="0" w:color="auto"/>
        <w:right w:val="none" w:sz="0" w:space="0" w:color="auto"/>
      </w:divBdr>
    </w:div>
    <w:div w:id="346443862">
      <w:bodyDiv w:val="1"/>
      <w:marLeft w:val="0"/>
      <w:marRight w:val="0"/>
      <w:marTop w:val="0"/>
      <w:marBottom w:val="0"/>
      <w:divBdr>
        <w:top w:val="none" w:sz="0" w:space="0" w:color="auto"/>
        <w:left w:val="none" w:sz="0" w:space="0" w:color="auto"/>
        <w:bottom w:val="none" w:sz="0" w:space="0" w:color="auto"/>
        <w:right w:val="none" w:sz="0" w:space="0" w:color="auto"/>
      </w:divBdr>
    </w:div>
    <w:div w:id="420611041">
      <w:bodyDiv w:val="1"/>
      <w:marLeft w:val="0"/>
      <w:marRight w:val="0"/>
      <w:marTop w:val="0"/>
      <w:marBottom w:val="0"/>
      <w:divBdr>
        <w:top w:val="none" w:sz="0" w:space="0" w:color="auto"/>
        <w:left w:val="none" w:sz="0" w:space="0" w:color="auto"/>
        <w:bottom w:val="none" w:sz="0" w:space="0" w:color="auto"/>
        <w:right w:val="none" w:sz="0" w:space="0" w:color="auto"/>
      </w:divBdr>
    </w:div>
    <w:div w:id="465393617">
      <w:bodyDiv w:val="1"/>
      <w:marLeft w:val="0"/>
      <w:marRight w:val="0"/>
      <w:marTop w:val="0"/>
      <w:marBottom w:val="0"/>
      <w:divBdr>
        <w:top w:val="none" w:sz="0" w:space="0" w:color="auto"/>
        <w:left w:val="none" w:sz="0" w:space="0" w:color="auto"/>
        <w:bottom w:val="none" w:sz="0" w:space="0" w:color="auto"/>
        <w:right w:val="none" w:sz="0" w:space="0" w:color="auto"/>
      </w:divBdr>
    </w:div>
    <w:div w:id="484513337">
      <w:bodyDiv w:val="1"/>
      <w:marLeft w:val="0"/>
      <w:marRight w:val="0"/>
      <w:marTop w:val="0"/>
      <w:marBottom w:val="0"/>
      <w:divBdr>
        <w:top w:val="none" w:sz="0" w:space="0" w:color="auto"/>
        <w:left w:val="none" w:sz="0" w:space="0" w:color="auto"/>
        <w:bottom w:val="none" w:sz="0" w:space="0" w:color="auto"/>
        <w:right w:val="none" w:sz="0" w:space="0" w:color="auto"/>
      </w:divBdr>
      <w:divsChild>
        <w:div w:id="1804420345">
          <w:marLeft w:val="0"/>
          <w:marRight w:val="0"/>
          <w:marTop w:val="0"/>
          <w:marBottom w:val="0"/>
          <w:divBdr>
            <w:top w:val="none" w:sz="0" w:space="0" w:color="auto"/>
            <w:left w:val="none" w:sz="0" w:space="0" w:color="auto"/>
            <w:bottom w:val="none" w:sz="0" w:space="0" w:color="auto"/>
            <w:right w:val="none" w:sz="0" w:space="0" w:color="auto"/>
          </w:divBdr>
          <w:divsChild>
            <w:div w:id="769275944">
              <w:marLeft w:val="0"/>
              <w:marRight w:val="0"/>
              <w:marTop w:val="0"/>
              <w:marBottom w:val="0"/>
              <w:divBdr>
                <w:top w:val="none" w:sz="0" w:space="0" w:color="auto"/>
                <w:left w:val="none" w:sz="0" w:space="0" w:color="auto"/>
                <w:bottom w:val="none" w:sz="0" w:space="0" w:color="auto"/>
                <w:right w:val="none" w:sz="0" w:space="0" w:color="auto"/>
              </w:divBdr>
              <w:divsChild>
                <w:div w:id="433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145">
          <w:marLeft w:val="0"/>
          <w:marRight w:val="0"/>
          <w:marTop w:val="0"/>
          <w:marBottom w:val="0"/>
          <w:divBdr>
            <w:top w:val="none" w:sz="0" w:space="0" w:color="auto"/>
            <w:left w:val="none" w:sz="0" w:space="0" w:color="auto"/>
            <w:bottom w:val="none" w:sz="0" w:space="0" w:color="auto"/>
            <w:right w:val="none" w:sz="0" w:space="0" w:color="auto"/>
          </w:divBdr>
          <w:divsChild>
            <w:div w:id="6904661">
              <w:marLeft w:val="0"/>
              <w:marRight w:val="0"/>
              <w:marTop w:val="0"/>
              <w:marBottom w:val="0"/>
              <w:divBdr>
                <w:top w:val="none" w:sz="0" w:space="0" w:color="auto"/>
                <w:left w:val="none" w:sz="0" w:space="0" w:color="auto"/>
                <w:bottom w:val="none" w:sz="0" w:space="0" w:color="auto"/>
                <w:right w:val="none" w:sz="0" w:space="0" w:color="auto"/>
              </w:divBdr>
              <w:divsChild>
                <w:div w:id="7714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5149">
          <w:marLeft w:val="0"/>
          <w:marRight w:val="0"/>
          <w:marTop w:val="0"/>
          <w:marBottom w:val="0"/>
          <w:divBdr>
            <w:top w:val="none" w:sz="0" w:space="0" w:color="auto"/>
            <w:left w:val="none" w:sz="0" w:space="0" w:color="auto"/>
            <w:bottom w:val="none" w:sz="0" w:space="0" w:color="auto"/>
            <w:right w:val="none" w:sz="0" w:space="0" w:color="auto"/>
          </w:divBdr>
          <w:divsChild>
            <w:div w:id="599292877">
              <w:marLeft w:val="0"/>
              <w:marRight w:val="0"/>
              <w:marTop w:val="0"/>
              <w:marBottom w:val="0"/>
              <w:divBdr>
                <w:top w:val="none" w:sz="0" w:space="0" w:color="auto"/>
                <w:left w:val="none" w:sz="0" w:space="0" w:color="auto"/>
                <w:bottom w:val="none" w:sz="0" w:space="0" w:color="auto"/>
                <w:right w:val="none" w:sz="0" w:space="0" w:color="auto"/>
              </w:divBdr>
              <w:divsChild>
                <w:div w:id="840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053">
          <w:marLeft w:val="0"/>
          <w:marRight w:val="0"/>
          <w:marTop w:val="0"/>
          <w:marBottom w:val="0"/>
          <w:divBdr>
            <w:top w:val="none" w:sz="0" w:space="0" w:color="auto"/>
            <w:left w:val="none" w:sz="0" w:space="0" w:color="auto"/>
            <w:bottom w:val="none" w:sz="0" w:space="0" w:color="auto"/>
            <w:right w:val="none" w:sz="0" w:space="0" w:color="auto"/>
          </w:divBdr>
          <w:divsChild>
            <w:div w:id="2032369434">
              <w:marLeft w:val="0"/>
              <w:marRight w:val="0"/>
              <w:marTop w:val="0"/>
              <w:marBottom w:val="0"/>
              <w:divBdr>
                <w:top w:val="none" w:sz="0" w:space="0" w:color="auto"/>
                <w:left w:val="none" w:sz="0" w:space="0" w:color="auto"/>
                <w:bottom w:val="none" w:sz="0" w:space="0" w:color="auto"/>
                <w:right w:val="none" w:sz="0" w:space="0" w:color="auto"/>
              </w:divBdr>
              <w:divsChild>
                <w:div w:id="19122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308">
          <w:marLeft w:val="0"/>
          <w:marRight w:val="0"/>
          <w:marTop w:val="0"/>
          <w:marBottom w:val="0"/>
          <w:divBdr>
            <w:top w:val="none" w:sz="0" w:space="0" w:color="auto"/>
            <w:left w:val="none" w:sz="0" w:space="0" w:color="auto"/>
            <w:bottom w:val="none" w:sz="0" w:space="0" w:color="auto"/>
            <w:right w:val="none" w:sz="0" w:space="0" w:color="auto"/>
          </w:divBdr>
          <w:divsChild>
            <w:div w:id="975570859">
              <w:marLeft w:val="0"/>
              <w:marRight w:val="0"/>
              <w:marTop w:val="0"/>
              <w:marBottom w:val="0"/>
              <w:divBdr>
                <w:top w:val="none" w:sz="0" w:space="0" w:color="auto"/>
                <w:left w:val="none" w:sz="0" w:space="0" w:color="auto"/>
                <w:bottom w:val="none" w:sz="0" w:space="0" w:color="auto"/>
                <w:right w:val="none" w:sz="0" w:space="0" w:color="auto"/>
              </w:divBdr>
              <w:divsChild>
                <w:div w:id="16981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8897">
          <w:marLeft w:val="0"/>
          <w:marRight w:val="0"/>
          <w:marTop w:val="0"/>
          <w:marBottom w:val="0"/>
          <w:divBdr>
            <w:top w:val="none" w:sz="0" w:space="0" w:color="auto"/>
            <w:left w:val="none" w:sz="0" w:space="0" w:color="auto"/>
            <w:bottom w:val="none" w:sz="0" w:space="0" w:color="auto"/>
            <w:right w:val="none" w:sz="0" w:space="0" w:color="auto"/>
          </w:divBdr>
          <w:divsChild>
            <w:div w:id="1711949678">
              <w:marLeft w:val="0"/>
              <w:marRight w:val="0"/>
              <w:marTop w:val="0"/>
              <w:marBottom w:val="0"/>
              <w:divBdr>
                <w:top w:val="none" w:sz="0" w:space="0" w:color="auto"/>
                <w:left w:val="none" w:sz="0" w:space="0" w:color="auto"/>
                <w:bottom w:val="none" w:sz="0" w:space="0" w:color="auto"/>
                <w:right w:val="none" w:sz="0" w:space="0" w:color="auto"/>
              </w:divBdr>
              <w:divsChild>
                <w:div w:id="1901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473">
          <w:marLeft w:val="0"/>
          <w:marRight w:val="0"/>
          <w:marTop w:val="0"/>
          <w:marBottom w:val="0"/>
          <w:divBdr>
            <w:top w:val="none" w:sz="0" w:space="0" w:color="auto"/>
            <w:left w:val="none" w:sz="0" w:space="0" w:color="auto"/>
            <w:bottom w:val="none" w:sz="0" w:space="0" w:color="auto"/>
            <w:right w:val="none" w:sz="0" w:space="0" w:color="auto"/>
          </w:divBdr>
          <w:divsChild>
            <w:div w:id="1322805493">
              <w:marLeft w:val="0"/>
              <w:marRight w:val="0"/>
              <w:marTop w:val="0"/>
              <w:marBottom w:val="0"/>
              <w:divBdr>
                <w:top w:val="none" w:sz="0" w:space="0" w:color="auto"/>
                <w:left w:val="none" w:sz="0" w:space="0" w:color="auto"/>
                <w:bottom w:val="none" w:sz="0" w:space="0" w:color="auto"/>
                <w:right w:val="none" w:sz="0" w:space="0" w:color="auto"/>
              </w:divBdr>
              <w:divsChild>
                <w:div w:id="1249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2559">
          <w:marLeft w:val="0"/>
          <w:marRight w:val="0"/>
          <w:marTop w:val="0"/>
          <w:marBottom w:val="0"/>
          <w:divBdr>
            <w:top w:val="none" w:sz="0" w:space="0" w:color="auto"/>
            <w:left w:val="none" w:sz="0" w:space="0" w:color="auto"/>
            <w:bottom w:val="none" w:sz="0" w:space="0" w:color="auto"/>
            <w:right w:val="none" w:sz="0" w:space="0" w:color="auto"/>
          </w:divBdr>
          <w:divsChild>
            <w:div w:id="938562351">
              <w:marLeft w:val="0"/>
              <w:marRight w:val="0"/>
              <w:marTop w:val="0"/>
              <w:marBottom w:val="0"/>
              <w:divBdr>
                <w:top w:val="none" w:sz="0" w:space="0" w:color="auto"/>
                <w:left w:val="none" w:sz="0" w:space="0" w:color="auto"/>
                <w:bottom w:val="none" w:sz="0" w:space="0" w:color="auto"/>
                <w:right w:val="none" w:sz="0" w:space="0" w:color="auto"/>
              </w:divBdr>
              <w:divsChild>
                <w:div w:id="1838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367">
          <w:marLeft w:val="0"/>
          <w:marRight w:val="0"/>
          <w:marTop w:val="0"/>
          <w:marBottom w:val="0"/>
          <w:divBdr>
            <w:top w:val="none" w:sz="0" w:space="0" w:color="auto"/>
            <w:left w:val="none" w:sz="0" w:space="0" w:color="auto"/>
            <w:bottom w:val="none" w:sz="0" w:space="0" w:color="auto"/>
            <w:right w:val="none" w:sz="0" w:space="0" w:color="auto"/>
          </w:divBdr>
          <w:divsChild>
            <w:div w:id="1464928823">
              <w:marLeft w:val="0"/>
              <w:marRight w:val="0"/>
              <w:marTop w:val="0"/>
              <w:marBottom w:val="0"/>
              <w:divBdr>
                <w:top w:val="none" w:sz="0" w:space="0" w:color="auto"/>
                <w:left w:val="none" w:sz="0" w:space="0" w:color="auto"/>
                <w:bottom w:val="none" w:sz="0" w:space="0" w:color="auto"/>
                <w:right w:val="none" w:sz="0" w:space="0" w:color="auto"/>
              </w:divBdr>
              <w:divsChild>
                <w:div w:id="11271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373">
          <w:marLeft w:val="0"/>
          <w:marRight w:val="0"/>
          <w:marTop w:val="0"/>
          <w:marBottom w:val="0"/>
          <w:divBdr>
            <w:top w:val="none" w:sz="0" w:space="0" w:color="auto"/>
            <w:left w:val="none" w:sz="0" w:space="0" w:color="auto"/>
            <w:bottom w:val="none" w:sz="0" w:space="0" w:color="auto"/>
            <w:right w:val="none" w:sz="0" w:space="0" w:color="auto"/>
          </w:divBdr>
          <w:divsChild>
            <w:div w:id="152569252">
              <w:marLeft w:val="0"/>
              <w:marRight w:val="0"/>
              <w:marTop w:val="0"/>
              <w:marBottom w:val="0"/>
              <w:divBdr>
                <w:top w:val="none" w:sz="0" w:space="0" w:color="auto"/>
                <w:left w:val="none" w:sz="0" w:space="0" w:color="auto"/>
                <w:bottom w:val="none" w:sz="0" w:space="0" w:color="auto"/>
                <w:right w:val="none" w:sz="0" w:space="0" w:color="auto"/>
              </w:divBdr>
              <w:divsChild>
                <w:div w:id="14931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4153">
      <w:bodyDiv w:val="1"/>
      <w:marLeft w:val="0"/>
      <w:marRight w:val="0"/>
      <w:marTop w:val="0"/>
      <w:marBottom w:val="0"/>
      <w:divBdr>
        <w:top w:val="none" w:sz="0" w:space="0" w:color="auto"/>
        <w:left w:val="none" w:sz="0" w:space="0" w:color="auto"/>
        <w:bottom w:val="none" w:sz="0" w:space="0" w:color="auto"/>
        <w:right w:val="none" w:sz="0" w:space="0" w:color="auto"/>
      </w:divBdr>
    </w:div>
    <w:div w:id="627318926">
      <w:bodyDiv w:val="1"/>
      <w:marLeft w:val="0"/>
      <w:marRight w:val="0"/>
      <w:marTop w:val="0"/>
      <w:marBottom w:val="0"/>
      <w:divBdr>
        <w:top w:val="none" w:sz="0" w:space="0" w:color="auto"/>
        <w:left w:val="none" w:sz="0" w:space="0" w:color="auto"/>
        <w:bottom w:val="none" w:sz="0" w:space="0" w:color="auto"/>
        <w:right w:val="none" w:sz="0" w:space="0" w:color="auto"/>
      </w:divBdr>
    </w:div>
    <w:div w:id="648244093">
      <w:bodyDiv w:val="1"/>
      <w:marLeft w:val="0"/>
      <w:marRight w:val="0"/>
      <w:marTop w:val="0"/>
      <w:marBottom w:val="0"/>
      <w:divBdr>
        <w:top w:val="none" w:sz="0" w:space="0" w:color="auto"/>
        <w:left w:val="none" w:sz="0" w:space="0" w:color="auto"/>
        <w:bottom w:val="none" w:sz="0" w:space="0" w:color="auto"/>
        <w:right w:val="none" w:sz="0" w:space="0" w:color="auto"/>
      </w:divBdr>
    </w:div>
    <w:div w:id="661011551">
      <w:bodyDiv w:val="1"/>
      <w:marLeft w:val="0"/>
      <w:marRight w:val="0"/>
      <w:marTop w:val="0"/>
      <w:marBottom w:val="0"/>
      <w:divBdr>
        <w:top w:val="none" w:sz="0" w:space="0" w:color="auto"/>
        <w:left w:val="none" w:sz="0" w:space="0" w:color="auto"/>
        <w:bottom w:val="none" w:sz="0" w:space="0" w:color="auto"/>
        <w:right w:val="none" w:sz="0" w:space="0" w:color="auto"/>
      </w:divBdr>
    </w:div>
    <w:div w:id="1005210237">
      <w:bodyDiv w:val="1"/>
      <w:marLeft w:val="0"/>
      <w:marRight w:val="0"/>
      <w:marTop w:val="0"/>
      <w:marBottom w:val="0"/>
      <w:divBdr>
        <w:top w:val="none" w:sz="0" w:space="0" w:color="auto"/>
        <w:left w:val="none" w:sz="0" w:space="0" w:color="auto"/>
        <w:bottom w:val="none" w:sz="0" w:space="0" w:color="auto"/>
        <w:right w:val="none" w:sz="0" w:space="0" w:color="auto"/>
      </w:divBdr>
    </w:div>
    <w:div w:id="1068188425">
      <w:bodyDiv w:val="1"/>
      <w:marLeft w:val="0"/>
      <w:marRight w:val="0"/>
      <w:marTop w:val="0"/>
      <w:marBottom w:val="0"/>
      <w:divBdr>
        <w:top w:val="none" w:sz="0" w:space="0" w:color="auto"/>
        <w:left w:val="none" w:sz="0" w:space="0" w:color="auto"/>
        <w:bottom w:val="none" w:sz="0" w:space="0" w:color="auto"/>
        <w:right w:val="none" w:sz="0" w:space="0" w:color="auto"/>
      </w:divBdr>
    </w:div>
    <w:div w:id="1075006862">
      <w:bodyDiv w:val="1"/>
      <w:marLeft w:val="0"/>
      <w:marRight w:val="0"/>
      <w:marTop w:val="0"/>
      <w:marBottom w:val="0"/>
      <w:divBdr>
        <w:top w:val="none" w:sz="0" w:space="0" w:color="auto"/>
        <w:left w:val="none" w:sz="0" w:space="0" w:color="auto"/>
        <w:bottom w:val="none" w:sz="0" w:space="0" w:color="auto"/>
        <w:right w:val="none" w:sz="0" w:space="0" w:color="auto"/>
      </w:divBdr>
    </w:div>
    <w:div w:id="1114057202">
      <w:bodyDiv w:val="1"/>
      <w:marLeft w:val="0"/>
      <w:marRight w:val="0"/>
      <w:marTop w:val="0"/>
      <w:marBottom w:val="0"/>
      <w:divBdr>
        <w:top w:val="none" w:sz="0" w:space="0" w:color="auto"/>
        <w:left w:val="none" w:sz="0" w:space="0" w:color="auto"/>
        <w:bottom w:val="none" w:sz="0" w:space="0" w:color="auto"/>
        <w:right w:val="none" w:sz="0" w:space="0" w:color="auto"/>
      </w:divBdr>
    </w:div>
    <w:div w:id="1166627307">
      <w:bodyDiv w:val="1"/>
      <w:marLeft w:val="0"/>
      <w:marRight w:val="0"/>
      <w:marTop w:val="0"/>
      <w:marBottom w:val="0"/>
      <w:divBdr>
        <w:top w:val="none" w:sz="0" w:space="0" w:color="auto"/>
        <w:left w:val="none" w:sz="0" w:space="0" w:color="auto"/>
        <w:bottom w:val="none" w:sz="0" w:space="0" w:color="auto"/>
        <w:right w:val="none" w:sz="0" w:space="0" w:color="auto"/>
      </w:divBdr>
      <w:divsChild>
        <w:div w:id="428085778">
          <w:marLeft w:val="0"/>
          <w:marRight w:val="0"/>
          <w:marTop w:val="0"/>
          <w:marBottom w:val="0"/>
          <w:divBdr>
            <w:top w:val="none" w:sz="0" w:space="0" w:color="auto"/>
            <w:left w:val="none" w:sz="0" w:space="0" w:color="auto"/>
            <w:bottom w:val="none" w:sz="0" w:space="0" w:color="auto"/>
            <w:right w:val="none" w:sz="0" w:space="0" w:color="auto"/>
          </w:divBdr>
        </w:div>
        <w:div w:id="972096921">
          <w:marLeft w:val="0"/>
          <w:marRight w:val="0"/>
          <w:marTop w:val="0"/>
          <w:marBottom w:val="0"/>
          <w:divBdr>
            <w:top w:val="none" w:sz="0" w:space="0" w:color="auto"/>
            <w:left w:val="none" w:sz="0" w:space="0" w:color="auto"/>
            <w:bottom w:val="none" w:sz="0" w:space="0" w:color="auto"/>
            <w:right w:val="none" w:sz="0" w:space="0" w:color="auto"/>
          </w:divBdr>
          <w:divsChild>
            <w:div w:id="1247761405">
              <w:marLeft w:val="0"/>
              <w:marRight w:val="0"/>
              <w:marTop w:val="0"/>
              <w:marBottom w:val="0"/>
              <w:divBdr>
                <w:top w:val="none" w:sz="0" w:space="0" w:color="auto"/>
                <w:left w:val="none" w:sz="0" w:space="0" w:color="auto"/>
                <w:bottom w:val="none" w:sz="0" w:space="0" w:color="auto"/>
                <w:right w:val="none" w:sz="0" w:space="0" w:color="auto"/>
              </w:divBdr>
              <w:divsChild>
                <w:div w:id="1176456762">
                  <w:marLeft w:val="0"/>
                  <w:marRight w:val="0"/>
                  <w:marTop w:val="0"/>
                  <w:marBottom w:val="0"/>
                  <w:divBdr>
                    <w:top w:val="none" w:sz="0" w:space="0" w:color="auto"/>
                    <w:left w:val="none" w:sz="0" w:space="0" w:color="auto"/>
                    <w:bottom w:val="none" w:sz="0" w:space="0" w:color="auto"/>
                    <w:right w:val="none" w:sz="0" w:space="0" w:color="auto"/>
                  </w:divBdr>
                </w:div>
                <w:div w:id="89786947">
                  <w:marLeft w:val="0"/>
                  <w:marRight w:val="0"/>
                  <w:marTop w:val="0"/>
                  <w:marBottom w:val="0"/>
                  <w:divBdr>
                    <w:top w:val="none" w:sz="0" w:space="0" w:color="auto"/>
                    <w:left w:val="none" w:sz="0" w:space="0" w:color="auto"/>
                    <w:bottom w:val="none" w:sz="0" w:space="0" w:color="auto"/>
                    <w:right w:val="none" w:sz="0" w:space="0" w:color="auto"/>
                  </w:divBdr>
                  <w:divsChild>
                    <w:div w:id="863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81321">
          <w:marLeft w:val="0"/>
          <w:marRight w:val="0"/>
          <w:marTop w:val="0"/>
          <w:marBottom w:val="0"/>
          <w:divBdr>
            <w:top w:val="none" w:sz="0" w:space="0" w:color="auto"/>
            <w:left w:val="none" w:sz="0" w:space="0" w:color="auto"/>
            <w:bottom w:val="none" w:sz="0" w:space="0" w:color="auto"/>
            <w:right w:val="none" w:sz="0" w:space="0" w:color="auto"/>
          </w:divBdr>
          <w:divsChild>
            <w:div w:id="1378820784">
              <w:marLeft w:val="0"/>
              <w:marRight w:val="0"/>
              <w:marTop w:val="0"/>
              <w:marBottom w:val="0"/>
              <w:divBdr>
                <w:top w:val="none" w:sz="0" w:space="0" w:color="auto"/>
                <w:left w:val="none" w:sz="0" w:space="0" w:color="auto"/>
                <w:bottom w:val="none" w:sz="0" w:space="0" w:color="auto"/>
                <w:right w:val="none" w:sz="0" w:space="0" w:color="auto"/>
              </w:divBdr>
              <w:divsChild>
                <w:div w:id="13886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3333">
          <w:marLeft w:val="0"/>
          <w:marRight w:val="0"/>
          <w:marTop w:val="0"/>
          <w:marBottom w:val="0"/>
          <w:divBdr>
            <w:top w:val="none" w:sz="0" w:space="0" w:color="auto"/>
            <w:left w:val="none" w:sz="0" w:space="0" w:color="auto"/>
            <w:bottom w:val="none" w:sz="0" w:space="0" w:color="auto"/>
            <w:right w:val="none" w:sz="0" w:space="0" w:color="auto"/>
          </w:divBdr>
          <w:divsChild>
            <w:div w:id="55402506">
              <w:marLeft w:val="0"/>
              <w:marRight w:val="0"/>
              <w:marTop w:val="0"/>
              <w:marBottom w:val="0"/>
              <w:divBdr>
                <w:top w:val="none" w:sz="0" w:space="0" w:color="auto"/>
                <w:left w:val="none" w:sz="0" w:space="0" w:color="auto"/>
                <w:bottom w:val="none" w:sz="0" w:space="0" w:color="auto"/>
                <w:right w:val="none" w:sz="0" w:space="0" w:color="auto"/>
              </w:divBdr>
              <w:divsChild>
                <w:div w:id="3911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337">
      <w:bodyDiv w:val="1"/>
      <w:marLeft w:val="0"/>
      <w:marRight w:val="0"/>
      <w:marTop w:val="0"/>
      <w:marBottom w:val="0"/>
      <w:divBdr>
        <w:top w:val="none" w:sz="0" w:space="0" w:color="auto"/>
        <w:left w:val="none" w:sz="0" w:space="0" w:color="auto"/>
        <w:bottom w:val="none" w:sz="0" w:space="0" w:color="auto"/>
        <w:right w:val="none" w:sz="0" w:space="0" w:color="auto"/>
      </w:divBdr>
    </w:div>
    <w:div w:id="1571310815">
      <w:bodyDiv w:val="1"/>
      <w:marLeft w:val="0"/>
      <w:marRight w:val="0"/>
      <w:marTop w:val="0"/>
      <w:marBottom w:val="0"/>
      <w:divBdr>
        <w:top w:val="none" w:sz="0" w:space="0" w:color="auto"/>
        <w:left w:val="none" w:sz="0" w:space="0" w:color="auto"/>
        <w:bottom w:val="none" w:sz="0" w:space="0" w:color="auto"/>
        <w:right w:val="none" w:sz="0" w:space="0" w:color="auto"/>
      </w:divBdr>
    </w:div>
    <w:div w:id="1595432158">
      <w:bodyDiv w:val="1"/>
      <w:marLeft w:val="0"/>
      <w:marRight w:val="0"/>
      <w:marTop w:val="0"/>
      <w:marBottom w:val="0"/>
      <w:divBdr>
        <w:top w:val="none" w:sz="0" w:space="0" w:color="auto"/>
        <w:left w:val="none" w:sz="0" w:space="0" w:color="auto"/>
        <w:bottom w:val="none" w:sz="0" w:space="0" w:color="auto"/>
        <w:right w:val="none" w:sz="0" w:space="0" w:color="auto"/>
      </w:divBdr>
    </w:div>
    <w:div w:id="1628050179">
      <w:bodyDiv w:val="1"/>
      <w:marLeft w:val="0"/>
      <w:marRight w:val="0"/>
      <w:marTop w:val="0"/>
      <w:marBottom w:val="0"/>
      <w:divBdr>
        <w:top w:val="none" w:sz="0" w:space="0" w:color="auto"/>
        <w:left w:val="none" w:sz="0" w:space="0" w:color="auto"/>
        <w:bottom w:val="none" w:sz="0" w:space="0" w:color="auto"/>
        <w:right w:val="none" w:sz="0" w:space="0" w:color="auto"/>
      </w:divBdr>
    </w:div>
    <w:div w:id="1730302730">
      <w:bodyDiv w:val="1"/>
      <w:marLeft w:val="0"/>
      <w:marRight w:val="0"/>
      <w:marTop w:val="0"/>
      <w:marBottom w:val="0"/>
      <w:divBdr>
        <w:top w:val="none" w:sz="0" w:space="0" w:color="auto"/>
        <w:left w:val="none" w:sz="0" w:space="0" w:color="auto"/>
        <w:bottom w:val="none" w:sz="0" w:space="0" w:color="auto"/>
        <w:right w:val="none" w:sz="0" w:space="0" w:color="auto"/>
      </w:divBdr>
    </w:div>
    <w:div w:id="1749962916">
      <w:bodyDiv w:val="1"/>
      <w:marLeft w:val="0"/>
      <w:marRight w:val="0"/>
      <w:marTop w:val="0"/>
      <w:marBottom w:val="0"/>
      <w:divBdr>
        <w:top w:val="none" w:sz="0" w:space="0" w:color="auto"/>
        <w:left w:val="none" w:sz="0" w:space="0" w:color="auto"/>
        <w:bottom w:val="none" w:sz="0" w:space="0" w:color="auto"/>
        <w:right w:val="none" w:sz="0" w:space="0" w:color="auto"/>
      </w:divBdr>
    </w:div>
    <w:div w:id="1763793179">
      <w:bodyDiv w:val="1"/>
      <w:marLeft w:val="0"/>
      <w:marRight w:val="0"/>
      <w:marTop w:val="0"/>
      <w:marBottom w:val="0"/>
      <w:divBdr>
        <w:top w:val="none" w:sz="0" w:space="0" w:color="auto"/>
        <w:left w:val="none" w:sz="0" w:space="0" w:color="auto"/>
        <w:bottom w:val="none" w:sz="0" w:space="0" w:color="auto"/>
        <w:right w:val="none" w:sz="0" w:space="0" w:color="auto"/>
      </w:divBdr>
    </w:div>
    <w:div w:id="204428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7" ma:contentTypeDescription="Ein neues Dokument erstellen." ma:contentTypeScope="" ma:versionID="c9b3ef95e46f9e764a8a0af178c8810a">
  <xsd:schema xmlns:xsd="http://www.w3.org/2001/XMLSchema" xmlns:xs="http://www.w3.org/2001/XMLSchema" xmlns:p="http://schemas.microsoft.com/office/2006/metadata/properties" xmlns:ns2="3dba4ff7-fcc1-4e26-938b-0e9901329ab6" targetNamespace="http://schemas.microsoft.com/office/2006/metadata/properties" ma:root="true" ma:fieldsID="aa77e531d260b573444bbc34d2c299da" ns2:_="">
    <xsd:import namespace="3dba4ff7-fcc1-4e26-938b-0e9901329a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BF78AB-8ADF-42CC-A0D6-9F9DE06E6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a4ff7-fcc1-4e26-938b-0e990132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9A3434-4928-4AEF-8387-BE564D3BD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ACB238-4F16-44A3-8681-F36BD6E5B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Infoblatt Computerkategorien</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Infoblatt Computerkategorien</dc:title>
  <dc:subject/>
  <dc:creator>stefan@aprath.net</dc:creator>
  <cp:keywords/>
  <cp:lastModifiedBy>Stefan Aprath</cp:lastModifiedBy>
  <cp:revision>101</cp:revision>
  <cp:lastPrinted>2019-09-26T17:47:00Z</cp:lastPrinted>
  <dcterms:created xsi:type="dcterms:W3CDTF">2021-01-17T17:23:00Z</dcterms:created>
  <dcterms:modified xsi:type="dcterms:W3CDTF">2021-01-30T17:28:00Z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