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3864" w:val="clear"/>
            <w:tcMar>
              <w:top w:type="dxa" w:w="200"/>
              <w:left w:type="dxa" w:w="240"/>
              <w:bottom w:type="dxa" w:w="200"/>
              <w:right w:type="dxa" w:w="240"/>
            </w:tcMar>
          </w:tcPr>
          <w:p>
            <w:pPr>
              <w:spacing w:after="80"/>
              <w:jc w:val="center"/>
            </w:pPr>
            <w:r>
              <w:rPr>
                <w:rFonts w:ascii="Arial" w:cs="Arial" w:eastAsia="Arial" w:hAnsi="Arial"/>
                <w:b/>
                <w:bCs/>
                <w:color w:val="FFFFFF"/>
                <w:sz w:val="48"/>
                <w:szCs w:val="48"/>
              </w:rPr>
              <w:t xml:space="preserve">DEEP RESOLVE MRI AI</w:t>
            </w:r>
          </w:p>
          <w:p>
            <w:pPr>
              <w:spacing w:after="80"/>
              <w:jc w:val="center"/>
            </w:pPr>
            <w:r>
              <w:rPr>
                <w:rFonts w:ascii="Arial" w:cs="Arial" w:eastAsia="Arial" w:hAnsi="Arial"/>
                <w:color w:val="BDD7EE"/>
                <w:sz w:val="26"/>
                <w:szCs w:val="26"/>
              </w:rPr>
              <w:t xml:space="preserve">Sedation Time Reduction Research Project</w:t>
            </w:r>
          </w:p>
          <w:p>
            <w:pPr>
              <w:spacing w:after="0"/>
              <w:jc w:val="center"/>
            </w:pPr>
            <w:r>
              <w:rPr>
                <w:rFonts w:ascii="Arial" w:cs="Arial" w:eastAsia="Arial" w:hAnsi="Arial"/>
                <w:color w:val="9DC3E6"/>
                <w:sz w:val="20"/>
                <w:szCs w:val="20"/>
              </w:rPr>
              <w:t xml:space="preserve">Administrator Briefing  |  March 2026</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BACKGROUND &amp; RATIONALE</w:t>
            </w:r>
          </w:p>
        </w:tc>
      </w:tr>
      <w:tr>
        <w:tc>
          <w:tcPr>
            <w:tcW w:type="dxa" w:w="9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80"/>
            </w:pPr>
            <w:r>
              <w:rPr>
                <w:rFonts w:ascii="Arial" w:cs="Arial" w:eastAsia="Arial" w:hAnsi="Arial"/>
                <w:sz w:val="20"/>
                <w:szCs w:val="20"/>
              </w:rPr>
              <w:t xml:space="preserve">Deep Resolve (Siemens Healthineers) is an AI-powered MRI image reconstruction platform that enables significantly faster scan acquisition while maintaining diagnostic image quality. Our clinical hypothesis is that reduced scan times will translate directly to shorter sedation durations for patients who require anesthesia for MRI.</w:t>
            </w:r>
          </w:p>
          <w:p>
            <w:pPr>
              <w:spacing w:after="0"/>
            </w:pPr>
            <w:r>
              <w:rPr>
                <w:rFonts w:ascii="Arial" w:cs="Arial" w:eastAsia="Arial" w:hAnsi="Arial"/>
                <w:b/>
                <w:bCs/>
                <w:sz w:val="20"/>
                <w:szCs w:val="20"/>
              </w:rPr>
              <w:t xml:space="preserve">This study will quantify that benefit, generate peer-reviewable evidence, and inform future technology and resource decisions at our institution.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EEAF1" w:val="clear"/>
            <w:tcMar>
              <w:top w:type="dxa" w:w="140"/>
              <w:left w:type="dxa" w:w="240"/>
              <w:bottom w:type="dxa" w:w="140"/>
              <w:right w:type="dxa" w:w="240"/>
            </w:tcMar>
          </w:tcPr>
          <w:p>
            <w:pPr>
              <w:spacing w:after="60"/>
              <w:jc w:val="center"/>
            </w:pPr>
            <w:r>
              <w:rPr>
                <w:rFonts w:ascii="Arial" w:cs="Arial" w:eastAsia="Arial" w:hAnsi="Arial"/>
                <w:b/>
                <w:bCs/>
                <w:color w:val="2E75B6"/>
                <w:sz w:val="20"/>
                <w:szCs w:val="20"/>
              </w:rPr>
              <w:t xml:space="preserve">PRIMARY RESEARCH QUESTION</w:t>
            </w:r>
          </w:p>
          <w:p>
            <w:pPr>
              <w:spacing w:after="0"/>
              <w:jc w:val="center"/>
            </w:pPr>
            <w:r>
              <w:rPr>
                <w:rFonts w:ascii="Arial" w:cs="Arial" w:eastAsia="Arial" w:hAnsi="Arial"/>
                <w:i/>
                <w:iCs/>
                <w:color w:val="000000"/>
                <w:sz w:val="22"/>
                <w:szCs w:val="22"/>
              </w:rPr>
              <w:t xml:space="preserve">Does implementation of Deep Resolve MRI AI lead to a statistically significant reduction in sedation time (induction to extubation) in patients undergoing sedated MRI at our institution?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STUDY DESIGN AT A GLANCE</w:t>
            </w:r>
          </w:p>
        </w:tc>
      </w:tr>
      <w:tr>
        <w:tc>
          <w:tcPr>
            <w:tcW w:type="dxa" w:w="9360"/>
            <w:tcBorders>
              <w:top w:val="single" w:color="CCCCCC" w:sz="1"/>
              <w:left w:val="single" w:color="CCCCCC" w:sz="1"/>
              <w:bottom w:val="single" w:color="CCCCCC" w:sz="1"/>
              <w:right w:val="single" w:color="CCCCCC" w:sz="1"/>
            </w:tcBorders>
            <w:tcMar>
              <w:top w:type="dxa" w:w="100"/>
              <w:left w:type="dxa" w:w="160"/>
              <w:bottom w:type="dxa" w:w="100"/>
              <w:right w:type="dxa" w:w="16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800"/>
              <w:gridCol w:w="624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Study Design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Retrospective pre/post cohort study</w:t>
                  </w:r>
                </w:p>
              </w:tc>
            </w:tr>
            <w:tr>
              <w:tc>
                <w:tcPr>
                  <w:tcW w:type="dxa" w:w="28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bCs/>
                      <w:sz w:val="18"/>
                      <w:szCs w:val="18"/>
                    </w:rPr>
                    <w:t xml:space="preserve">Patient Population</w:t>
                  </w:r>
                </w:p>
              </w:tc>
              <w:tc>
                <w:tcPr>
                  <w:tcW w:type="dxa" w:w="624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sz w:val="18"/>
                      <w:szCs w:val="18"/>
                    </w:rPr>
                    <w:t xml:space="preserve">Mixed adult and pediatric patients requiring sedation for MRI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Primary Outcome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Sedation duration: time from anesthesia induction to extubation</w:t>
                  </w:r>
                </w:p>
              </w:tc>
            </w:tr>
            <w:tr>
              <w:tc>
                <w:tcPr>
                  <w:tcW w:type="dxa" w:w="28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bCs/>
                      <w:sz w:val="18"/>
                      <w:szCs w:val="18"/>
                    </w:rPr>
                    <w:t xml:space="preserve">Secondary Outcomes</w:t>
                  </w:r>
                </w:p>
              </w:tc>
              <w:tc>
                <w:tcPr>
                  <w:tcW w:type="dxa" w:w="624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sz w:val="18"/>
                      <w:szCs w:val="18"/>
                    </w:rPr>
                    <w:t xml:space="preserve">Total drug doses administered, recovery room time, adverse events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Sedation Monitoring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RASS (Richmond Agitation-Sedation Scale) and Ramsay Scale</w:t>
                  </w:r>
                </w:p>
              </w:tc>
            </w:tr>
            <w:tr>
              <w:tc>
                <w:tcPr>
                  <w:tcW w:type="dxa" w:w="28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bCs/>
                      <w:sz w:val="18"/>
                      <w:szCs w:val="18"/>
                    </w:rPr>
                    <w:t xml:space="preserve">Data Source</w:t>
                  </w:r>
                </w:p>
              </w:tc>
              <w:tc>
                <w:tcPr>
                  <w:tcW w:type="dxa" w:w="624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sz w:val="18"/>
                      <w:szCs w:val="18"/>
                    </w:rPr>
                    <w:t xml:space="preserve">EMR/Epic chart review — Anesthesia encounter records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Comparison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Pre-implementation cohort vs. post-implementation cohort</w:t>
                  </w:r>
                </w:p>
              </w:tc>
            </w:tr>
          </w:tbl>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CURRENT STATUS (March 2026)</w:t>
            </w:r>
          </w:p>
        </w:tc>
      </w:tr>
      <w:tr>
        <w:tc>
          <w:tcPr>
            <w:tcW w:type="dxa" w:w="9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pStyle w:val="ListParagraph"/>
              <w:numPr>
                <w:ilvl w:val="0"/>
                <w:numId w:val="2"/>
              </w:numPr>
              <w:spacing w:after="60"/>
            </w:pPr>
            <w:r>
              <w:rPr>
                <w:rFonts w:ascii="Arial" w:cs="Arial" w:eastAsia="Arial" w:hAnsi="Arial"/>
                <w:sz w:val="20"/>
                <w:szCs w:val="20"/>
              </w:rPr>
              <w:t xml:space="preserve">Literature review initiated; baseline sedation benchmarking document received and reviewed from Siemens Healthineers</w:t>
            </w:r>
          </w:p>
          <w:p>
            <w:pPr>
              <w:pStyle w:val="ListParagraph"/>
              <w:numPr>
                <w:ilvl w:val="0"/>
                <w:numId w:val="2"/>
              </w:numPr>
              <w:spacing w:after="60"/>
            </w:pPr>
            <w:r>
              <w:rPr>
                <w:rFonts w:ascii="Arial" w:cs="Arial" w:eastAsia="Arial" w:hAnsi="Arial"/>
                <w:sz w:val="20"/>
                <w:szCs w:val="20"/>
              </w:rPr>
              <w:t xml:space="preserve">Initial institutional chart review sample validated (3 cases reviewed to confirm data availability and methodology)</w:t>
            </w:r>
          </w:p>
          <w:p>
            <w:pPr>
              <w:pStyle w:val="ListParagraph"/>
              <w:numPr>
                <w:ilvl w:val="0"/>
                <w:numId w:val="2"/>
              </w:numPr>
              <w:spacing w:after="60"/>
            </w:pPr>
            <w:r>
              <w:rPr>
                <w:rFonts w:ascii="Arial" w:cs="Arial" w:eastAsia="Arial" w:hAnsi="Arial"/>
                <w:sz w:val="20"/>
                <w:szCs w:val="20"/>
              </w:rPr>
              <w:t xml:space="preserve">Manufacturer follow-up questions addressed: study design, patient population (mixed adult/pediatric), and sedation scale confirmed</w:t>
            </w:r>
          </w:p>
          <w:p>
            <w:pPr>
              <w:pStyle w:val="ListParagraph"/>
              <w:numPr>
                <w:ilvl w:val="0"/>
                <w:numId w:val="2"/>
              </w:numPr>
              <w:spacing w:after="0"/>
            </w:pPr>
            <w:r>
              <w:rPr>
                <w:rFonts w:ascii="Arial" w:cs="Arial" w:eastAsia="Arial" w:hAnsi="Arial"/>
                <w:sz w:val="20"/>
                <w:szCs w:val="20"/>
              </w:rPr>
              <w:t xml:space="preserve">Step-by-step research project plan drafted; team responsibilities and timeline under development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NEXT STEPS &amp; PROJECTED TIMELINE</w:t>
            </w:r>
          </w:p>
        </w:tc>
      </w:tr>
      <w:tr>
        <w:tc>
          <w:tcPr>
            <w:tcW w:type="dxa" w:w="9360"/>
            <w:tcBorders>
              <w:top w:val="single" w:color="CCCCCC" w:sz="1"/>
              <w:left w:val="single" w:color="CCCCCC" w:sz="1"/>
              <w:bottom w:val="single" w:color="CCCCCC" w:sz="1"/>
              <w:right w:val="single" w:color="CCCCCC" w:sz="1"/>
            </w:tcBorders>
            <w:tcMar>
              <w:top w:type="dxa" w:w="100"/>
              <w:left w:type="dxa" w:w="160"/>
              <w:bottom w:type="dxa" w:w="100"/>
              <w:right w:type="dxa" w:w="16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14"/>
            </w:tblGrid>
            <w:tr>
              <w:tc>
                <w:tcPr>
                  <w:tcW w:type="dxa" w:w="3013"/>
                  <w:tcBorders>
                    <w:top w:val="nil" w:color="FFFFFF" w:sz="0"/>
                    <w:left w:val="nil" w:color="FFFFFF" w:sz="0"/>
                    <w:bottom w:val="nil" w:color="FFFFFF" w:sz="0"/>
                    <w:right w:val="nil"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Q2 2026</w:t>
                  </w:r>
                </w:p>
              </w:tc>
              <w:tc>
                <w:tcPr>
                  <w:tcW w:type="dxa" w:w="3013"/>
                  <w:tcBorders>
                    <w:top w:val="nil" w:color="FFFFFF" w:sz="0"/>
                    <w:left w:val="nil" w:color="FFFFFF" w:sz="0"/>
                    <w:bottom w:val="nil" w:color="FFFFFF" w:sz="0"/>
                    <w:right w:val="nil" w:color="FFFFFF" w:sz="0"/>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Q3 2026</w:t>
                  </w:r>
                </w:p>
              </w:tc>
              <w:tc>
                <w:tcPr>
                  <w:tcW w:type="dxa" w:w="3014"/>
                  <w:tcBorders>
                    <w:top w:val="nil" w:color="FFFFFF" w:sz="0"/>
                    <w:left w:val="nil" w:color="FFFFFF" w:sz="0"/>
                    <w:bottom w:val="nil" w:color="FFFFFF" w:sz="0"/>
                    <w:right w:val="nil" w:color="FFFFFF" w:sz="0"/>
                  </w:tcBorders>
                  <w:shd w:fill="41719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Q4 2026</w:t>
                  </w:r>
                </w:p>
              </w:tc>
            </w:tr>
            <w:tr>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sz w:val="18"/>
                      <w:szCs w:val="18"/>
                    </w:rPr>
                    <w:t xml:space="preserve">- IRB application submission</w:t>
                  </w:r>
                </w:p>
                <w:p>
                  <w:pPr>
                    <w:spacing w:after="40"/>
                  </w:pPr>
                  <w:r>
                    <w:rPr>
                      <w:rFonts w:ascii="Arial" w:cs="Arial" w:eastAsia="Arial" w:hAnsi="Arial"/>
                      <w:sz w:val="18"/>
                      <w:szCs w:val="18"/>
                    </w:rPr>
                    <w:t xml:space="preserve">- Full literature review completion</w:t>
                  </w:r>
                </w:p>
                <w:p>
                  <w:pPr>
                    <w:spacing w:after="0"/>
                  </w:pPr>
                  <w:r>
                    <w:rPr>
                      <w:rFonts w:ascii="Arial" w:cs="Arial" w:eastAsia="Arial" w:hAnsi="Arial"/>
                      <w:sz w:val="18"/>
                      <w:szCs w:val="18"/>
                    </w:rPr>
                    <w:t xml:space="preserve">- Pre-implementation data pull</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sz w:val="18"/>
                      <w:szCs w:val="18"/>
                    </w:rPr>
                    <w:t xml:space="preserve">- Deep Resolve implementation</w:t>
                  </w:r>
                </w:p>
                <w:p>
                  <w:pPr>
                    <w:spacing w:after="40"/>
                  </w:pPr>
                  <w:r>
                    <w:rPr>
                      <w:rFonts w:ascii="Arial" w:cs="Arial" w:eastAsia="Arial" w:hAnsi="Arial"/>
                      <w:sz w:val="18"/>
                      <w:szCs w:val="18"/>
                    </w:rPr>
                    <w:t xml:space="preserve">- Post-implementation data collection begins</w:t>
                  </w:r>
                </w:p>
                <w:p>
                  <w:pPr>
                    <w:spacing w:after="0"/>
                  </w:pPr>
                  <w:r>
                    <w:rPr>
                      <w:rFonts w:ascii="Arial" w:cs="Arial" w:eastAsia="Arial" w:hAnsi="Arial"/>
                      <w:sz w:val="18"/>
                      <w:szCs w:val="18"/>
                    </w:rPr>
                    <w:t xml:space="preserve">- Interim analysis &amp; safety review</w:t>
                  </w:r>
                </w:p>
              </w:tc>
              <w:tc>
                <w:tcPr>
                  <w:tcW w:type="dxa" w:w="301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sz w:val="18"/>
                      <w:szCs w:val="18"/>
                    </w:rPr>
                    <w:t xml:space="preserve">- Final data analysis</w:t>
                  </w:r>
                </w:p>
                <w:p>
                  <w:pPr>
                    <w:spacing w:after="40"/>
                  </w:pPr>
                  <w:r>
                    <w:rPr>
                      <w:rFonts w:ascii="Arial" w:cs="Arial" w:eastAsia="Arial" w:hAnsi="Arial"/>
                      <w:sz w:val="18"/>
                      <w:szCs w:val="18"/>
                    </w:rPr>
                    <w:t xml:space="preserve">- Manuscript preparation</w:t>
                  </w:r>
                </w:p>
                <w:p>
                  <w:pPr>
                    <w:spacing w:after="0"/>
                  </w:pPr>
                  <w:r>
                    <w:rPr>
                      <w:rFonts w:ascii="Arial" w:cs="Arial" w:eastAsia="Arial" w:hAnsi="Arial"/>
                      <w:sz w:val="18"/>
                      <w:szCs w:val="18"/>
                    </w:rPr>
                    <w:t xml:space="preserve">- Submission for publication</w:t>
                  </w:r>
                </w:p>
              </w:tc>
            </w:tr>
          </w:tbl>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EEAF1" w:val="clear"/>
            <w:tcMar>
              <w:top w:type="dxa" w:w="140"/>
              <w:left w:type="dxa" w:w="240"/>
              <w:bottom w:type="dxa" w:w="140"/>
              <w:right w:type="dxa" w:w="240"/>
            </w:tcMar>
          </w:tcPr>
          <w:p>
            <w:pPr>
              <w:spacing w:after="80"/>
            </w:pPr>
            <w:r>
              <w:rPr>
                <w:rFonts w:ascii="Arial" w:cs="Arial" w:eastAsia="Arial" w:hAnsi="Arial"/>
                <w:b/>
                <w:bCs/>
                <w:color w:val="2E75B6"/>
                <w:sz w:val="20"/>
                <w:szCs w:val="20"/>
              </w:rPr>
              <w:t xml:space="preserve">EXPECTED PATIENT &amp; INSTITUTIONAL IMPACT</w:t>
            </w:r>
          </w:p>
          <w:p>
            <w:pPr>
              <w:spacing w:after="60"/>
            </w:pPr>
            <w:r>
              <w:rPr>
                <w:rFonts w:ascii="Arial" w:cs="Arial" w:eastAsia="Arial" w:hAnsi="Arial"/>
                <w:sz w:val="19"/>
                <w:szCs w:val="19"/>
              </w:rPr>
              <w:t xml:space="preserve">Shorter sedation durations directly reduce anesthetic risk, improve MRI scanner throughput, lower recovery room resource utilization, and decrease overall procedure cost. For pediatric patients in particular, reduced scan time can meaningfully lower cumulative anesthetic exposure.</w:t>
            </w:r>
          </w:p>
          <w:p>
            <w:pPr>
              <w:spacing w:after="0"/>
            </w:pPr>
            <w:r>
              <w:rPr>
                <w:rFonts w:ascii="Arial" w:cs="Arial" w:eastAsia="Arial" w:hAnsi="Arial"/>
                <w:b/>
                <w:bCs/>
                <w:sz w:val="19"/>
                <w:szCs w:val="19"/>
              </w:rPr>
              <w:t xml:space="preserve">This study will generate the first institution-specific evidence for this benefit, contributing to the published literature and supporting future technology procurement decisions.</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2026-03-08T17:28:21.416Z</dcterms:created>
  <dcterms:modified xsi:type="dcterms:W3CDTF">2026-03-08T17:28:21.416Z</dcterms:modified>
</cp:coreProperties>
</file>

<file path=docProps/custom.xml><?xml version="1.0" encoding="utf-8"?>
<Properties xmlns="http://schemas.openxmlformats.org/officeDocument/2006/custom-properties" xmlns:vt="http://schemas.openxmlformats.org/officeDocument/2006/docPropsVTypes"/>
</file>