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Video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 your Canvas course go to Settings and Navigation.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881563" cy="2889454"/>
            <wp:effectExtent b="38100" l="38100" r="38100" t="381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2889454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Any items you want students to see you will drag to the top portion of the navigation. They will appear in the order you see.  </w:t>
      </w:r>
      <w:r w:rsidDel="00000000" w:rsidR="00000000" w:rsidRPr="00000000">
        <w:rPr>
          <w:color w:val="0000ff"/>
          <w:rtl w:val="0"/>
        </w:rPr>
        <w:t xml:space="preserve">Things you absolutely want to include:  Modules, Announcements, McGraw-Hill (or TCI), People (when using groups), Edulastic and Grade Sync (Students will not see Grade Sync, but you will want access to it.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goal is to only have navigation for the items students will use on a regular basis...less is more!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Anything  below “Drag items here to hide them from students” will not appear in the student navigation.  </w:t>
      </w:r>
      <w:r w:rsidDel="00000000" w:rsidR="00000000" w:rsidRPr="00000000">
        <w:rPr>
          <w:color w:val="ff0000"/>
          <w:rtl w:val="0"/>
        </w:rPr>
        <w:t xml:space="preserve">You should plan on hiding Assignments and Quizzes as students will access these through the Modules, leaving them in the navigation will cause confusion for the students.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When you have organized the Navigation don’t forget to scroll to the bottom of the page and click on the Save button.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379000</wp:posOffset>
            </wp:positionV>
            <wp:extent cx="3671888" cy="2306235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2306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jc w:val="center"/>
      <w:rPr>
        <w:b w:val="1"/>
        <w:bCs w:val="1"/>
        <w:sz w:val="38"/>
        <w:szCs w:val="38"/>
      </w:rPr>
    </w:pPr>
    <w:r w:rsidDel="00000000" w:rsidR="00000000" w:rsidRPr="00000000">
      <w:rPr>
        <w:b w:val="1"/>
        <w:bCs w:val="1"/>
        <w:sz w:val="38"/>
        <w:szCs w:val="38"/>
        <w:rtl w:val="0"/>
      </w:rPr>
      <w:t xml:space="preserve">Organize Blue Navigation Links in Canvas</w:t>
    </w:r>
  </w:p>
  <w:p w:rsidR="00000000" w:rsidDel="00000000" w:rsidP="00000000" w:rsidRDefault="00000000" w:rsidRPr="00000000" w14:paraId="0000000F">
    <w:pPr>
      <w:jc w:val="center"/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temecula.instructure.com/courses/20260/modules/items/1042138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