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 w:line="360" w:lineRule="auto"/>
        <w:jc w:val="center"/>
      </w:pPr>
      <w:r>
        <w:rPr>
          <w:rFonts w:ascii="Calibri" w:cs="Calibri" w:eastAsia="Calibri" w:hAnsi="Calibri"/>
          <w:b w:val="false"/>
          <w:bCs w:val="false"/>
          <w:i w:val="false"/>
          <w:iCs w:val="false"/>
          <w:strike w:val="false"/>
          <w:color w:val="2B5797"/>
          <w:sz w:val="28"/>
          <w:szCs w:val="28"/>
        </w:rPr>
        <w:t xml:space="preserve">WORKING COMPLIANCE REFERENCE DOCUMENT</w:t>
      </w:r>
    </w:p>
    <w:p>
      <w:pPr>
        <w:spacing w:after="240" w:before="60" w:line="288" w:lineRule="auto"/>
        <w:jc w:val="center"/>
      </w:pPr>
      <w:r>
        <w:rPr>
          <w:rFonts w:ascii="Calibri" w:cs="Calibri" w:eastAsia="Calibri" w:hAnsi="Calibri"/>
          <w:b/>
          <w:bCs/>
          <w:i w:val="false"/>
          <w:iCs w:val="false"/>
          <w:strike w:val="false"/>
          <w:color w:val="1A1A1A"/>
          <w:sz w:val="56"/>
          <w:szCs w:val="56"/>
        </w:rPr>
        <w:t xml:space="preserve">Website Compliance Checklist</w:t>
      </w:r>
      <w:r>
        <w:rPr>
          <w:rFonts w:ascii="Calibri" w:cs="Calibri" w:eastAsia="Calibri" w:hAnsi="Calibri"/>
          <w:b/>
          <w:bCs/>
          <w:i w:val="false"/>
          <w:iCs w:val="false"/>
          <w:color w:val="1A1A1A"/>
          <w:sz w:val="56"/>
          <w:szCs w:val="56"/>
        </w:rPr>
        <w:br/>
      </w:r>
      <w:r>
        <w:rPr>
          <w:rFonts w:ascii="Calibri" w:cs="Calibri" w:eastAsia="Calibri" w:hAnsi="Calibri"/>
          <w:b/>
          <w:bCs/>
          <w:i w:val="false"/>
          <w:iCs w:val="false"/>
          <w:strike w:val="false"/>
          <w:color w:val="1A1A1A"/>
          <w:sz w:val="56"/>
          <w:szCs w:val="56"/>
        </w:rPr>
        <w:t xml:space="preserve">Global Standards</w:t>
      </w:r>
    </w:p>
    <w:p>
      <w:pPr>
        <w:pBdr>
          <w:bottom w:val="single" w:color="000000" w:sz="6"/>
        </w:pBdr>
        <w:spacing w:after="240" w:before="24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Prepared for:</w:t>
      </w:r>
      <w:r>
        <w:rPr>
          <w:rFonts w:ascii="Calibri" w:cs="Calibri" w:eastAsia="Calibri" w:hAnsi="Calibri"/>
          <w:b w:val="false"/>
          <w:bCs w:val="false"/>
          <w:i w:val="false"/>
          <w:iCs w:val="false"/>
          <w:strike w:val="false"/>
          <w:color w:val="333333"/>
          <w:sz w:val="24"/>
          <w:szCs w:val="24"/>
        </w:rPr>
        <w:t xml:space="preserve"> [Business Name]</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Business Location:</w:t>
      </w:r>
      <w:r>
        <w:rPr>
          <w:rFonts w:ascii="Calibri" w:cs="Calibri" w:eastAsia="Calibri" w:hAnsi="Calibri"/>
          <w:b w:val="false"/>
          <w:bCs w:val="false"/>
          <w:i w:val="false"/>
          <w:iCs w:val="false"/>
          <w:strike w:val="false"/>
          <w:color w:val="333333"/>
          <w:sz w:val="24"/>
          <w:szCs w:val="24"/>
        </w:rPr>
        <w:t xml:space="preserve"> Port Orchard, Washington, USA</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Business Type:</w:t>
      </w:r>
      <w:r>
        <w:rPr>
          <w:rFonts w:ascii="Calibri" w:cs="Calibri" w:eastAsia="Calibri" w:hAnsi="Calibri"/>
          <w:b w:val="false"/>
          <w:bCs w:val="false"/>
          <w:i w:val="false"/>
          <w:iCs w:val="false"/>
          <w:strike w:val="false"/>
          <w:color w:val="333333"/>
          <w:sz w:val="24"/>
          <w:szCs w:val="24"/>
        </w:rPr>
        <w:t xml:space="preserve"> Software Engineering · Cybersecurity Education · IT Consulting</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Website Reach:</w:t>
      </w:r>
      <w:r>
        <w:rPr>
          <w:rFonts w:ascii="Calibri" w:cs="Calibri" w:eastAsia="Calibri" w:hAnsi="Calibri"/>
          <w:b w:val="false"/>
          <w:bCs w:val="false"/>
          <w:i w:val="false"/>
          <w:iCs w:val="false"/>
          <w:strike w:val="false"/>
          <w:color w:val="333333"/>
          <w:sz w:val="24"/>
          <w:szCs w:val="24"/>
        </w:rPr>
        <w:t xml:space="preserve"> Globally Accessible</w:t>
      </w:r>
    </w:p>
    <w:p>
      <w:pPr>
        <w:pBdr>
          <w:bottom w:val="single" w:color="000000" w:sz="6"/>
        </w:pBdr>
        <w:spacing w:after="240" w:before="240"/>
      </w:pPr>
    </w:p>
    <w:p>
      <w:pPr>
        <w:spacing w:after="120" w:before="400" w:line="360" w:lineRule="auto"/>
        <w:jc w:val="center"/>
      </w:pPr>
      <w:r>
        <w:rPr>
          <w:rFonts w:ascii="Calibri" w:cs="Calibri" w:eastAsia="Calibri" w:hAnsi="Calibri"/>
          <w:b/>
          <w:bCs/>
          <w:i w:val="false"/>
          <w:iCs w:val="false"/>
          <w:strike w:val="false"/>
          <w:color w:val="000000"/>
          <w:sz w:val="22"/>
          <w:szCs w:val="22"/>
        </w:rPr>
        <w:t xml:space="preserve">Effective Date:</w:t>
      </w:r>
      <w:r>
        <w:rPr>
          <w:rFonts w:ascii="Calibri" w:cs="Calibri" w:eastAsia="Calibri" w:hAnsi="Calibri"/>
          <w:b w:val="false"/>
          <w:bCs w:val="false"/>
          <w:i w:val="false"/>
          <w:iCs w:val="false"/>
          <w:strike w:val="false"/>
          <w:color w:val="555555"/>
          <w:sz w:val="24"/>
          <w:szCs w:val="24"/>
        </w:rPr>
        <w:t xml:space="preserve"> July 22, 2026</w:t>
      </w:r>
    </w:p>
    <w:p>
      <w:pPr>
        <w:spacing w:after="120" w:before="400" w:line="360" w:lineRule="auto"/>
        <w:jc w:val="center"/>
      </w:pPr>
      <w:r>
        <w:rPr>
          <w:rFonts w:ascii="Calibri" w:cs="Calibri" w:eastAsia="Calibri" w:hAnsi="Calibri"/>
          <w:b/>
          <w:bCs/>
          <w:i w:val="false"/>
          <w:iCs w:val="false"/>
          <w:strike w:val="false"/>
          <w:color w:val="000000"/>
          <w:sz w:val="22"/>
          <w:szCs w:val="22"/>
        </w:rPr>
        <w:t xml:space="preserve">Document Version:</w:t>
      </w:r>
      <w:r>
        <w:rPr>
          <w:rFonts w:ascii="Calibri" w:cs="Calibri" w:eastAsia="Calibri" w:hAnsi="Calibri"/>
          <w:b w:val="false"/>
          <w:bCs w:val="false"/>
          <w:i w:val="false"/>
          <w:iCs w:val="false"/>
          <w:strike w:val="false"/>
          <w:color w:val="555555"/>
          <w:sz w:val="24"/>
          <w:szCs w:val="24"/>
        </w:rPr>
        <w:t xml:space="preserve"> 1.0</w:t>
      </w:r>
    </w:p>
    <w:p>
      <w:pPr>
        <w:spacing w:after="120" w:before="400" w:line="360" w:lineRule="auto"/>
        <w:jc w:val="center"/>
      </w:pPr>
      <w:r>
        <w:rPr>
          <w:rFonts w:ascii="Calibri" w:cs="Calibri" w:eastAsia="Calibri" w:hAnsi="Calibri"/>
          <w:b/>
          <w:bCs/>
          <w:i w:val="false"/>
          <w:iCs w:val="false"/>
          <w:strike w:val="false"/>
          <w:color w:val="000000"/>
          <w:sz w:val="22"/>
          <w:szCs w:val="22"/>
        </w:rPr>
        <w:t xml:space="preserve">Review Frequency:</w:t>
      </w:r>
      <w:r>
        <w:rPr>
          <w:rFonts w:ascii="Calibri" w:cs="Calibri" w:eastAsia="Calibri" w:hAnsi="Calibri"/>
          <w:b w:val="false"/>
          <w:bCs w:val="false"/>
          <w:i w:val="false"/>
          <w:iCs w:val="false"/>
          <w:strike w:val="false"/>
          <w:color w:val="555555"/>
          <w:sz w:val="24"/>
          <w:szCs w:val="24"/>
        </w:rPr>
        <w:t xml:space="preserve"> At Minimum Annually</w:t>
      </w:r>
    </w:p>
    <w:p>
      <w:pPr>
        <w:spacing w:after="120" w:before="800" w:line="360" w:lineRule="auto"/>
        <w:jc w:val="center"/>
      </w:pPr>
      <w:r>
        <w:rPr>
          <w:rFonts w:ascii="Calibri" w:cs="Calibri" w:eastAsia="Calibri" w:hAnsi="Calibri"/>
          <w:b w:val="false"/>
          <w:bCs w:val="false"/>
          <w:i w:val="false"/>
          <w:iCs w:val="false"/>
          <w:strike w:val="false"/>
          <w:color w:val="888888"/>
          <w:sz w:val="18"/>
          <w:szCs w:val="18"/>
        </w:rPr>
        <w:t xml:space="preserve">This document is a self-assessment tool only and does not constitute legal advice.</w:t>
      </w:r>
      <w:r>
        <w:rPr>
          <w:rFonts w:ascii="Calibri" w:cs="Calibri" w:eastAsia="Calibri" w:hAnsi="Calibri"/>
          <w:b w:val="false"/>
          <w:bCs w:val="false"/>
          <w:i w:val="false"/>
          <w:iCs w:val="false"/>
          <w:color w:val="888888"/>
          <w:sz w:val="18"/>
          <w:szCs w:val="18"/>
        </w:rPr>
        <w:br/>
      </w:r>
      <w:r>
        <w:rPr>
          <w:rFonts w:ascii="Calibri" w:cs="Calibri" w:eastAsia="Calibri" w:hAnsi="Calibri"/>
          <w:b w:val="false"/>
          <w:bCs w:val="false"/>
          <w:i w:val="false"/>
          <w:iCs w:val="false"/>
          <w:strike w:val="false"/>
          <w:color w:val="888888"/>
          <w:sz w:val="18"/>
          <w:szCs w:val="18"/>
        </w:rPr>
        <w:t xml:space="preserve">Consult a qualified attorney for guidance specific to your situation.</w:t>
      </w: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4"/>
          <w:szCs w:val="44"/>
        </w:rPr>
        <w:t xml:space="preserve">Introduction &amp; How to Use This Document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checklist is a practical, plain-English compliance reference for </w:t>
      </w:r>
      <w:r>
        <w:rPr>
          <w:rFonts w:ascii="Calibri" w:cs="Calibri" w:eastAsia="Calibri" w:hAnsi="Calibri"/>
          <w:b/>
          <w:bCs/>
          <w:i w:val="false"/>
          <w:iCs w:val="false"/>
          <w:strike w:val="false"/>
          <w:color w:val="000000"/>
          <w:sz w:val="22"/>
          <w:szCs w:val="22"/>
        </w:rPr>
        <w:t xml:space="preserve">[Business Name]</w:t>
      </w:r>
      <w:r>
        <w:rPr>
          <w:rFonts w:ascii="Calibri" w:cs="Calibri" w:eastAsia="Calibri" w:hAnsi="Calibri"/>
          <w:b w:val="false"/>
          <w:bCs w:val="false"/>
          <w:i w:val="false"/>
          <w:iCs w:val="false"/>
          <w:strike w:val="false"/>
          <w:color w:val="000000"/>
          <w:sz w:val="22"/>
          <w:szCs w:val="22"/>
        </w:rPr>
        <w:t xml:space="preserve">, a home-based technology business operating in Port Orchard, Washington, offering software engineering services, cybersecurity education, and IT consulting. Because the website is publicly accessible worldwide, it may attract visitors from the European Union, United Kingdom, Brazil, Canada, Australia, and other jurisdictions — each with its own data protection and privacy requirements.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is designed to be used as an </w:t>
      </w:r>
      <w:r>
        <w:rPr>
          <w:rFonts w:ascii="Calibri" w:cs="Calibri" w:eastAsia="Calibri" w:hAnsi="Calibri"/>
          <w:b/>
          <w:bCs/>
          <w:i w:val="false"/>
          <w:iCs w:val="false"/>
          <w:strike w:val="false"/>
          <w:color w:val="000000"/>
          <w:sz w:val="22"/>
          <w:szCs w:val="22"/>
        </w:rPr>
        <w:t xml:space="preserve">ongoing working reference</w:t>
      </w:r>
      <w:r>
        <w:rPr>
          <w:rFonts w:ascii="Calibri" w:cs="Calibri" w:eastAsia="Calibri" w:hAnsi="Calibri"/>
          <w:b w:val="false"/>
          <w:bCs w:val="false"/>
          <w:i w:val="false"/>
          <w:iCs w:val="false"/>
          <w:strike w:val="false"/>
          <w:color w:val="000000"/>
          <w:sz w:val="22"/>
          <w:szCs w:val="22"/>
        </w:rPr>
        <w:t xml:space="preserve">. Work through each section, check off items as they are completed, and update Status Notes as circumstances change. Not every regulation listed will apply at full force to a small home-based operator, but each section explains applicability so you can make an informed, documented decision.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180"/>
              <w:bottom w:type="dxa" w:w="150"/>
              <w:right w:type="dxa" w:w="180"/>
            </w:tcMar>
          </w:tcPr>
          <w:p>
            <w:pPr>
              <w:spacing w:after="120" w:line="408" w:lineRule="auto"/>
            </w:pPr>
            <w:r>
              <w:t xml:space="preserve">How to Use:</w:t>
            </w:r>
          </w:p>
          <w:p>
            <w:pPr>
              <w:spacing w:after="120" w:line="408" w:lineRule="auto"/>
            </w:pPr>
            <w:r>
              <w:t xml:space="preserve">For each checklist item, mark the ☐ checkbox as ☑ when complete. Update the</w:t>
            </w:r>
          </w:p>
          <w:p>
            <w:pPr>
              <w:spacing w:after="120" w:line="408" w:lineRule="auto"/>
            </w:pPr>
            <w:r>
              <w:t xml:space="preserve">Status / Notes</w:t>
            </w:r>
          </w:p>
          <w:p>
            <w:pPr>
              <w:spacing w:after="120" w:line="408" w:lineRule="auto"/>
            </w:pPr>
            <w:r>
              <w:t xml:space="preserve">column with dates, links to relevant documents, vendor names, or reasons for non-applicability. Use the Master Implementation Tracker (Section 10) to maintain a bird's-eye view of overall compliance status.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150"/>
              <w:left w:type="dxa" w:w="180"/>
              <w:bottom w:type="dxa" w:w="150"/>
              <w:right w:type="dxa" w:w="180"/>
            </w:tcMar>
          </w:tcPr>
          <w:p>
            <w:pPr>
              <w:spacing w:after="120" w:line="408" w:lineRule="auto"/>
            </w:pPr>
            <w:r>
              <w:t xml:space="preserve">Important Legal Notice:</w:t>
            </w:r>
          </w:p>
          <w:p>
            <w:pPr>
              <w:spacing w:after="120" w:line="408" w:lineRule="auto"/>
            </w:pPr>
            <w:r>
              <w:t xml:space="preserve">This checklist is a self-assessment tool prepared as of</w:t>
            </w:r>
          </w:p>
          <w:p>
            <w:pPr>
              <w:spacing w:after="120" w:line="408" w:lineRule="auto"/>
            </w:pPr>
            <w:r>
              <w:t xml:space="preserve">July 22, 2026</w:t>
            </w:r>
          </w:p>
          <w:p>
            <w:pPr>
              <w:spacing w:after="120" w:line="408" w:lineRule="auto"/>
            </w:pPr>
            <w:r>
              <w:t xml:space="preserve">. Privacy and data protection laws change frequently. This document does not constitute legal advice. Always consult a qualified attorney or data privacy professional for advice specific to your business and situation.</w:t>
            </w:r>
          </w:p>
        </w:tc>
      </w:tr>
    </w:tbl>
    <w:p>
      <w:pPr>
        <w:spacing w:after="240" w:before="0"/>
      </w:pPr>
    </w:p>
    <w:p>
      <w:pPr>
        <w:pStyle w:val="Heading1"/>
        <w:spacing w:after="120" w:before="480" w:line="312" w:lineRule="auto"/>
      </w:pPr>
      <w:r>
        <w:rPr>
          <w:rFonts w:ascii="Calibri" w:cs="Calibri" w:eastAsia="Calibri" w:hAnsi="Calibri"/>
          <w:color w:val="1A1A1A"/>
          <w:sz w:val="44"/>
          <w:szCs w:val="44"/>
        </w:rPr>
        <w:t xml:space="preserve">Table of Contents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Section 1</w:t>
            </w:r>
          </w:p>
        </w:tc>
        <w:tc>
          <w:tcPr>
            <w:tcW w:type="pct" w:w="81%"/>
            <w:tcMar>
              <w:top w:type="dxa" w:w="75"/>
              <w:left w:type="dxa" w:w="105"/>
              <w:bottom w:type="dxa" w:w="75"/>
              <w:right w:type="dxa" w:w="105"/>
            </w:tcMar>
          </w:tcPr>
          <w:p>
            <w:r>
              <w:rPr>
                <w:rFonts w:ascii="Calibri" w:cs="Calibri" w:eastAsia="Calibri" w:hAnsi="Calibri"/>
                <w:b/>
                <w:bCs/>
                <w:i w:val="false"/>
                <w:iCs w:val="false"/>
                <w:strike w:val="false"/>
                <w:color w:val="000000"/>
                <w:sz w:val="21"/>
                <w:szCs w:val="21"/>
              </w:rPr>
              <w:t xml:space="preserve">GDPR — EU / EEA General Data Protection Regulation</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Section 2</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1"/>
                <w:szCs w:val="21"/>
              </w:rPr>
              <w:t xml:space="preserve">UK GDPR</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Section 3</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1"/>
                <w:szCs w:val="21"/>
              </w:rPr>
              <w:t xml:space="preserve">CCPA / CPRA — California Consumer Privacy Act</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Section 4</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1"/>
                <w:szCs w:val="21"/>
              </w:rPr>
              <w:t xml:space="preserve">Washington State Privacy Laws (WA Privacy Act + My Health MY Data Act)</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Section 5</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1"/>
                <w:szCs w:val="21"/>
              </w:rPr>
              <w:t xml:space="preserve">LGPD — Brazil Lei Geral de Proteção de Dados</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Section 6</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1"/>
                <w:szCs w:val="21"/>
              </w:rPr>
              <w:t xml:space="preserve">PIPEDA / Quebec Law 25 — Canada</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Section 7</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1"/>
                <w:szCs w:val="21"/>
              </w:rPr>
              <w:t xml:space="preserve">Australia Privacy Act / Australian Privacy Principles (APPs)</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Section 8</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1"/>
                <w:szCs w:val="21"/>
              </w:rPr>
              <w:t xml:space="preserve">General International &amp; Technical Compliance</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Section 9</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1"/>
                <w:szCs w:val="21"/>
              </w:rPr>
              <w:t xml:space="preserve">Cybersecurity-Specific Compliance</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Section 10</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1"/>
                <w:szCs w:val="21"/>
              </w:rPr>
              <w:t xml:space="preserve">Master Implementation Tracker (Summary)</w:t>
            </w:r>
          </w:p>
        </w:tc>
      </w:tr>
    </w:tbl>
    <w:p>
      <w:pPr>
        <w:spacing w:after="200" w:before="0"/>
      </w:pPr>
    </w:p>
    <w:p>
      <w:pPr>
        <w:spacing w:after="240" w:line="408" w:lineRule="auto"/>
      </w:pPr>
      <w:r>
        <w:rPr>
          <w:b w:val="false"/>
          <w:bCs w:val="false"/>
          <w:i w:val="false"/>
          <w:iCs w:val="false"/>
          <w:color w:val="FFFFFF"/>
          <w:shd w:fill="2B5797" w:color="auto" w:val="clear"/>
        </w:rPr>
        <w:t xml:space="preserve">SECTION 1</w:t>
      </w:r>
    </w:p>
    <w:p>
      <w:pPr>
        <w:pStyle w:val="Heading1"/>
        <w:spacing w:after="120" w:before="480" w:line="312" w:lineRule="auto"/>
      </w:pPr>
      <w:r>
        <w:rPr>
          <w:rFonts w:ascii="Calibri" w:cs="Calibri" w:eastAsia="Calibri" w:hAnsi="Calibri"/>
          <w:color w:val="1A1A1A"/>
          <w:sz w:val="44"/>
          <w:szCs w:val="44"/>
        </w:rPr>
        <w:t xml:space="preserve">GDPR — EU / EEA General Data Protection Regulation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00"/>
              <w:bottom w:type="dxa" w:w="120"/>
              <w:right w:type="dxa" w:w="200"/>
            </w:tcMar>
          </w:tcPr>
          <w:p>
            <w:pPr>
              <w:spacing w:after="120" w:line="408" w:lineRule="auto"/>
            </w:pPr>
            <w:r>
              <w:t xml:space="preserve">Applicability:</w:t>
            </w:r>
          </w:p>
          <w:p>
            <w:pPr>
              <w:spacing w:after="120" w:line="408" w:lineRule="auto"/>
            </w:pPr>
            <w:r>
              <w:t xml:space="preserve">The GDPR applies to any organization that offers goods or services to, or monitors the behavior of, individuals in the EU/EEA — regardless of where the business is located. If your website is accessible to EU users and you collect any personal data (contact form submissions, analytics, etc.), GDPR likely applies. Non-compliance carries significant penalties (up to €20 million or 4% of global turnover). Small operators are not automatically exempt.</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3A5C"/>
                <w:sz w:val="20"/>
                <w:szCs w:val="20"/>
              </w:rPr>
              <w:t xml:space="preserve">☐</w:t>
            </w:r>
          </w:p>
        </w:tc>
        <w:tc>
          <w:tcPr>
            <w:tcW w:type="pct" w:w="7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3A5C"/>
                <w:sz w:val="20"/>
                <w:szCs w:val="20"/>
              </w:rPr>
              <w:t xml:space="preserve">Requirement / Action Item</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3A5C"/>
                <w:sz w:val="20"/>
                <w:szCs w:val="20"/>
              </w:rPr>
              <w:t xml:space="preserve">Status / Notes</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3A5C"/>
                <w:sz w:val="20"/>
                <w:szCs w:val="20"/>
              </w:rPr>
              <w:t xml:space="preserve">Priority</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Lawful basis identified and documented</w:t>
            </w:r>
            <w:r>
              <w:rPr>
                <w:rFonts w:ascii="Calibri" w:cs="Calibri" w:eastAsia="Calibri" w:hAnsi="Calibri"/>
                <w:b w:val="false"/>
                <w:bCs w:val="false"/>
                <w:i w:val="false"/>
                <w:iCs w:val="false"/>
                <w:strike w:val="false"/>
                <w:color w:val="000000"/>
                <w:sz w:val="20"/>
                <w:szCs w:val="20"/>
              </w:rPr>
              <w:t xml:space="preserve"> for every personal data processing activity (e.g., contact form = legitimate interest or consent; analytics = consent; contractual = service delivery). Maintain written record of each basis.</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Privacy Policy published and accessible</w:t>
            </w:r>
            <w:r>
              <w:rPr>
                <w:rFonts w:ascii="Calibri" w:cs="Calibri" w:eastAsia="Calibri" w:hAnsi="Calibri"/>
                <w:b w:val="false"/>
                <w:bCs w:val="false"/>
                <w:i w:val="false"/>
                <w:iCs w:val="false"/>
                <w:strike w:val="false"/>
                <w:color w:val="000000"/>
                <w:sz w:val="20"/>
                <w:szCs w:val="20"/>
              </w:rPr>
              <w:t xml:space="preserve"> — linked in website footer, written in plain language, and covering: identity of the data controller, categories of data collected, purposes and legal bases, retention periods, data subject rights, third-party sharing, international transfers, and supervisory authority complaint rights.</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Cookie consent banner / Consent Management Platform (CMP) implemented</w:t>
            </w:r>
            <w:r>
              <w:rPr>
                <w:rFonts w:ascii="Calibri" w:cs="Calibri" w:eastAsia="Calibri" w:hAnsi="Calibri"/>
                <w:b w:val="false"/>
                <w:bCs w:val="false"/>
                <w:i w:val="false"/>
                <w:iCs w:val="false"/>
                <w:strike w:val="false"/>
                <w:color w:val="000000"/>
                <w:sz w:val="20"/>
                <w:szCs w:val="20"/>
              </w:rPr>
              <w:t xml:space="preserve"> — no pre-checked boxes, cookies categorized (strictly necessary vs. analytics vs. marketing), granular opt-in/opt-out provided, consent logged and recorded, and banner displayed before non-essential cookies fire.</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Data Subject Access Request (DSAR) process documented and operational</w:t>
            </w:r>
            <w:r>
              <w:rPr>
                <w:rFonts w:ascii="Calibri" w:cs="Calibri" w:eastAsia="Calibri" w:hAnsi="Calibri"/>
                <w:b w:val="false"/>
                <w:bCs w:val="false"/>
                <w:i w:val="false"/>
                <w:iCs w:val="false"/>
                <w:strike w:val="false"/>
                <w:color w:val="000000"/>
                <w:sz w:val="20"/>
                <w:szCs w:val="20"/>
              </w:rPr>
              <w:t xml:space="preserve"> — clear mechanism for EU users to submit requests, response within 30 days (extendable to 90 days with notice), identity verification procedure defined, and response templates prepared.</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Right to erasure ("right to be forgotten") process in place</w:t>
            </w:r>
            <w:r>
              <w:rPr>
                <w:rFonts w:ascii="Calibri" w:cs="Calibri" w:eastAsia="Calibri" w:hAnsi="Calibri"/>
                <w:b w:val="false"/>
                <w:bCs w:val="false"/>
                <w:i w:val="false"/>
                <w:iCs w:val="false"/>
                <w:strike w:val="false"/>
                <w:color w:val="000000"/>
                <w:sz w:val="20"/>
                <w:szCs w:val="20"/>
              </w:rPr>
              <w:t xml:space="preserve"> — procedure for deleting a user's personal data upon request, including any backups or third-party processor records, within 30 days. Exceptions (legal obligation, public interest) documented.</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Right to data portability process in place</w:t>
            </w:r>
            <w:r>
              <w:rPr>
                <w:rFonts w:ascii="Calibri" w:cs="Calibri" w:eastAsia="Calibri" w:hAnsi="Calibri"/>
                <w:b w:val="false"/>
                <w:bCs w:val="false"/>
                <w:i w:val="false"/>
                <w:iCs w:val="false"/>
                <w:strike w:val="false"/>
                <w:color w:val="000000"/>
                <w:sz w:val="20"/>
                <w:szCs w:val="20"/>
              </w:rPr>
              <w:t xml:space="preserve"> — ability to provide users their data in a structured, commonly used, machine-readable format (e.g., CSV or JSON) upon request, where processing is based on consent or contract.</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Record of Processing Activities (RoPA) maintained</w:t>
            </w:r>
            <w:r>
              <w:rPr>
                <w:rFonts w:ascii="Calibri" w:cs="Calibri" w:eastAsia="Calibri" w:hAnsi="Calibri"/>
                <w:b w:val="false"/>
                <w:bCs w:val="false"/>
                <w:i w:val="false"/>
                <w:iCs w:val="false"/>
                <w:strike w:val="false"/>
                <w:color w:val="000000"/>
                <w:sz w:val="20"/>
                <w:szCs w:val="20"/>
              </w:rPr>
              <w:t xml:space="preserve"> — internal register documenting: processing purpose, categories of data, data subjects, recipients, retention periods, and security measures, for all processing activities. Updated when activities change.</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Data Protection Impact Assessment (DPIA) process defined</w:t>
            </w:r>
            <w:r>
              <w:rPr>
                <w:rFonts w:ascii="Calibri" w:cs="Calibri" w:eastAsia="Calibri" w:hAnsi="Calibri"/>
                <w:b w:val="false"/>
                <w:bCs w:val="false"/>
                <w:i w:val="false"/>
                <w:iCs w:val="false"/>
                <w:strike w:val="false"/>
                <w:color w:val="000000"/>
                <w:sz w:val="20"/>
                <w:szCs w:val="20"/>
              </w:rPr>
              <w:t xml:space="preserve"> — procedure to conduct a DPIA before starting any new processing likely to result in high risk to individuals' rights and freedoms (e.g., new tracking tools, automated decision-making).</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Data Processing Agreements (DPAs) signed with all third-party processors</w:t>
            </w:r>
            <w:r>
              <w:rPr>
                <w:rFonts w:ascii="Calibri" w:cs="Calibri" w:eastAsia="Calibri" w:hAnsi="Calibri"/>
                <w:b w:val="false"/>
                <w:bCs w:val="false"/>
                <w:i w:val="false"/>
                <w:iCs w:val="false"/>
                <w:strike w:val="false"/>
                <w:color w:val="000000"/>
                <w:sz w:val="20"/>
                <w:szCs w:val="20"/>
              </w:rPr>
              <w:t xml:space="preserve"> — including hosting provider, email service, analytics platform, CRM, or any tool that handles personal data on your behalf. Verify DPAs are in place and current.</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International data transfers covered</w:t>
            </w:r>
            <w:r>
              <w:rPr>
                <w:rFonts w:ascii="Calibri" w:cs="Calibri" w:eastAsia="Calibri" w:hAnsi="Calibri"/>
                <w:b w:val="false"/>
                <w:bCs w:val="false"/>
                <w:i w:val="false"/>
                <w:iCs w:val="false"/>
                <w:strike w:val="false"/>
                <w:color w:val="000000"/>
                <w:sz w:val="20"/>
                <w:szCs w:val="20"/>
              </w:rPr>
              <w:t xml:space="preserve"> — any transfer of EU personal data outside the EEA uses a valid mechanism: Standard Contractual Clauses (SCCs, 2021 EU version), an adequacy decision, or Binding Corporate Rules. Document the mechanism used per transfer.</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Data breach notification procedure documented</w:t>
            </w:r>
            <w:r>
              <w:rPr>
                <w:rFonts w:ascii="Calibri" w:cs="Calibri" w:eastAsia="Calibri" w:hAnsi="Calibri"/>
                <w:b w:val="false"/>
                <w:bCs w:val="false"/>
                <w:i w:val="false"/>
                <w:iCs w:val="false"/>
                <w:strike w:val="false"/>
                <w:color w:val="000000"/>
                <w:sz w:val="20"/>
                <w:szCs w:val="20"/>
              </w:rPr>
              <w:t xml:space="preserve"> — plan to notify the relevant EU supervisory authority within </w:t>
            </w:r>
            <w:r>
              <w:rPr>
                <w:rFonts w:ascii="Calibri" w:cs="Calibri" w:eastAsia="Calibri" w:hAnsi="Calibri"/>
                <w:b/>
                <w:bCs/>
                <w:i w:val="false"/>
                <w:iCs w:val="false"/>
                <w:strike w:val="false"/>
                <w:color w:val="000000"/>
                <w:sz w:val="22"/>
                <w:szCs w:val="22"/>
              </w:rPr>
              <w:t xml:space="preserve">72 hours</w:t>
            </w:r>
            <w:r>
              <w:rPr>
                <w:rFonts w:ascii="Calibri" w:cs="Calibri" w:eastAsia="Calibri" w:hAnsi="Calibri"/>
                <w:b w:val="false"/>
                <w:bCs w:val="false"/>
                <w:i w:val="false"/>
                <w:iCs w:val="false"/>
                <w:strike w:val="false"/>
                <w:color w:val="000000"/>
                <w:sz w:val="20"/>
                <w:szCs w:val="20"/>
              </w:rPr>
              <w:t xml:space="preserve"> of becoming aware of a qualifying breach; procedure to notify affected data subjects without undue delay where risk to rights is high. Breach log maintained.</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No children's data collected without verifiable parental consent</w:t>
            </w:r>
            <w:r>
              <w:rPr>
                <w:rFonts w:ascii="Calibri" w:cs="Calibri" w:eastAsia="Calibri" w:hAnsi="Calibri"/>
                <w:b w:val="false"/>
                <w:bCs w:val="false"/>
                <w:i w:val="false"/>
                <w:iCs w:val="false"/>
                <w:strike w:val="false"/>
                <w:color w:val="000000"/>
                <w:sz w:val="20"/>
                <w:szCs w:val="20"/>
              </w:rPr>
              <w:t xml:space="preserve"> — services and website confirmed not directed at under-16s (EU threshold); if any such data could be collected, age-verification or parental consent mechanism implemented and documented.</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EU Representative appointment assessed</w:t>
            </w:r>
            <w:r>
              <w:rPr>
                <w:rFonts w:ascii="Calibri" w:cs="Calibri" w:eastAsia="Calibri" w:hAnsi="Calibri"/>
                <w:b w:val="false"/>
                <w:bCs w:val="false"/>
                <w:i w:val="false"/>
                <w:iCs w:val="false"/>
                <w:strike w:val="false"/>
                <w:color w:val="000000"/>
                <w:sz w:val="20"/>
                <w:szCs w:val="20"/>
              </w:rPr>
              <w:t xml:space="preserve"> — if not established in the EU but offering services to EU residents, determine if an EU Representative must be appointed (Art. 27). If below threshold or occasional processing only, document reasoning for exemption.</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Contact form data minimization verified</w:t>
            </w:r>
            <w:r>
              <w:rPr>
                <w:rFonts w:ascii="Calibri" w:cs="Calibri" w:eastAsia="Calibri" w:hAnsi="Calibri"/>
                <w:b w:val="false"/>
                <w:bCs w:val="false"/>
                <w:i w:val="false"/>
                <w:iCs w:val="false"/>
                <w:strike w:val="false"/>
                <w:color w:val="000000"/>
                <w:sz w:val="20"/>
                <w:szCs w:val="20"/>
              </w:rPr>
              <w:t xml:space="preserve"> — form collects only the minimum fields necessary for the stated purpose (e.g., name, email, message). No unnecessary fields (DOB, phone, address) unless clearly required. Purpose of each field documented.</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bl>
    <w:p>
      <w:pPr>
        <w:spacing w:after="200" w:before="0"/>
      </w:pPr>
    </w:p>
    <w:p>
      <w:pPr>
        <w:spacing w:after="240" w:line="408" w:lineRule="auto"/>
      </w:pPr>
      <w:r>
        <w:rPr>
          <w:b w:val="false"/>
          <w:bCs w:val="false"/>
          <w:i w:val="false"/>
          <w:iCs w:val="false"/>
          <w:color w:val="FFFFFF"/>
          <w:shd w:fill="2B5797" w:color="auto" w:val="clear"/>
        </w:rPr>
        <w:t xml:space="preserve">SECTION 2</w:t>
      </w:r>
    </w:p>
    <w:p>
      <w:pPr>
        <w:pStyle w:val="Heading1"/>
        <w:spacing w:after="120" w:before="480" w:line="312" w:lineRule="auto"/>
      </w:pPr>
      <w:r>
        <w:rPr>
          <w:rFonts w:ascii="Calibri" w:cs="Calibri" w:eastAsia="Calibri" w:hAnsi="Calibri"/>
          <w:color w:val="1A1A1A"/>
          <w:sz w:val="44"/>
          <w:szCs w:val="44"/>
        </w:rPr>
        <w:t xml:space="preserve">UK GDPR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00"/>
              <w:bottom w:type="dxa" w:w="120"/>
              <w:right w:type="dxa" w:w="200"/>
            </w:tcMar>
          </w:tcPr>
          <w:p>
            <w:pPr>
              <w:spacing w:after="120" w:line="408" w:lineRule="auto"/>
            </w:pPr>
            <w:r>
              <w:t xml:space="preserve">Applicability:</w:t>
            </w:r>
          </w:p>
          <w:p>
            <w:pPr>
              <w:spacing w:after="120" w:line="408" w:lineRule="auto"/>
            </w:pPr>
            <w:r>
              <w:t xml:space="preserve">Since Brexit, the UK operates its own version of GDPR (UK GDPR), retained in domestic law alongside the Data Protection Act 2018. If the website is accessible to UK residents and personal data is collected, UK GDPR applies separately from EU GDPR. The UK Information Commissioner's Office (ICO) is the supervisory authority.</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9E8D9" w:color="auto" w:val="clear"/>
            <w:tcMar>
              <w:top w:type="dxa" w:w="75"/>
              <w:left w:type="dxa" w:w="105"/>
              <w:bottom w:type="dxa" w:w="75"/>
              <w:right w:type="dxa" w:w="105"/>
            </w:tcMar>
          </w:tcPr>
          <w:p>
            <w:r>
              <w:rPr>
                <w:rFonts w:ascii="Calibri" w:cs="Calibri" w:eastAsia="Calibri" w:hAnsi="Calibri"/>
                <w:b/>
                <w:bCs/>
                <w:i w:val="false"/>
                <w:iCs w:val="false"/>
                <w:strike w:val="false"/>
                <w:color w:val="1A3A1A"/>
                <w:sz w:val="20"/>
                <w:szCs w:val="20"/>
              </w:rPr>
              <w:t xml:space="preserve">☐</w:t>
            </w:r>
          </w:p>
        </w:tc>
        <w:tc>
          <w:tcPr>
            <w:tcW w:type="pct" w:w="74%"/>
            <w:shd w:fill="D9E8D9" w:color="auto" w:val="clear"/>
            <w:tcMar>
              <w:top w:type="dxa" w:w="75"/>
              <w:left w:type="dxa" w:w="105"/>
              <w:bottom w:type="dxa" w:w="75"/>
              <w:right w:type="dxa" w:w="105"/>
            </w:tcMar>
          </w:tcPr>
          <w:p>
            <w:r>
              <w:rPr>
                <w:rFonts w:ascii="Calibri" w:cs="Calibri" w:eastAsia="Calibri" w:hAnsi="Calibri"/>
                <w:b/>
                <w:bCs/>
                <w:i w:val="false"/>
                <w:iCs w:val="false"/>
                <w:strike w:val="false"/>
                <w:color w:val="1A3A1A"/>
                <w:sz w:val="20"/>
                <w:szCs w:val="20"/>
              </w:rPr>
              <w:t xml:space="preserve">Requirement / Action Item</w:t>
            </w:r>
          </w:p>
        </w:tc>
        <w:tc>
          <w:tcPr>
            <w:tcW w:type="pct" w:w="8%"/>
            <w:shd w:fill="D9E8D9" w:color="auto" w:val="clear"/>
            <w:tcMar>
              <w:top w:type="dxa" w:w="75"/>
              <w:left w:type="dxa" w:w="105"/>
              <w:bottom w:type="dxa" w:w="75"/>
              <w:right w:type="dxa" w:w="105"/>
            </w:tcMar>
          </w:tcPr>
          <w:p>
            <w:r>
              <w:rPr>
                <w:rFonts w:ascii="Calibri" w:cs="Calibri" w:eastAsia="Calibri" w:hAnsi="Calibri"/>
                <w:b/>
                <w:bCs/>
                <w:i w:val="false"/>
                <w:iCs w:val="false"/>
                <w:strike w:val="false"/>
                <w:color w:val="1A3A1A"/>
                <w:sz w:val="20"/>
                <w:szCs w:val="20"/>
              </w:rPr>
              <w:t xml:space="preserve">Status / Notes</w:t>
            </w:r>
          </w:p>
        </w:tc>
        <w:tc>
          <w:tcPr>
            <w:tcW w:type="pct" w:w="10%"/>
            <w:shd w:fill="D9E8D9" w:color="auto" w:val="clear"/>
            <w:tcMar>
              <w:top w:type="dxa" w:w="75"/>
              <w:left w:type="dxa" w:w="105"/>
              <w:bottom w:type="dxa" w:w="75"/>
              <w:right w:type="dxa" w:w="105"/>
            </w:tcMar>
          </w:tcPr>
          <w:p>
            <w:r>
              <w:rPr>
                <w:rFonts w:ascii="Calibri" w:cs="Calibri" w:eastAsia="Calibri" w:hAnsi="Calibri"/>
                <w:b/>
                <w:bCs/>
                <w:i w:val="false"/>
                <w:iCs w:val="false"/>
                <w:strike w:val="false"/>
                <w:color w:val="1A3A1A"/>
                <w:sz w:val="20"/>
                <w:szCs w:val="20"/>
              </w:rPr>
              <w:t xml:space="preserve">Priority</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UK-specific Privacy Policy addendum or standalone UK policy</w:t>
            </w:r>
            <w:r>
              <w:rPr>
                <w:rFonts w:ascii="Calibri" w:cs="Calibri" w:eastAsia="Calibri" w:hAnsi="Calibri"/>
                <w:b w:val="false"/>
                <w:bCs w:val="false"/>
                <w:i w:val="false"/>
                <w:iCs w:val="false"/>
                <w:strike w:val="false"/>
                <w:color w:val="000000"/>
                <w:sz w:val="20"/>
                <w:szCs w:val="20"/>
              </w:rPr>
              <w:t xml:space="preserve"> — either add a UK-specific section to your existing Privacy Policy or publish a standalone document addressing UK GDPR rights, ICO as the supervisory authority, and UK data transfer mechanisms.</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UK Representative appointment assessed</w:t>
            </w:r>
            <w:r>
              <w:rPr>
                <w:rFonts w:ascii="Calibri" w:cs="Calibri" w:eastAsia="Calibri" w:hAnsi="Calibri"/>
                <w:b w:val="false"/>
                <w:bCs w:val="false"/>
                <w:i w:val="false"/>
                <w:iCs w:val="false"/>
                <w:strike w:val="false"/>
                <w:color w:val="000000"/>
                <w:sz w:val="20"/>
                <w:szCs w:val="20"/>
              </w:rPr>
              <w:t xml:space="preserve"> — parallel to the EU requirement, determine whether a UK Representative is required under UK GDPR Article 27. If below threshold or occasional processing, document the exemption reasoning in writing.</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ICO registration assessed</w:t>
            </w:r>
            <w:r>
              <w:rPr>
                <w:rFonts w:ascii="Calibri" w:cs="Calibri" w:eastAsia="Calibri" w:hAnsi="Calibri"/>
                <w:b w:val="false"/>
                <w:bCs w:val="false"/>
                <w:i w:val="false"/>
                <w:iCs w:val="false"/>
                <w:strike w:val="false"/>
                <w:color w:val="000000"/>
                <w:sz w:val="20"/>
                <w:szCs w:val="20"/>
              </w:rPr>
              <w:t xml:space="preserve"> — most small businesses that process personal data must pay the ICO's Data Protection Fee (approximately £40–£60/year for Tier 1). Confirm whether [Business Name] meets the registration requirement or qualifies for an exemption. Document finding.</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UK adequacy regulations reviewed for cross-border transfers</w:t>
            </w:r>
            <w:r>
              <w:rPr>
                <w:rFonts w:ascii="Calibri" w:cs="Calibri" w:eastAsia="Calibri" w:hAnsi="Calibri"/>
                <w:b w:val="false"/>
                <w:bCs w:val="false"/>
                <w:i w:val="false"/>
                <w:iCs w:val="false"/>
                <w:strike w:val="false"/>
                <w:color w:val="000000"/>
                <w:sz w:val="20"/>
                <w:szCs w:val="20"/>
              </w:rPr>
              <w:t xml:space="preserve"> — the UK has granted its own adequacy decisions for certain countries. Verify that any transfers of UK personal data to the US or other third countries use appropriate UK transfer mechanisms (UK SCCs, UK IDTA, or adequacy). Document the mechanism used.</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bl>
    <w:p>
      <w:pPr>
        <w:spacing w:after="200" w:before="0"/>
      </w:pPr>
    </w:p>
    <w:p>
      <w:pPr>
        <w:spacing w:after="240" w:line="408" w:lineRule="auto"/>
      </w:pPr>
      <w:r>
        <w:rPr>
          <w:b w:val="false"/>
          <w:bCs w:val="false"/>
          <w:i w:val="false"/>
          <w:iCs w:val="false"/>
          <w:color w:val="FFFFFF"/>
          <w:shd w:fill="2B5797" w:color="auto" w:val="clear"/>
        </w:rPr>
        <w:t xml:space="preserve">SECTION 3</w:t>
      </w:r>
    </w:p>
    <w:p>
      <w:pPr>
        <w:pStyle w:val="Heading1"/>
        <w:spacing w:after="120" w:before="480" w:line="312" w:lineRule="auto"/>
      </w:pPr>
      <w:r>
        <w:rPr>
          <w:rFonts w:ascii="Calibri" w:cs="Calibri" w:eastAsia="Calibri" w:hAnsi="Calibri"/>
          <w:color w:val="1A1A1A"/>
          <w:sz w:val="44"/>
          <w:szCs w:val="44"/>
        </w:rPr>
        <w:t xml:space="preserve">CCPA / CPRA — California Consumer Privacy Act &amp; California Privacy Rights Act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00"/>
              <w:bottom w:type="dxa" w:w="120"/>
              <w:right w:type="dxa" w:w="200"/>
            </w:tcMar>
          </w:tcPr>
          <w:p>
            <w:pPr>
              <w:spacing w:after="120" w:line="408" w:lineRule="auto"/>
            </w:pPr>
            <w:r>
              <w:t xml:space="preserve">Applicability:</w:t>
            </w:r>
          </w:p>
          <w:p>
            <w:pPr>
              <w:spacing w:after="120" w:line="408" w:lineRule="auto"/>
            </w:pPr>
            <w:r>
              <w:t xml:space="preserve">The CCPA/CPRA applies to for-profit businesses that collect personal information of California residents AND meet at least one threshold: (1) gross annual revenue over $25 million; (2) buy, sell, or share personal information of 100,000+ consumers or households per year; or (3) derive 50%+ of annual revenue from selling/sharing personal information. Many small home-based businesses fall below all thresholds — but this must be</w:t>
            </w:r>
          </w:p>
          <w:p>
            <w:pPr>
              <w:spacing w:after="120" w:line="408" w:lineRule="auto"/>
            </w:pPr>
            <w:r>
              <w:t xml:space="preserve">documented</w:t>
            </w:r>
          </w:p>
          <w:p>
            <w:pPr>
              <w:spacing w:after="120" w:line="408" w:lineRule="auto"/>
            </w:pPr>
            <w:r>
              <w:t xml:space="preserve">. Even if not legally required, adopting CCPA-aligned practices is a best-practice signal to clients.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FCE4D6" w:color="auto" w:val="clear"/>
            <w:tcMar>
              <w:top w:type="dxa" w:w="75"/>
              <w:left w:type="dxa" w:w="105"/>
              <w:bottom w:type="dxa" w:w="75"/>
              <w:right w:type="dxa" w:w="105"/>
            </w:tcMar>
          </w:tcPr>
          <w:p>
            <w:r>
              <w:rPr>
                <w:rFonts w:ascii="Calibri" w:cs="Calibri" w:eastAsia="Calibri" w:hAnsi="Calibri"/>
                <w:b/>
                <w:bCs/>
                <w:i w:val="false"/>
                <w:iCs w:val="false"/>
                <w:strike w:val="false"/>
                <w:color w:val="5C2A00"/>
                <w:sz w:val="20"/>
                <w:szCs w:val="20"/>
              </w:rPr>
              <w:t xml:space="preserve">☐</w:t>
            </w:r>
          </w:p>
        </w:tc>
        <w:tc>
          <w:tcPr>
            <w:tcW w:type="pct" w:w="74%"/>
            <w:shd w:fill="FCE4D6" w:color="auto" w:val="clear"/>
            <w:tcMar>
              <w:top w:type="dxa" w:w="75"/>
              <w:left w:type="dxa" w:w="105"/>
              <w:bottom w:type="dxa" w:w="75"/>
              <w:right w:type="dxa" w:w="105"/>
            </w:tcMar>
          </w:tcPr>
          <w:p>
            <w:r>
              <w:rPr>
                <w:rFonts w:ascii="Calibri" w:cs="Calibri" w:eastAsia="Calibri" w:hAnsi="Calibri"/>
                <w:b/>
                <w:bCs/>
                <w:i w:val="false"/>
                <w:iCs w:val="false"/>
                <w:strike w:val="false"/>
                <w:color w:val="5C2A00"/>
                <w:sz w:val="20"/>
                <w:szCs w:val="20"/>
              </w:rPr>
              <w:t xml:space="preserve">Requirement / Action Item</w:t>
            </w:r>
          </w:p>
        </w:tc>
        <w:tc>
          <w:tcPr>
            <w:tcW w:type="pct" w:w="8%"/>
            <w:shd w:fill="FCE4D6" w:color="auto" w:val="clear"/>
            <w:tcMar>
              <w:top w:type="dxa" w:w="75"/>
              <w:left w:type="dxa" w:w="105"/>
              <w:bottom w:type="dxa" w:w="75"/>
              <w:right w:type="dxa" w:w="105"/>
            </w:tcMar>
          </w:tcPr>
          <w:p>
            <w:r>
              <w:rPr>
                <w:rFonts w:ascii="Calibri" w:cs="Calibri" w:eastAsia="Calibri" w:hAnsi="Calibri"/>
                <w:b/>
                <w:bCs/>
                <w:i w:val="false"/>
                <w:iCs w:val="false"/>
                <w:strike w:val="false"/>
                <w:color w:val="5C2A00"/>
                <w:sz w:val="20"/>
                <w:szCs w:val="20"/>
              </w:rPr>
              <w:t xml:space="preserve">Status / Notes</w:t>
            </w:r>
          </w:p>
        </w:tc>
        <w:tc>
          <w:tcPr>
            <w:tcW w:type="pct" w:w="10%"/>
            <w:shd w:fill="FCE4D6" w:color="auto" w:val="clear"/>
            <w:tcMar>
              <w:top w:type="dxa" w:w="75"/>
              <w:left w:type="dxa" w:w="105"/>
              <w:bottom w:type="dxa" w:w="75"/>
              <w:right w:type="dxa" w:w="105"/>
            </w:tcMar>
          </w:tcPr>
          <w:p>
            <w:r>
              <w:rPr>
                <w:rFonts w:ascii="Calibri" w:cs="Calibri" w:eastAsia="Calibri" w:hAnsi="Calibri"/>
                <w:b/>
                <w:bCs/>
                <w:i w:val="false"/>
                <w:iCs w:val="false"/>
                <w:strike w:val="false"/>
                <w:color w:val="5C2A00"/>
                <w:sz w:val="20"/>
                <w:szCs w:val="20"/>
              </w:rPr>
              <w:t xml:space="preserve">Priority</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Applicability threshold assessed and documented</w:t>
            </w:r>
            <w:r>
              <w:rPr>
                <w:rFonts w:ascii="Calibri" w:cs="Calibri" w:eastAsia="Calibri" w:hAnsi="Calibri"/>
                <w:b w:val="false"/>
                <w:bCs w:val="false"/>
                <w:i w:val="false"/>
                <w:iCs w:val="false"/>
                <w:strike w:val="false"/>
                <w:color w:val="000000"/>
                <w:sz w:val="20"/>
                <w:szCs w:val="20"/>
              </w:rPr>
              <w:t xml:space="preserve"> — review annual revenue, number of California consumers whose data is processed, and whether any data is sold or shared. Record conclusion in writing with date. Revisit annually as business grows.</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"Do Not Sell or Share My Personal Information" link</w:t>
            </w:r>
            <w:r>
              <w:rPr>
                <w:rFonts w:ascii="Calibri" w:cs="Calibri" w:eastAsia="Calibri" w:hAnsi="Calibri"/>
                <w:b w:val="false"/>
                <w:bCs w:val="false"/>
                <w:i w:val="false"/>
                <w:iCs w:val="false"/>
                <w:strike w:val="false"/>
                <w:color w:val="000000"/>
                <w:sz w:val="20"/>
                <w:szCs w:val="20"/>
              </w:rPr>
              <w:t xml:space="preserve"> — if CCPA/CPRA applies (or as a proactive measure), place a clearly labeled link in the website footer. Even if not selling data, document this determination to demonstrate good faith.</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Privacy Policy includes all CCPA/CPRA required disclosures</w:t>
            </w:r>
            <w:r>
              <w:rPr>
                <w:rFonts w:ascii="Calibri" w:cs="Calibri" w:eastAsia="Calibri" w:hAnsi="Calibri"/>
                <w:b w:val="false"/>
                <w:bCs w:val="false"/>
                <w:i w:val="false"/>
                <w:iCs w:val="false"/>
                <w:strike w:val="false"/>
                <w:color w:val="000000"/>
                <w:sz w:val="20"/>
                <w:szCs w:val="20"/>
              </w:rPr>
              <w:t xml:space="preserve"> — categories of personal information collected, purposes for collection, categories of third parties with whom information is shared, consumer rights (know, delete, correct, opt-out), and how to submit requests.</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Consumer rights request process documented</w:t>
            </w:r>
            <w:r>
              <w:rPr>
                <w:rFonts w:ascii="Calibri" w:cs="Calibri" w:eastAsia="Calibri" w:hAnsi="Calibri"/>
                <w:b w:val="false"/>
                <w:bCs w:val="false"/>
                <w:i w:val="false"/>
                <w:iCs w:val="false"/>
                <w:strike w:val="false"/>
                <w:color w:val="000000"/>
                <w:sz w:val="20"/>
                <w:szCs w:val="20"/>
              </w:rPr>
              <w:t xml:space="preserve"> — process in place to handle requests to: know what data is held, delete personal information, correct inaccurate data, and opt-out of sale/sharing. At minimum, a designated email address or web form for requests.</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Response timeline process defined</w:t>
            </w:r>
            <w:r>
              <w:rPr>
                <w:rFonts w:ascii="Calibri" w:cs="Calibri" w:eastAsia="Calibri" w:hAnsi="Calibri"/>
                <w:b w:val="false"/>
                <w:bCs w:val="false"/>
                <w:i w:val="false"/>
                <w:iCs w:val="false"/>
                <w:strike w:val="false"/>
                <w:color w:val="000000"/>
                <w:sz w:val="20"/>
                <w:szCs w:val="20"/>
              </w:rPr>
              <w:t xml:space="preserve"> — initial response to consumer requests within </w:t>
            </w:r>
            <w:r>
              <w:rPr>
                <w:rFonts w:ascii="Calibri" w:cs="Calibri" w:eastAsia="Calibri" w:hAnsi="Calibri"/>
                <w:b/>
                <w:bCs/>
                <w:i w:val="false"/>
                <w:iCs w:val="false"/>
                <w:strike w:val="false"/>
                <w:color w:val="000000"/>
                <w:sz w:val="22"/>
                <w:szCs w:val="22"/>
              </w:rPr>
              <w:t xml:space="preserve">10 business days</w:t>
            </w:r>
            <w:r>
              <w:rPr>
                <w:rFonts w:ascii="Calibri" w:cs="Calibri" w:eastAsia="Calibri" w:hAnsi="Calibri"/>
                <w:b w:val="false"/>
                <w:bCs w:val="false"/>
                <w:i w:val="false"/>
                <w:iCs w:val="false"/>
                <w:strike w:val="false"/>
                <w:color w:val="000000"/>
                <w:sz w:val="20"/>
                <w:szCs w:val="20"/>
              </w:rPr>
              <w:t xml:space="preserve"> (acknowledgment), full response within </w:t>
            </w:r>
            <w:r>
              <w:rPr>
                <w:rFonts w:ascii="Calibri" w:cs="Calibri" w:eastAsia="Calibri" w:hAnsi="Calibri"/>
                <w:b/>
                <w:bCs/>
                <w:i w:val="false"/>
                <w:iCs w:val="false"/>
                <w:strike w:val="false"/>
                <w:color w:val="000000"/>
                <w:sz w:val="22"/>
                <w:szCs w:val="22"/>
              </w:rPr>
              <w:t xml:space="preserve">45 calendar days</w:t>
            </w:r>
            <w:r>
              <w:rPr>
                <w:rFonts w:ascii="Calibri" w:cs="Calibri" w:eastAsia="Calibri" w:hAnsi="Calibri"/>
                <w:b w:val="false"/>
                <w:bCs w:val="false"/>
                <w:i w:val="false"/>
                <w:iCs w:val="false"/>
                <w:strike w:val="false"/>
                <w:color w:val="000000"/>
                <w:sz w:val="20"/>
                <w:szCs w:val="20"/>
              </w:rPr>
              <w:t xml:space="preserve">, with a possible 45-day extension upon notice. Timeline tracked in a log.</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No discrimination against users who exercise rights</w:t>
            </w:r>
            <w:r>
              <w:rPr>
                <w:rFonts w:ascii="Calibri" w:cs="Calibri" w:eastAsia="Calibri" w:hAnsi="Calibri"/>
                <w:b w:val="false"/>
                <w:bCs w:val="false"/>
                <w:i w:val="false"/>
                <w:iCs w:val="false"/>
                <w:strike w:val="false"/>
                <w:color w:val="000000"/>
                <w:sz w:val="20"/>
                <w:szCs w:val="20"/>
              </w:rPr>
              <w:t xml:space="preserve"> — confirmed that no user will be denied services, charged different prices, or provided different quality of service for exercising CCPA/CPRA rights. Include non-discrimination statement in Privacy Policy.</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Sensitive personal information handling procedures documented</w:t>
            </w:r>
            <w:r>
              <w:rPr>
                <w:rFonts w:ascii="Calibri" w:cs="Calibri" w:eastAsia="Calibri" w:hAnsi="Calibri"/>
                <w:b w:val="false"/>
                <w:bCs w:val="false"/>
                <w:i w:val="false"/>
                <w:iCs w:val="false"/>
                <w:strike w:val="false"/>
                <w:color w:val="000000"/>
                <w:sz w:val="20"/>
                <w:szCs w:val="20"/>
              </w:rPr>
              <w:t xml:space="preserve"> — identify whether any sensitive personal information (SSN, financial, health, precise geolocation, etc.) is collected. If so, CPRA requires a separate "Limit the Use of My Sensitive Personal Information" option. Document finding.</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Vendor contracts include CPRA-required data processing terms</w:t>
            </w:r>
            <w:r>
              <w:rPr>
                <w:rFonts w:ascii="Calibri" w:cs="Calibri" w:eastAsia="Calibri" w:hAnsi="Calibri"/>
                <w:b w:val="false"/>
                <w:bCs w:val="false"/>
                <w:i w:val="false"/>
                <w:iCs w:val="false"/>
                <w:strike w:val="false"/>
                <w:color w:val="000000"/>
                <w:sz w:val="20"/>
                <w:szCs w:val="20"/>
              </w:rPr>
              <w:t xml:space="preserve"> — contracts with service providers, contractors, and third parties who receive personal information include required CPRA provisions: purpose limitation, prohibition on selling/sharing, and audit rights.</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Annual training documented or solo-operator status noted</w:t>
            </w:r>
            <w:r>
              <w:rPr>
                <w:rFonts w:ascii="Calibri" w:cs="Calibri" w:eastAsia="Calibri" w:hAnsi="Calibri"/>
                <w:b w:val="false"/>
                <w:bCs w:val="false"/>
                <w:i w:val="false"/>
                <w:iCs w:val="false"/>
                <w:strike w:val="false"/>
                <w:color w:val="000000"/>
                <w:sz w:val="20"/>
                <w:szCs w:val="20"/>
              </w:rPr>
              <w:t xml:space="preserve"> — if CCPA/CPRA applies, anyone handling consumer requests must receive annual training. As a solo operator, document this status explicitly. If support staff are ever hired, training becomes mandatory.</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600"/>
                <w:sz w:val="22"/>
                <w:szCs w:val="22"/>
              </w:rPr>
              <w:t xml:space="preserve">Low</w:t>
            </w:r>
          </w:p>
        </w:tc>
      </w:tr>
    </w:tbl>
    <w:p>
      <w:pPr>
        <w:spacing w:after="200" w:before="0"/>
      </w:pPr>
    </w:p>
    <w:p>
      <w:pPr>
        <w:spacing w:after="240" w:line="408" w:lineRule="auto"/>
      </w:pPr>
      <w:r>
        <w:rPr>
          <w:b w:val="false"/>
          <w:bCs w:val="false"/>
          <w:i w:val="false"/>
          <w:iCs w:val="false"/>
          <w:color w:val="FFFFFF"/>
          <w:shd w:fill="2B5797" w:color="auto" w:val="clear"/>
        </w:rPr>
        <w:t xml:space="preserve">SECTION 4</w:t>
      </w:r>
    </w:p>
    <w:p>
      <w:pPr>
        <w:pStyle w:val="Heading1"/>
        <w:spacing w:after="120" w:before="480" w:line="312" w:lineRule="auto"/>
      </w:pPr>
      <w:r>
        <w:rPr>
          <w:rFonts w:ascii="Calibri" w:cs="Calibri" w:eastAsia="Calibri" w:hAnsi="Calibri"/>
          <w:color w:val="1A1A1A"/>
          <w:sz w:val="44"/>
          <w:szCs w:val="44"/>
        </w:rPr>
        <w:t xml:space="preserve">Washington State Privacy Laws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00"/>
              <w:bottom w:type="dxa" w:w="120"/>
              <w:right w:type="dxa" w:w="200"/>
            </w:tcMar>
          </w:tcPr>
          <w:p>
            <w:pPr>
              <w:spacing w:after="120" w:line="408" w:lineRule="auto"/>
            </w:pPr>
            <w:r>
              <w:t xml:space="preserve">Applicability:</w:t>
            </w:r>
          </w:p>
          <w:p>
            <w:pPr>
              <w:spacing w:after="120" w:line="408" w:lineRule="auto"/>
            </w:pPr>
            <w:r>
              <w:t xml:space="preserve">The Washington Privacy Act (WPA, effective July 2023) applies to businesses that control or process personal data of 100,000+ Washington consumers per year, or 25,000+ consumers if 25%+ of revenue comes from selling personal data — well above typical home-based business thresholds. However, the</w:t>
            </w:r>
          </w:p>
          <w:p>
            <w:pPr>
              <w:spacing w:after="120" w:line="408" w:lineRule="auto"/>
            </w:pPr>
            <w:r>
              <w:t xml:space="preserve">My Health MY Data Act</w:t>
            </w:r>
          </w:p>
          <w:p>
            <w:pPr>
              <w:spacing w:after="120" w:line="408" w:lineRule="auto"/>
            </w:pPr>
            <w:r>
              <w:t xml:space="preserve">(effective March 2024) is broader and applies to ANY entity that collects consumer health data of Washington residents. The</w:t>
            </w:r>
          </w:p>
          <w:p>
            <w:pPr>
              <w:spacing w:after="120" w:line="408" w:lineRule="auto"/>
            </w:pPr>
            <w:r>
              <w:t xml:space="preserve">Washington SHIELD Act</w:t>
            </w:r>
          </w:p>
          <w:p>
            <w:pPr>
              <w:spacing w:after="120" w:line="408" w:lineRule="auto"/>
            </w:pPr>
            <w:r>
              <w:t xml:space="preserve">imposes data security obligations broadly. All must be assessed and documented.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DEDED" w:color="auto" w:val="clear"/>
            <w:tcMar>
              <w:top w:type="dxa" w:w="75"/>
              <w:left w:type="dxa" w:w="105"/>
              <w:bottom w:type="dxa" w:w="75"/>
              <w:right w:type="dxa" w:w="105"/>
            </w:tcMar>
          </w:tcPr>
          <w:p>
            <w:r>
              <w:rPr>
                <w:rFonts w:ascii="Calibri" w:cs="Calibri" w:eastAsia="Calibri" w:hAnsi="Calibri"/>
                <w:b/>
                <w:bCs/>
                <w:i w:val="false"/>
                <w:iCs w:val="false"/>
                <w:strike w:val="false"/>
                <w:color w:val="2A2A2A"/>
                <w:sz w:val="20"/>
                <w:szCs w:val="20"/>
              </w:rPr>
              <w:t xml:space="preserve">☐</w:t>
            </w:r>
          </w:p>
        </w:tc>
        <w:tc>
          <w:tcPr>
            <w:tcW w:type="pct" w:w="75%"/>
            <w:shd w:fill="EDEDED" w:color="auto" w:val="clear"/>
            <w:tcMar>
              <w:top w:type="dxa" w:w="75"/>
              <w:left w:type="dxa" w:w="105"/>
              <w:bottom w:type="dxa" w:w="75"/>
              <w:right w:type="dxa" w:w="105"/>
            </w:tcMar>
          </w:tcPr>
          <w:p>
            <w:r>
              <w:rPr>
                <w:rFonts w:ascii="Calibri" w:cs="Calibri" w:eastAsia="Calibri" w:hAnsi="Calibri"/>
                <w:b/>
                <w:bCs/>
                <w:i w:val="false"/>
                <w:iCs w:val="false"/>
                <w:strike w:val="false"/>
                <w:color w:val="2A2A2A"/>
                <w:sz w:val="20"/>
                <w:szCs w:val="20"/>
              </w:rPr>
              <w:t xml:space="preserve">Requirement / Action Item</w:t>
            </w:r>
          </w:p>
        </w:tc>
        <w:tc>
          <w:tcPr>
            <w:tcW w:type="pct" w:w="8%"/>
            <w:shd w:fill="EDEDED" w:color="auto" w:val="clear"/>
            <w:tcMar>
              <w:top w:type="dxa" w:w="75"/>
              <w:left w:type="dxa" w:w="105"/>
              <w:bottom w:type="dxa" w:w="75"/>
              <w:right w:type="dxa" w:w="105"/>
            </w:tcMar>
          </w:tcPr>
          <w:p>
            <w:r>
              <w:rPr>
                <w:rFonts w:ascii="Calibri" w:cs="Calibri" w:eastAsia="Calibri" w:hAnsi="Calibri"/>
                <w:b/>
                <w:bCs/>
                <w:i w:val="false"/>
                <w:iCs w:val="false"/>
                <w:strike w:val="false"/>
                <w:color w:val="2A2A2A"/>
                <w:sz w:val="20"/>
                <w:szCs w:val="20"/>
              </w:rPr>
              <w:t xml:space="preserve">Status / Notes</w:t>
            </w:r>
          </w:p>
        </w:tc>
        <w:tc>
          <w:tcPr>
            <w:tcW w:type="pct" w:w="9%"/>
            <w:shd w:fill="EDEDED" w:color="auto" w:val="clear"/>
            <w:tcMar>
              <w:top w:type="dxa" w:w="75"/>
              <w:left w:type="dxa" w:w="105"/>
              <w:bottom w:type="dxa" w:w="75"/>
              <w:right w:type="dxa" w:w="105"/>
            </w:tcMar>
          </w:tcPr>
          <w:p>
            <w:r>
              <w:rPr>
                <w:rFonts w:ascii="Calibri" w:cs="Calibri" w:eastAsia="Calibri" w:hAnsi="Calibri"/>
                <w:b/>
                <w:bCs/>
                <w:i w:val="false"/>
                <w:iCs w:val="false"/>
                <w:strike w:val="false"/>
                <w:color w:val="2A2A2A"/>
                <w:sz w:val="20"/>
                <w:szCs w:val="20"/>
              </w:rPr>
              <w:t xml:space="preserve">Priority</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WA Privacy Act applicability assessed and documented</w:t>
            </w:r>
            <w:r>
              <w:rPr>
                <w:rFonts w:ascii="Calibri" w:cs="Calibri" w:eastAsia="Calibri" w:hAnsi="Calibri"/>
                <w:b w:val="false"/>
                <w:bCs w:val="false"/>
                <w:i w:val="false"/>
                <w:iCs w:val="false"/>
                <w:strike w:val="false"/>
                <w:color w:val="000000"/>
                <w:sz w:val="20"/>
                <w:szCs w:val="20"/>
              </w:rPr>
              <w:t xml:space="preserve"> — confirm business is below the 100,000 consumer threshold (or 25,000 / 25% revenue threshold). Write a brief dated memo documenting this finding. Revisit when business scales.</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Privacy Policy addresses Washington residents' rights</w:t>
            </w:r>
            <w:r>
              <w:rPr>
                <w:rFonts w:ascii="Calibri" w:cs="Calibri" w:eastAsia="Calibri" w:hAnsi="Calibri"/>
                <w:b w:val="false"/>
                <w:bCs w:val="false"/>
                <w:i w:val="false"/>
                <w:iCs w:val="false"/>
                <w:strike w:val="false"/>
                <w:color w:val="000000"/>
                <w:sz w:val="20"/>
                <w:szCs w:val="20"/>
              </w:rPr>
              <w:t xml:space="preserve"> — even if below WPA threshold, consider addressing: right to access, right to correction, right to deletion, right to opt out of sale/targeted advertising, and right to appeal. Good practice builds client trust.</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My Health MY Data Act: confirm no consumer health data collected</w:t>
            </w:r>
            <w:r>
              <w:rPr>
                <w:rFonts w:ascii="Calibri" w:cs="Calibri" w:eastAsia="Calibri" w:hAnsi="Calibri"/>
                <w:b w:val="false"/>
                <w:bCs w:val="false"/>
                <w:i w:val="false"/>
                <w:iCs w:val="false"/>
                <w:strike w:val="false"/>
                <w:color w:val="000000"/>
                <w:sz w:val="20"/>
                <w:szCs w:val="20"/>
              </w:rPr>
              <w:t xml:space="preserve"> — the MHMD Act covers broadly defined "consumer health data" including data that could identify health conditions or wellness. Confirm the website and services do not collect such data. Document this finding with date. If any health-adjacent content or data is collected, seek legal advice immediately.</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Washington Consumer Protection Act (CPA): no unfair or deceptive practices</w:t>
            </w:r>
            <w:r>
              <w:rPr>
                <w:rFonts w:ascii="Calibri" w:cs="Calibri" w:eastAsia="Calibri" w:hAnsi="Calibri"/>
                <w:b w:val="false"/>
                <w:bCs w:val="false"/>
                <w:i w:val="false"/>
                <w:iCs w:val="false"/>
                <w:strike w:val="false"/>
                <w:color w:val="000000"/>
                <w:sz w:val="20"/>
                <w:szCs w:val="20"/>
              </w:rPr>
              <w:t xml:space="preserve"> — confirm that all marketing materials, service descriptions, pricing, and client communications are accurate and non-deceptive. Review website copy for misleading claims, especially regarding cybersecurity service outcomes or guarantees.</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Washington SHIELD Act: reasonable data security practices implemented</w:t>
            </w:r>
            <w:r>
              <w:rPr>
                <w:rFonts w:ascii="Calibri" w:cs="Calibri" w:eastAsia="Calibri" w:hAnsi="Calibri"/>
                <w:b w:val="false"/>
                <w:bCs w:val="false"/>
                <w:i w:val="false"/>
                <w:iCs w:val="false"/>
                <w:strike w:val="false"/>
                <w:color w:val="000000"/>
                <w:sz w:val="20"/>
                <w:szCs w:val="20"/>
              </w:rPr>
              <w:t xml:space="preserve"> — the SHIELD Act (2024) requires businesses that maintain personal data of Washington residents to implement and maintain reasonable data security practices. Document the security measures in place (encryption, access controls, secure storage).</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Contact form data encrypted in transit</w:t>
            </w:r>
            <w:r>
              <w:rPr>
                <w:rFonts w:ascii="Calibri" w:cs="Calibri" w:eastAsia="Calibri" w:hAnsi="Calibri"/>
                <w:b w:val="false"/>
                <w:bCs w:val="false"/>
                <w:i w:val="false"/>
                <w:iCs w:val="false"/>
                <w:strike w:val="false"/>
                <w:color w:val="000000"/>
                <w:sz w:val="20"/>
                <w:szCs w:val="20"/>
              </w:rPr>
              <w:t xml:space="preserve"> — website uses HTTPS / TLS 1.2 or higher on all pages. Contact form submissions travel over an encrypted connection. SSL certificate is current and set to auto-renew. Verify with browser padlock and SSL testing tool.</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bl>
    <w:p>
      <w:pPr>
        <w:spacing w:after="200" w:before="0"/>
      </w:pPr>
    </w:p>
    <w:p>
      <w:pPr>
        <w:spacing w:after="240" w:line="408" w:lineRule="auto"/>
      </w:pPr>
      <w:r>
        <w:rPr>
          <w:b w:val="false"/>
          <w:bCs w:val="false"/>
          <w:i w:val="false"/>
          <w:iCs w:val="false"/>
          <w:color w:val="FFFFFF"/>
          <w:shd w:fill="2B5797" w:color="auto" w:val="clear"/>
        </w:rPr>
        <w:t xml:space="preserve">SECTION 5</w:t>
      </w:r>
    </w:p>
    <w:p>
      <w:pPr>
        <w:pStyle w:val="Heading1"/>
        <w:spacing w:after="120" w:before="480" w:line="312" w:lineRule="auto"/>
      </w:pPr>
      <w:r>
        <w:rPr>
          <w:rFonts w:ascii="Calibri" w:cs="Calibri" w:eastAsia="Calibri" w:hAnsi="Calibri"/>
          <w:color w:val="1A1A1A"/>
          <w:sz w:val="44"/>
          <w:szCs w:val="44"/>
        </w:rPr>
        <w:t xml:space="preserve">LGPD — Brazil Lei Geral de Proteção de Dados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00"/>
              <w:bottom w:type="dxa" w:w="120"/>
              <w:right w:type="dxa" w:w="200"/>
            </w:tcMar>
          </w:tcPr>
          <w:p>
            <w:pPr>
              <w:spacing w:after="120" w:line="408" w:lineRule="auto"/>
            </w:pPr>
            <w:r>
              <w:t xml:space="preserve">Applicability:</w:t>
            </w:r>
          </w:p>
          <w:p>
            <w:pPr>
              <w:spacing w:after="120" w:line="408" w:lineRule="auto"/>
            </w:pPr>
            <w:r>
              <w:t xml:space="preserve">Brazil's LGPD applies to any organization that processes personal data of individuals located in Brazil, or where processing occurs in Brazil, or where the purpose is to offer goods/services to Brazilian individuals. As a globally accessible website, if Brazilian visitors interact with the site and submit any data (contact form, analytics), LGPD likely applies. Enforcement is by the ANPD (Autoridade Nacional de Proteção de Dados).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FFF2CC" w:color="auto" w:val="clear"/>
            <w:tcMar>
              <w:top w:type="dxa" w:w="75"/>
              <w:left w:type="dxa" w:w="105"/>
              <w:bottom w:type="dxa" w:w="75"/>
              <w:right w:type="dxa" w:w="105"/>
            </w:tcMar>
          </w:tcPr>
          <w:p>
            <w:r>
              <w:rPr>
                <w:rFonts w:ascii="Calibri" w:cs="Calibri" w:eastAsia="Calibri" w:hAnsi="Calibri"/>
                <w:b/>
                <w:bCs/>
                <w:i w:val="false"/>
                <w:iCs w:val="false"/>
                <w:strike w:val="false"/>
                <w:color w:val="4A3500"/>
                <w:sz w:val="20"/>
                <w:szCs w:val="20"/>
              </w:rPr>
              <w:t xml:space="preserve">☐</w:t>
            </w:r>
          </w:p>
        </w:tc>
        <w:tc>
          <w:tcPr>
            <w:tcW w:type="pct" w:w="74%"/>
            <w:shd w:fill="FFF2CC" w:color="auto" w:val="clear"/>
            <w:tcMar>
              <w:top w:type="dxa" w:w="75"/>
              <w:left w:type="dxa" w:w="105"/>
              <w:bottom w:type="dxa" w:w="75"/>
              <w:right w:type="dxa" w:w="105"/>
            </w:tcMar>
          </w:tcPr>
          <w:p>
            <w:r>
              <w:rPr>
                <w:rFonts w:ascii="Calibri" w:cs="Calibri" w:eastAsia="Calibri" w:hAnsi="Calibri"/>
                <w:b/>
                <w:bCs/>
                <w:i w:val="false"/>
                <w:iCs w:val="false"/>
                <w:strike w:val="false"/>
                <w:color w:val="4A3500"/>
                <w:sz w:val="20"/>
                <w:szCs w:val="20"/>
              </w:rPr>
              <w:t xml:space="preserve">Requirement / Action Item</w:t>
            </w:r>
          </w:p>
        </w:tc>
        <w:tc>
          <w:tcPr>
            <w:tcW w:type="pct" w:w="8%"/>
            <w:shd w:fill="FFF2CC" w:color="auto" w:val="clear"/>
            <w:tcMar>
              <w:top w:type="dxa" w:w="75"/>
              <w:left w:type="dxa" w:w="105"/>
              <w:bottom w:type="dxa" w:w="75"/>
              <w:right w:type="dxa" w:w="105"/>
            </w:tcMar>
          </w:tcPr>
          <w:p>
            <w:r>
              <w:rPr>
                <w:rFonts w:ascii="Calibri" w:cs="Calibri" w:eastAsia="Calibri" w:hAnsi="Calibri"/>
                <w:b/>
                <w:bCs/>
                <w:i w:val="false"/>
                <w:iCs w:val="false"/>
                <w:strike w:val="false"/>
                <w:color w:val="4A3500"/>
                <w:sz w:val="20"/>
                <w:szCs w:val="20"/>
              </w:rPr>
              <w:t xml:space="preserve">Status / Notes</w:t>
            </w:r>
          </w:p>
        </w:tc>
        <w:tc>
          <w:tcPr>
            <w:tcW w:type="pct" w:w="10%"/>
            <w:shd w:fill="FFF2CC" w:color="auto" w:val="clear"/>
            <w:tcMar>
              <w:top w:type="dxa" w:w="75"/>
              <w:left w:type="dxa" w:w="105"/>
              <w:bottom w:type="dxa" w:w="75"/>
              <w:right w:type="dxa" w:w="105"/>
            </w:tcMar>
          </w:tcPr>
          <w:p>
            <w:r>
              <w:rPr>
                <w:rFonts w:ascii="Calibri" w:cs="Calibri" w:eastAsia="Calibri" w:hAnsi="Calibri"/>
                <w:b/>
                <w:bCs/>
                <w:i w:val="false"/>
                <w:iCs w:val="false"/>
                <w:strike w:val="false"/>
                <w:color w:val="4A3500"/>
                <w:sz w:val="20"/>
                <w:szCs w:val="20"/>
              </w:rPr>
              <w:t xml:space="preserve">Priority</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Legal basis for processing Brazilian users' data identified</w:t>
            </w:r>
            <w:r>
              <w:rPr>
                <w:rFonts w:ascii="Calibri" w:cs="Calibri" w:eastAsia="Calibri" w:hAnsi="Calibri"/>
                <w:b w:val="false"/>
                <w:bCs w:val="false"/>
                <w:i w:val="false"/>
                <w:iCs w:val="false"/>
                <w:strike w:val="false"/>
                <w:color w:val="000000"/>
                <w:sz w:val="20"/>
                <w:szCs w:val="20"/>
              </w:rPr>
              <w:t xml:space="preserve"> — LGPD requires one of ten legal bases for each processing activity (most commonly: consent, legitimate interest, or contract performance). Document the applicable basis for each activity (contact form, analytics, etc.).</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Privacy Policy accessible in Portuguese or clearly machine-translatable</w:t>
            </w:r>
            <w:r>
              <w:rPr>
                <w:rFonts w:ascii="Calibri" w:cs="Calibri" w:eastAsia="Calibri" w:hAnsi="Calibri"/>
                <w:b w:val="false"/>
                <w:bCs w:val="false"/>
                <w:i w:val="false"/>
                <w:iCs w:val="false"/>
                <w:strike w:val="false"/>
                <w:color w:val="000000"/>
                <w:sz w:val="20"/>
                <w:szCs w:val="20"/>
              </w:rPr>
              <w:t xml:space="preserve"> — LGPD requires the policy to be clear and accessible to Brazilian data subjects. At minimum, provide a Portuguese translation or ensure the policy is simple enough to translate accurately via browser tools. Note the translation approach in the policy itself.</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Data subject rights mechanism available to Brazilian users</w:t>
            </w:r>
            <w:r>
              <w:rPr>
                <w:rFonts w:ascii="Calibri" w:cs="Calibri" w:eastAsia="Calibri" w:hAnsi="Calibri"/>
                <w:b w:val="false"/>
                <w:bCs w:val="false"/>
                <w:i w:val="false"/>
                <w:iCs w:val="false"/>
                <w:strike w:val="false"/>
                <w:color w:val="000000"/>
                <w:sz w:val="20"/>
                <w:szCs w:val="20"/>
              </w:rPr>
              <w:t xml:space="preserve"> — LGPD grants rights including: confirmation of processing, access, correction, anonymization or deletion, portability, and information about sharing. Ensure the contact/request mechanism serves Brazilian users. Include reference in Privacy Policy.</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DPO (Data Protection Officer) appointment assessed</w:t>
            </w:r>
            <w:r>
              <w:rPr>
                <w:rFonts w:ascii="Calibri" w:cs="Calibri" w:eastAsia="Calibri" w:hAnsi="Calibri"/>
                <w:b w:val="false"/>
                <w:bCs w:val="false"/>
                <w:i w:val="false"/>
                <w:iCs w:val="false"/>
                <w:strike w:val="false"/>
                <w:color w:val="000000"/>
                <w:sz w:val="20"/>
                <w:szCs w:val="20"/>
              </w:rPr>
              <w:t xml:space="preserve"> — LGPD requires a DPO (Encarregado) for all controllers, but the ANPD has indicated small businesses with low-risk processing may qualify for simplified requirements. Document your assessment of this exemption and revisit annually.</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ANPD contact information referenced if applicable</w:t>
            </w:r>
            <w:r>
              <w:rPr>
                <w:rFonts w:ascii="Calibri" w:cs="Calibri" w:eastAsia="Calibri" w:hAnsi="Calibri"/>
                <w:b w:val="false"/>
                <w:bCs w:val="false"/>
                <w:i w:val="false"/>
                <w:iCs w:val="false"/>
                <w:strike w:val="false"/>
                <w:color w:val="000000"/>
                <w:sz w:val="20"/>
                <w:szCs w:val="20"/>
              </w:rPr>
              <w:t xml:space="preserve"> — Privacy Policy references the ANPD as the Brazilian supervisory authority where users may file complaints. Include website: gov.br/anpd.</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600"/>
                <w:sz w:val="22"/>
                <w:szCs w:val="22"/>
              </w:rPr>
              <w:t xml:space="preserve">Low</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No transfer of Brazilian user data without appropriate safeguards</w:t>
            </w:r>
            <w:r>
              <w:rPr>
                <w:rFonts w:ascii="Calibri" w:cs="Calibri" w:eastAsia="Calibri" w:hAnsi="Calibri"/>
                <w:b w:val="false"/>
                <w:bCs w:val="false"/>
                <w:i w:val="false"/>
                <w:iCs w:val="false"/>
                <w:strike w:val="false"/>
                <w:color w:val="000000"/>
                <w:sz w:val="20"/>
                <w:szCs w:val="20"/>
              </w:rPr>
              <w:t xml:space="preserve"> — any transfer of Brazilian personal data to the US or other countries must use a valid mechanism (ANPD-approved standard contractual clauses, adequacy decision, or specific consent). Review all third-party tools used for compliance.</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bl>
    <w:p>
      <w:pPr>
        <w:spacing w:after="200" w:before="0"/>
      </w:pPr>
    </w:p>
    <w:p>
      <w:pPr>
        <w:spacing w:after="240" w:line="408" w:lineRule="auto"/>
      </w:pPr>
      <w:r>
        <w:rPr>
          <w:b w:val="false"/>
          <w:bCs w:val="false"/>
          <w:i w:val="false"/>
          <w:iCs w:val="false"/>
          <w:color w:val="FFFFFF"/>
          <w:shd w:fill="2B5797" w:color="auto" w:val="clear"/>
        </w:rPr>
        <w:t xml:space="preserve">SECTION 6</w:t>
      </w:r>
    </w:p>
    <w:p>
      <w:pPr>
        <w:pStyle w:val="Heading1"/>
        <w:spacing w:after="120" w:before="480" w:line="312" w:lineRule="auto"/>
      </w:pPr>
      <w:r>
        <w:rPr>
          <w:rFonts w:ascii="Calibri" w:cs="Calibri" w:eastAsia="Calibri" w:hAnsi="Calibri"/>
          <w:color w:val="1A1A1A"/>
          <w:sz w:val="44"/>
          <w:szCs w:val="44"/>
        </w:rPr>
        <w:t xml:space="preserve">PIPEDA / Quebec Law 25 — Canada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00"/>
              <w:bottom w:type="dxa" w:w="120"/>
              <w:right w:type="dxa" w:w="200"/>
            </w:tcMar>
          </w:tcPr>
          <w:p>
            <w:pPr>
              <w:spacing w:after="120" w:line="408" w:lineRule="auto"/>
            </w:pPr>
            <w:r>
              <w:t xml:space="preserve">Applicability:</w:t>
            </w:r>
          </w:p>
          <w:p>
            <w:pPr>
              <w:spacing w:after="120" w:line="408" w:lineRule="auto"/>
            </w:pPr>
            <w:r>
              <w:t xml:space="preserve">Canada's federal PIPEDA (Personal Information Protection and Electronic Documents Act) applies to commercial activities of organizations that collect, use, or disclose personal information across provincial or international borders. Quebec's Law 25 (Act to Modernize Legislative Provisions respecting the Protection of Personal Information) has stricter requirements and applies to organizations handling Quebec residents' data. As a globally accessible commercial website, PIPEDA likely applies to Canadian visitors.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FCE4EC" w:color="auto" w:val="clear"/>
            <w:tcMar>
              <w:top w:type="dxa" w:w="75"/>
              <w:left w:type="dxa" w:w="105"/>
              <w:bottom w:type="dxa" w:w="75"/>
              <w:right w:type="dxa" w:w="105"/>
            </w:tcMar>
          </w:tcPr>
          <w:p>
            <w:r>
              <w:rPr>
                <w:rFonts w:ascii="Calibri" w:cs="Calibri" w:eastAsia="Calibri" w:hAnsi="Calibri"/>
                <w:b/>
                <w:bCs/>
                <w:i w:val="false"/>
                <w:iCs w:val="false"/>
                <w:strike w:val="false"/>
                <w:color w:val="5C001E"/>
                <w:sz w:val="20"/>
                <w:szCs w:val="20"/>
              </w:rPr>
              <w:t xml:space="preserve">☐</w:t>
            </w:r>
          </w:p>
        </w:tc>
        <w:tc>
          <w:tcPr>
            <w:tcW w:type="pct" w:w="74%"/>
            <w:shd w:fill="FCE4EC" w:color="auto" w:val="clear"/>
            <w:tcMar>
              <w:top w:type="dxa" w:w="75"/>
              <w:left w:type="dxa" w:w="105"/>
              <w:bottom w:type="dxa" w:w="75"/>
              <w:right w:type="dxa" w:w="105"/>
            </w:tcMar>
          </w:tcPr>
          <w:p>
            <w:r>
              <w:rPr>
                <w:rFonts w:ascii="Calibri" w:cs="Calibri" w:eastAsia="Calibri" w:hAnsi="Calibri"/>
                <w:b/>
                <w:bCs/>
                <w:i w:val="false"/>
                <w:iCs w:val="false"/>
                <w:strike w:val="false"/>
                <w:color w:val="5C001E"/>
                <w:sz w:val="20"/>
                <w:szCs w:val="20"/>
              </w:rPr>
              <w:t xml:space="preserve">Requirement / Action Item</w:t>
            </w:r>
          </w:p>
        </w:tc>
        <w:tc>
          <w:tcPr>
            <w:tcW w:type="pct" w:w="8%"/>
            <w:shd w:fill="FCE4EC" w:color="auto" w:val="clear"/>
            <w:tcMar>
              <w:top w:type="dxa" w:w="75"/>
              <w:left w:type="dxa" w:w="105"/>
              <w:bottom w:type="dxa" w:w="75"/>
              <w:right w:type="dxa" w:w="105"/>
            </w:tcMar>
          </w:tcPr>
          <w:p>
            <w:r>
              <w:rPr>
                <w:rFonts w:ascii="Calibri" w:cs="Calibri" w:eastAsia="Calibri" w:hAnsi="Calibri"/>
                <w:b/>
                <w:bCs/>
                <w:i w:val="false"/>
                <w:iCs w:val="false"/>
                <w:strike w:val="false"/>
                <w:color w:val="5C001E"/>
                <w:sz w:val="20"/>
                <w:szCs w:val="20"/>
              </w:rPr>
              <w:t xml:space="preserve">Status / Notes</w:t>
            </w:r>
          </w:p>
        </w:tc>
        <w:tc>
          <w:tcPr>
            <w:tcW w:type="pct" w:w="10%"/>
            <w:shd w:fill="FCE4EC" w:color="auto" w:val="clear"/>
            <w:tcMar>
              <w:top w:type="dxa" w:w="75"/>
              <w:left w:type="dxa" w:w="105"/>
              <w:bottom w:type="dxa" w:w="75"/>
              <w:right w:type="dxa" w:w="105"/>
            </w:tcMar>
          </w:tcPr>
          <w:p>
            <w:r>
              <w:rPr>
                <w:rFonts w:ascii="Calibri" w:cs="Calibri" w:eastAsia="Calibri" w:hAnsi="Calibri"/>
                <w:b/>
                <w:bCs/>
                <w:i w:val="false"/>
                <w:iCs w:val="false"/>
                <w:strike w:val="false"/>
                <w:color w:val="5C001E"/>
                <w:sz w:val="20"/>
                <w:szCs w:val="20"/>
              </w:rPr>
              <w:t xml:space="preserve">Priority</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PIPEDA applicability confirmed for commercial activities</w:t>
            </w:r>
            <w:r>
              <w:rPr>
                <w:rFonts w:ascii="Calibri" w:cs="Calibri" w:eastAsia="Calibri" w:hAnsi="Calibri"/>
                <w:b w:val="false"/>
                <w:bCs w:val="false"/>
                <w:i w:val="false"/>
                <w:iCs w:val="false"/>
                <w:strike w:val="false"/>
                <w:color w:val="000000"/>
                <w:sz w:val="20"/>
                <w:szCs w:val="20"/>
              </w:rPr>
              <w:t xml:space="preserve"> — document that the website constitutes a commercial activity accessible to Canadian residents and therefore PIPEDA applies. Note that British Columbia, Alberta, and Quebec have substantially similar provincial legislation.</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Privacy Policy explains collection, use, and disclosure of personal data</w:t>
            </w:r>
            <w:r>
              <w:rPr>
                <w:rFonts w:ascii="Calibri" w:cs="Calibri" w:eastAsia="Calibri" w:hAnsi="Calibri"/>
                <w:b w:val="false"/>
                <w:bCs w:val="false"/>
                <w:i w:val="false"/>
                <w:iCs w:val="false"/>
                <w:strike w:val="false"/>
                <w:color w:val="000000"/>
                <w:sz w:val="20"/>
                <w:szCs w:val="20"/>
              </w:rPr>
              <w:t xml:space="preserve"> — PIPEDA's 10 Fair Information Principles require: accountability, identifying purposes, consent, limiting collection, limiting use/disclosure/retention, accuracy, safeguards, openness, individual access, and challenging compliance. Verify Privacy Policy addresses all ten.</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Consent mechanism for data collection reviewed</w:t>
            </w:r>
            <w:r>
              <w:rPr>
                <w:rFonts w:ascii="Calibri" w:cs="Calibri" w:eastAsia="Calibri" w:hAnsi="Calibri"/>
                <w:b w:val="false"/>
                <w:bCs w:val="false"/>
                <w:i w:val="false"/>
                <w:iCs w:val="false"/>
                <w:strike w:val="false"/>
                <w:color w:val="000000"/>
                <w:sz w:val="20"/>
                <w:szCs w:val="20"/>
              </w:rPr>
              <w:t xml:space="preserve"> — confirm that meaningful consent is obtained before or at the time of collection. For contact form, include a brief consent statement or reference to the Privacy Policy. Implied consent may be acceptable for low-sensitivity data; document the approach.</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Breach reporting to OPC: process documented</w:t>
            </w:r>
            <w:r>
              <w:rPr>
                <w:rFonts w:ascii="Calibri" w:cs="Calibri" w:eastAsia="Calibri" w:hAnsi="Calibri"/>
                <w:b w:val="false"/>
                <w:bCs w:val="false"/>
                <w:i w:val="false"/>
                <w:iCs w:val="false"/>
                <w:strike w:val="false"/>
                <w:color w:val="000000"/>
                <w:sz w:val="20"/>
                <w:szCs w:val="20"/>
              </w:rPr>
              <w:t xml:space="preserve"> — breaches that pose a "real risk of significant harm" must be reported to the Office of the Privacy Commissioner of Canada (OPC) and affected individuals. Maintain a breach log. Document the reporting process and OPC contact information.</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Quebec Law 25: Privacy Impact Assessment (PIA) process defined</w:t>
            </w:r>
            <w:r>
              <w:rPr>
                <w:rFonts w:ascii="Calibri" w:cs="Calibri" w:eastAsia="Calibri" w:hAnsi="Calibri"/>
                <w:b w:val="false"/>
                <w:bCs w:val="false"/>
                <w:i w:val="false"/>
                <w:iCs w:val="false"/>
                <w:strike w:val="false"/>
                <w:color w:val="000000"/>
                <w:sz w:val="20"/>
                <w:szCs w:val="20"/>
              </w:rPr>
              <w:t xml:space="preserve"> — for any new project involving personal information from Quebec residents (new tool, new data collection, new vendor), a PIA must be conducted before implementation. Document the PIA process and retain completed PIAs.</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Data minimization and retention policies apply to Canadian user data</w:t>
            </w:r>
            <w:r>
              <w:rPr>
                <w:rFonts w:ascii="Calibri" w:cs="Calibri" w:eastAsia="Calibri" w:hAnsi="Calibri"/>
                <w:b w:val="false"/>
                <w:bCs w:val="false"/>
                <w:i w:val="false"/>
                <w:iCs w:val="false"/>
                <w:strike w:val="false"/>
                <w:color w:val="000000"/>
                <w:sz w:val="20"/>
                <w:szCs w:val="20"/>
              </w:rPr>
              <w:t xml:space="preserve"> — collect only what is necessary and retain personal information only as long as needed for the stated purpose. Retention schedule defined and applied. Data securely deleted or anonymized when no longer needed.</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Privacy Officer identified</w:t>
            </w:r>
            <w:r>
              <w:rPr>
                <w:rFonts w:ascii="Calibri" w:cs="Calibri" w:eastAsia="Calibri" w:hAnsi="Calibri"/>
                <w:b w:val="false"/>
                <w:bCs w:val="false"/>
                <w:i w:val="false"/>
                <w:iCs w:val="false"/>
                <w:strike w:val="false"/>
                <w:color w:val="000000"/>
                <w:sz w:val="20"/>
                <w:szCs w:val="20"/>
              </w:rPr>
              <w:t xml:space="preserve"> — PIPEDA requires designation of an individual responsible for the organization's compliance with the Act. As a solo operator, [Business Name] owner serves as Privacy Officer. Document this designation in writing.</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bl>
    <w:p>
      <w:pPr>
        <w:spacing w:after="200" w:before="0"/>
      </w:pPr>
    </w:p>
    <w:p>
      <w:pPr>
        <w:spacing w:after="240" w:line="408" w:lineRule="auto"/>
      </w:pPr>
      <w:r>
        <w:rPr>
          <w:b w:val="false"/>
          <w:bCs w:val="false"/>
          <w:i w:val="false"/>
          <w:iCs w:val="false"/>
          <w:color w:val="FFFFFF"/>
          <w:shd w:fill="2B5797" w:color="auto" w:val="clear"/>
        </w:rPr>
        <w:t xml:space="preserve">SECTION 7</w:t>
      </w:r>
    </w:p>
    <w:p>
      <w:pPr>
        <w:pStyle w:val="Heading1"/>
        <w:spacing w:after="120" w:before="480" w:line="312" w:lineRule="auto"/>
      </w:pPr>
      <w:r>
        <w:rPr>
          <w:rFonts w:ascii="Calibri" w:cs="Calibri" w:eastAsia="Calibri" w:hAnsi="Calibri"/>
          <w:color w:val="1A1A1A"/>
          <w:sz w:val="44"/>
          <w:szCs w:val="44"/>
        </w:rPr>
        <w:t xml:space="preserve">Australia Privacy Act / Australian Privacy Principles (APPs)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00"/>
              <w:bottom w:type="dxa" w:w="120"/>
              <w:right w:type="dxa" w:w="200"/>
            </w:tcMar>
          </w:tcPr>
          <w:p>
            <w:pPr>
              <w:spacing w:after="120" w:line="408" w:lineRule="auto"/>
            </w:pPr>
            <w:r>
              <w:t xml:space="preserve">Applicability:</w:t>
            </w:r>
          </w:p>
          <w:p>
            <w:pPr>
              <w:spacing w:after="120" w:line="408" w:lineRule="auto"/>
            </w:pPr>
            <w:r>
              <w:t xml:space="preserve">The Australian Privacy Act 1988 and its 13 Australian Privacy Principles generally apply to organizations with annual turnover over AUD 3 million, or to those in specific sectors. A small home-based tech business likely falls below the threshold and may qualify for the small business exemption. However, if the website specifically targets Australian users or handles health information, the exemption may not apply. Document the finding. Note: proposed 2024–2025 reforms may remove the small business exemption — monitor developments.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6F2F8" w:color="auto" w:val="clear"/>
            <w:tcMar>
              <w:top w:type="dxa" w:w="75"/>
              <w:left w:type="dxa" w:w="105"/>
              <w:bottom w:type="dxa" w:w="75"/>
              <w:right w:type="dxa" w:w="105"/>
            </w:tcMar>
          </w:tcPr>
          <w:p>
            <w:r>
              <w:rPr>
                <w:rFonts w:ascii="Calibri" w:cs="Calibri" w:eastAsia="Calibri" w:hAnsi="Calibri"/>
                <w:b/>
                <w:bCs/>
                <w:i w:val="false"/>
                <w:iCs w:val="false"/>
                <w:strike w:val="false"/>
                <w:color w:val="003A5C"/>
                <w:sz w:val="20"/>
                <w:szCs w:val="20"/>
              </w:rPr>
              <w:t xml:space="preserve">☐</w:t>
            </w:r>
          </w:p>
        </w:tc>
        <w:tc>
          <w:tcPr>
            <w:tcW w:type="pct" w:w="74%"/>
            <w:shd w:fill="E6F2F8" w:color="auto" w:val="clear"/>
            <w:tcMar>
              <w:top w:type="dxa" w:w="75"/>
              <w:left w:type="dxa" w:w="105"/>
              <w:bottom w:type="dxa" w:w="75"/>
              <w:right w:type="dxa" w:w="105"/>
            </w:tcMar>
          </w:tcPr>
          <w:p>
            <w:r>
              <w:rPr>
                <w:rFonts w:ascii="Calibri" w:cs="Calibri" w:eastAsia="Calibri" w:hAnsi="Calibri"/>
                <w:b/>
                <w:bCs/>
                <w:i w:val="false"/>
                <w:iCs w:val="false"/>
                <w:strike w:val="false"/>
                <w:color w:val="003A5C"/>
                <w:sz w:val="20"/>
                <w:szCs w:val="20"/>
              </w:rPr>
              <w:t xml:space="preserve">Requirement / Action Item</w:t>
            </w:r>
          </w:p>
        </w:tc>
        <w:tc>
          <w:tcPr>
            <w:tcW w:type="pct" w:w="8%"/>
            <w:shd w:fill="E6F2F8" w:color="auto" w:val="clear"/>
            <w:tcMar>
              <w:top w:type="dxa" w:w="75"/>
              <w:left w:type="dxa" w:w="105"/>
              <w:bottom w:type="dxa" w:w="75"/>
              <w:right w:type="dxa" w:w="105"/>
            </w:tcMar>
          </w:tcPr>
          <w:p>
            <w:r>
              <w:rPr>
                <w:rFonts w:ascii="Calibri" w:cs="Calibri" w:eastAsia="Calibri" w:hAnsi="Calibri"/>
                <w:b/>
                <w:bCs/>
                <w:i w:val="false"/>
                <w:iCs w:val="false"/>
                <w:strike w:val="false"/>
                <w:color w:val="003A5C"/>
                <w:sz w:val="20"/>
                <w:szCs w:val="20"/>
              </w:rPr>
              <w:t xml:space="preserve">Status / Notes</w:t>
            </w:r>
          </w:p>
        </w:tc>
        <w:tc>
          <w:tcPr>
            <w:tcW w:type="pct" w:w="10%"/>
            <w:shd w:fill="E6F2F8" w:color="auto" w:val="clear"/>
            <w:tcMar>
              <w:top w:type="dxa" w:w="75"/>
              <w:left w:type="dxa" w:w="105"/>
              <w:bottom w:type="dxa" w:w="75"/>
              <w:right w:type="dxa" w:w="105"/>
            </w:tcMar>
          </w:tcPr>
          <w:p>
            <w:r>
              <w:rPr>
                <w:rFonts w:ascii="Calibri" w:cs="Calibri" w:eastAsia="Calibri" w:hAnsi="Calibri"/>
                <w:b/>
                <w:bCs/>
                <w:i w:val="false"/>
                <w:iCs w:val="false"/>
                <w:strike w:val="false"/>
                <w:color w:val="003A5C"/>
                <w:sz w:val="20"/>
                <w:szCs w:val="20"/>
              </w:rPr>
              <w:t xml:space="preserve">Priority</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Applicability assessed and documented (AUD 3M turnover threshold)</w:t>
            </w:r>
            <w:r>
              <w:rPr>
                <w:rFonts w:ascii="Calibri" w:cs="Calibri" w:eastAsia="Calibri" w:hAnsi="Calibri"/>
                <w:b w:val="false"/>
                <w:bCs w:val="false"/>
                <w:i w:val="false"/>
                <w:iCs w:val="false"/>
                <w:strike w:val="false"/>
                <w:color w:val="000000"/>
                <w:sz w:val="20"/>
                <w:szCs w:val="20"/>
              </w:rPr>
              <w:t xml:space="preserve"> — confirm annual turnover is below AUD 3 million and that no special category exceptions apply (health service provider, tax file number handling, etc.). Record this assessment with date. Monitor proposed reforms that may lower or eliminate the threshold.</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Privacy Policy covers APP requirements</w:t>
            </w:r>
            <w:r>
              <w:rPr>
                <w:rFonts w:ascii="Calibri" w:cs="Calibri" w:eastAsia="Calibri" w:hAnsi="Calibri"/>
                <w:b w:val="false"/>
                <w:bCs w:val="false"/>
                <w:i w:val="false"/>
                <w:iCs w:val="false"/>
                <w:strike w:val="false"/>
                <w:color w:val="000000"/>
                <w:sz w:val="20"/>
                <w:szCs w:val="20"/>
              </w:rPr>
              <w:t xml:space="preserve"> — even if exempt, adopting an APP-compliant Privacy Policy is best practice and may be required if the business later crosses the threshold. Cover: collection notice, use and disclosure, data quality, data security, access and correction, and overseas disclosure.</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Australian users can access and correct their personal information</w:t>
            </w:r>
            <w:r>
              <w:rPr>
                <w:rFonts w:ascii="Calibri" w:cs="Calibri" w:eastAsia="Calibri" w:hAnsi="Calibri"/>
                <w:b w:val="false"/>
                <w:bCs w:val="false"/>
                <w:i w:val="false"/>
                <w:iCs w:val="false"/>
                <w:strike w:val="false"/>
                <w:color w:val="000000"/>
                <w:sz w:val="20"/>
                <w:szCs w:val="20"/>
              </w:rPr>
              <w:t xml:space="preserve"> — if covered by the Privacy Act, individuals have the right to access and correct their personal information held about them. Process or contact point for such requests documented in Privacy Policy.</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No sensitive information collected from Australian users without explicit consent</w:t>
            </w:r>
            <w:r>
              <w:rPr>
                <w:rFonts w:ascii="Calibri" w:cs="Calibri" w:eastAsia="Calibri" w:hAnsi="Calibri"/>
                <w:b w:val="false"/>
                <w:bCs w:val="false"/>
                <w:i w:val="false"/>
                <w:iCs w:val="false"/>
                <w:strike w:val="false"/>
                <w:color w:val="000000"/>
                <w:sz w:val="20"/>
                <w:szCs w:val="20"/>
              </w:rPr>
              <w:t xml:space="preserve"> — sensitive information (health, racial/ethnic origin, political opinions, religious beliefs, biometrics, criminal history) requires explicit consent under APP 3. Confirm no such data is collected from the website.</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Overseas disclosure: Australian users notified of overseas storage/processing</w:t>
            </w:r>
            <w:r>
              <w:rPr>
                <w:rFonts w:ascii="Calibri" w:cs="Calibri" w:eastAsia="Calibri" w:hAnsi="Calibri"/>
                <w:b w:val="false"/>
                <w:bCs w:val="false"/>
                <w:i w:val="false"/>
                <w:iCs w:val="false"/>
                <w:strike w:val="false"/>
                <w:color w:val="000000"/>
                <w:sz w:val="20"/>
                <w:szCs w:val="20"/>
              </w:rPr>
              <w:t xml:space="preserve"> — APP 8 requires notification if personal information is disclosed to overseas recipients (e.g., US-based servers). Privacy Policy discloses that data may be processed/stored in the US and identifies the country.</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OAIC complaint handling process acknowledged in Privacy Policy</w:t>
            </w:r>
            <w:r>
              <w:rPr>
                <w:rFonts w:ascii="Calibri" w:cs="Calibri" w:eastAsia="Calibri" w:hAnsi="Calibri"/>
                <w:b w:val="false"/>
                <w:bCs w:val="false"/>
                <w:i w:val="false"/>
                <w:iCs w:val="false"/>
                <w:strike w:val="false"/>
                <w:color w:val="000000"/>
                <w:sz w:val="20"/>
                <w:szCs w:val="20"/>
              </w:rPr>
              <w:t xml:space="preserve"> — Privacy Policy notes that Australian users who are dissatisfied with how their data is handled may lodge a complaint with the Office of the Australian Information Commissioner (OAIC) at oaic.gov.au.</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600"/>
                <w:sz w:val="22"/>
                <w:szCs w:val="22"/>
              </w:rPr>
              <w:t xml:space="preserve">Low</w:t>
            </w:r>
          </w:p>
        </w:tc>
      </w:tr>
    </w:tbl>
    <w:p>
      <w:pPr>
        <w:spacing w:after="200" w:before="0"/>
      </w:pPr>
    </w:p>
    <w:p>
      <w:pPr>
        <w:spacing w:after="240" w:line="408" w:lineRule="auto"/>
      </w:pPr>
      <w:r>
        <w:rPr>
          <w:b w:val="false"/>
          <w:bCs w:val="false"/>
          <w:i w:val="false"/>
          <w:iCs w:val="false"/>
          <w:color w:val="FFFFFF"/>
          <w:shd w:fill="2B5797" w:color="auto" w:val="clear"/>
        </w:rPr>
        <w:t xml:space="preserve">SECTION 8</w:t>
      </w:r>
    </w:p>
    <w:p>
      <w:pPr>
        <w:pStyle w:val="Heading1"/>
        <w:spacing w:after="120" w:before="480" w:line="312" w:lineRule="auto"/>
      </w:pPr>
      <w:r>
        <w:rPr>
          <w:rFonts w:ascii="Calibri" w:cs="Calibri" w:eastAsia="Calibri" w:hAnsi="Calibri"/>
          <w:color w:val="1A1A1A"/>
          <w:sz w:val="44"/>
          <w:szCs w:val="44"/>
        </w:rPr>
        <w:t xml:space="preserve">General International &amp; Technical Compliance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00"/>
              <w:bottom w:type="dxa" w:w="120"/>
              <w:right w:type="dxa" w:w="200"/>
            </w:tcMar>
          </w:tcPr>
          <w:p>
            <w:pPr>
              <w:spacing w:after="120" w:line="408" w:lineRule="auto"/>
            </w:pPr>
            <w:r>
              <w:t xml:space="preserve">Applicability:</w:t>
            </w:r>
          </w:p>
          <w:p>
            <w:pPr>
              <w:spacing w:after="120" w:line="408" w:lineRule="auto"/>
            </w:pPr>
            <w:r>
              <w:t xml:space="preserve">These items apply universally to any website handling personal data, regardless of jurisdiction. They represent baseline good practice and are directly relevant to demonstrating the "reasonable security" standards required by multiple laws simultaneously (GDPR, WA SHIELD Act, PIPEDA, etc.).</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CE9F8" w:color="auto" w:val="clear"/>
            <w:tcMar>
              <w:top w:type="dxa" w:w="75"/>
              <w:left w:type="dxa" w:w="105"/>
              <w:bottom w:type="dxa" w:w="75"/>
              <w:right w:type="dxa" w:w="105"/>
            </w:tcMar>
          </w:tcPr>
          <w:p>
            <w:r>
              <w:rPr>
                <w:rFonts w:ascii="Calibri" w:cs="Calibri" w:eastAsia="Calibri" w:hAnsi="Calibri"/>
                <w:b/>
                <w:bCs/>
                <w:i w:val="false"/>
                <w:iCs w:val="false"/>
                <w:strike w:val="false"/>
                <w:color w:val="2D0B6B"/>
                <w:sz w:val="20"/>
                <w:szCs w:val="20"/>
              </w:rPr>
              <w:t xml:space="preserve">☐</w:t>
            </w:r>
          </w:p>
        </w:tc>
        <w:tc>
          <w:tcPr>
            <w:tcW w:type="pct" w:w="74%"/>
            <w:shd w:fill="ECE9F8" w:color="auto" w:val="clear"/>
            <w:tcMar>
              <w:top w:type="dxa" w:w="75"/>
              <w:left w:type="dxa" w:w="105"/>
              <w:bottom w:type="dxa" w:w="75"/>
              <w:right w:type="dxa" w:w="105"/>
            </w:tcMar>
          </w:tcPr>
          <w:p>
            <w:r>
              <w:rPr>
                <w:rFonts w:ascii="Calibri" w:cs="Calibri" w:eastAsia="Calibri" w:hAnsi="Calibri"/>
                <w:b/>
                <w:bCs/>
                <w:i w:val="false"/>
                <w:iCs w:val="false"/>
                <w:strike w:val="false"/>
                <w:color w:val="2D0B6B"/>
                <w:sz w:val="20"/>
                <w:szCs w:val="20"/>
              </w:rPr>
              <w:t xml:space="preserve">Requirement / Action Item</w:t>
            </w:r>
          </w:p>
        </w:tc>
        <w:tc>
          <w:tcPr>
            <w:tcW w:type="pct" w:w="8%"/>
            <w:shd w:fill="ECE9F8" w:color="auto" w:val="clear"/>
            <w:tcMar>
              <w:top w:type="dxa" w:w="75"/>
              <w:left w:type="dxa" w:w="105"/>
              <w:bottom w:type="dxa" w:w="75"/>
              <w:right w:type="dxa" w:w="105"/>
            </w:tcMar>
          </w:tcPr>
          <w:p>
            <w:r>
              <w:rPr>
                <w:rFonts w:ascii="Calibri" w:cs="Calibri" w:eastAsia="Calibri" w:hAnsi="Calibri"/>
                <w:b/>
                <w:bCs/>
                <w:i w:val="false"/>
                <w:iCs w:val="false"/>
                <w:strike w:val="false"/>
                <w:color w:val="2D0B6B"/>
                <w:sz w:val="20"/>
                <w:szCs w:val="20"/>
              </w:rPr>
              <w:t xml:space="preserve">Status / Notes</w:t>
            </w:r>
          </w:p>
        </w:tc>
        <w:tc>
          <w:tcPr>
            <w:tcW w:type="pct" w:w="10%"/>
            <w:shd w:fill="ECE9F8" w:color="auto" w:val="clear"/>
            <w:tcMar>
              <w:top w:type="dxa" w:w="75"/>
              <w:left w:type="dxa" w:w="105"/>
              <w:bottom w:type="dxa" w:w="75"/>
              <w:right w:type="dxa" w:w="105"/>
            </w:tcMar>
          </w:tcPr>
          <w:p>
            <w:r>
              <w:rPr>
                <w:rFonts w:ascii="Calibri" w:cs="Calibri" w:eastAsia="Calibri" w:hAnsi="Calibri"/>
                <w:b/>
                <w:bCs/>
                <w:i w:val="false"/>
                <w:iCs w:val="false"/>
                <w:strike w:val="false"/>
                <w:color w:val="2D0B6B"/>
                <w:sz w:val="20"/>
                <w:szCs w:val="20"/>
              </w:rPr>
              <w:t xml:space="preserve">Priority</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HTTPS / TLS on all pages</w:t>
            </w:r>
            <w:r>
              <w:rPr>
                <w:rFonts w:ascii="Calibri" w:cs="Calibri" w:eastAsia="Calibri" w:hAnsi="Calibri"/>
                <w:b w:val="false"/>
                <w:bCs w:val="false"/>
                <w:i w:val="false"/>
                <w:iCs w:val="false"/>
                <w:strike w:val="false"/>
                <w:color w:val="000000"/>
                <w:sz w:val="20"/>
                <w:szCs w:val="20"/>
              </w:rPr>
              <w:t xml:space="preserve"> — SSL/TLS certificate installed, current, and covers all subdomains. Set to auto-renew. Verify with SSL Labs test (ssllabs.com) — aim for A or A+ rating. HTTP redirects to HTTPS on all URLs.</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Contact form data transmitted and stored securely</w:t>
            </w:r>
            <w:r>
              <w:rPr>
                <w:rFonts w:ascii="Calibri" w:cs="Calibri" w:eastAsia="Calibri" w:hAnsi="Calibri"/>
                <w:b w:val="false"/>
                <w:bCs w:val="false"/>
                <w:i w:val="false"/>
                <w:iCs w:val="false"/>
                <w:strike w:val="false"/>
                <w:color w:val="000000"/>
                <w:sz w:val="20"/>
                <w:szCs w:val="20"/>
              </w:rPr>
              <w:t xml:space="preserve"> — form submissions travel over HTTPS. If stored (e.g., database or email inbox), stored on encrypted medium with access controls. Confirm no plain-text storage of sensitive fields.</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Website hosted with reputable provider with SOC 2 or equivalent certification</w:t>
            </w:r>
            <w:r>
              <w:rPr>
                <w:rFonts w:ascii="Calibri" w:cs="Calibri" w:eastAsia="Calibri" w:hAnsi="Calibri"/>
                <w:b w:val="false"/>
                <w:bCs w:val="false"/>
                <w:i w:val="false"/>
                <w:iCs w:val="false"/>
                <w:strike w:val="false"/>
                <w:color w:val="000000"/>
                <w:sz w:val="20"/>
                <w:szCs w:val="20"/>
              </w:rPr>
              <w:t xml:space="preserve"> — hosting provider has independent security certifications (SOC 2 Type II, ISO 27001, or equivalent). Review hosting provider's compliance documentation and retain a copy.</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Privacy Policy linked in website footer (visible on all pages)</w:t>
            </w:r>
            <w:r>
              <w:rPr>
                <w:rFonts w:ascii="Calibri" w:cs="Calibri" w:eastAsia="Calibri" w:hAnsi="Calibri"/>
                <w:b w:val="false"/>
                <w:bCs w:val="false"/>
                <w:i w:val="false"/>
                <w:iCs w:val="false"/>
                <w:strike w:val="false"/>
                <w:color w:val="000000"/>
                <w:sz w:val="20"/>
                <w:szCs w:val="20"/>
              </w:rPr>
              <w:t xml:space="preserve"> — Privacy Policy link appears in the footer of every page. Link is clearly labeled "Privacy Policy." Policy is accessible without requiring account creation or login.</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Terms of Service linked in website footer</w:t>
            </w:r>
            <w:r>
              <w:rPr>
                <w:rFonts w:ascii="Calibri" w:cs="Calibri" w:eastAsia="Calibri" w:hAnsi="Calibri"/>
                <w:b w:val="false"/>
                <w:bCs w:val="false"/>
                <w:i w:val="false"/>
                <w:iCs w:val="false"/>
                <w:strike w:val="false"/>
                <w:color w:val="000000"/>
                <w:sz w:val="20"/>
                <w:szCs w:val="20"/>
              </w:rPr>
              <w:t xml:space="preserve"> — Terms of Service (or Terms and Conditions) document published and linked in footer. Covers: acceptable use, intellectual property, disclaimers, limitation of liability, and governing law (Washington State).</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Cookie policy / banner implemented for EU/UK visitors</w:t>
            </w:r>
            <w:r>
              <w:rPr>
                <w:rFonts w:ascii="Calibri" w:cs="Calibri" w:eastAsia="Calibri" w:hAnsi="Calibri"/>
                <w:b w:val="false"/>
                <w:bCs w:val="false"/>
                <w:i w:val="false"/>
                <w:iCs w:val="false"/>
                <w:strike w:val="false"/>
                <w:color w:val="000000"/>
                <w:sz w:val="20"/>
                <w:szCs w:val="20"/>
              </w:rPr>
              <w:t xml:space="preserve"> — cookie consent solution deployed that triggers before non-essential cookies are set. Categories of cookies explained (necessary, analytics, marketing). Users can accept or reject each category. Consent records maintained.</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Website accessibility (WCAG 2.1 AA) basics reviewed</w:t>
            </w:r>
            <w:r>
              <w:rPr>
                <w:rFonts w:ascii="Calibri" w:cs="Calibri" w:eastAsia="Calibri" w:hAnsi="Calibri"/>
                <w:b w:val="false"/>
                <w:bCs w:val="false"/>
                <w:i w:val="false"/>
                <w:iCs w:val="false"/>
                <w:strike w:val="false"/>
                <w:color w:val="000000"/>
                <w:sz w:val="20"/>
                <w:szCs w:val="20"/>
              </w:rPr>
              <w:t xml:space="preserve"> — website tested against basic WCAG 2.1 AA checkpoints: sufficient color contrast (4.5:1 minimum), all images have alt text, keyboard navigability confirmed, form fields have proper labels, and skip navigation links present.</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No deceptive dark patterns in consent or sign-up flows</w:t>
            </w:r>
            <w:r>
              <w:rPr>
                <w:rFonts w:ascii="Calibri" w:cs="Calibri" w:eastAsia="Calibri" w:hAnsi="Calibri"/>
                <w:b w:val="false"/>
                <w:bCs w:val="false"/>
                <w:i w:val="false"/>
                <w:iCs w:val="false"/>
                <w:strike w:val="false"/>
                <w:color w:val="000000"/>
                <w:sz w:val="20"/>
                <w:szCs w:val="20"/>
              </w:rPr>
              <w:t xml:space="preserve"> — consent flows reviewed for dark patterns (e.g., pre-checked boxes, hidden opt-outs, misleading button labels, confusing double negatives). All consent UX is clear, honest, and user-friendly.</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Third-party scripts (analytics, fonts, embeds) audited for privacy impact</w:t>
            </w:r>
            <w:r>
              <w:rPr>
                <w:rFonts w:ascii="Calibri" w:cs="Calibri" w:eastAsia="Calibri" w:hAnsi="Calibri"/>
                <w:b w:val="false"/>
                <w:bCs w:val="false"/>
                <w:i w:val="false"/>
                <w:iCs w:val="false"/>
                <w:strike w:val="false"/>
                <w:color w:val="000000"/>
                <w:sz w:val="20"/>
                <w:szCs w:val="20"/>
              </w:rPr>
              <w:t xml:space="preserve"> — all third-party scripts identified (Google Analytics, font services, social media embeds, chatbots, etc.). Each assessed for data sent to third parties. Non-essential scripts blocked by consent banner until user consents.</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Google Analytics (or equivalent) configured with IP anonymization</w:t>
            </w:r>
            <w:r>
              <w:rPr>
                <w:rFonts w:ascii="Calibri" w:cs="Calibri" w:eastAsia="Calibri" w:hAnsi="Calibri"/>
                <w:b w:val="false"/>
                <w:bCs w:val="false"/>
                <w:i w:val="false"/>
                <w:iCs w:val="false"/>
                <w:strike w:val="false"/>
                <w:color w:val="000000"/>
                <w:sz w:val="20"/>
                <w:szCs w:val="20"/>
              </w:rPr>
              <w:t xml:space="preserve"> — analytics platform configured to anonymize IP addresses before storage. Google Analytics 4 (GA4): confirm IP anonymization is enabled by default. If using Universal Analytics legacy setup, migrate or verify IP masking is active.</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No unnecessary third-party trackers or advertising pixels</w:t>
            </w:r>
            <w:r>
              <w:rPr>
                <w:rFonts w:ascii="Calibri" w:cs="Calibri" w:eastAsia="Calibri" w:hAnsi="Calibri"/>
                <w:b w:val="false"/>
                <w:bCs w:val="false"/>
                <w:i w:val="false"/>
                <w:iCs w:val="false"/>
                <w:strike w:val="false"/>
                <w:color w:val="000000"/>
                <w:sz w:val="20"/>
                <w:szCs w:val="20"/>
              </w:rPr>
              <w:t xml:space="preserve"> — website audited for advertising pixels (Facebook Pixel, LinkedIn Insight Tag, etc.) or tracking scripts not necessary for site functionality. Remove or disable those not serving a clear, disclosed purpose.</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Contact form data retention schedule defined and implemented</w:t>
            </w:r>
            <w:r>
              <w:rPr>
                <w:rFonts w:ascii="Calibri" w:cs="Calibri" w:eastAsia="Calibri" w:hAnsi="Calibri"/>
                <w:b w:val="false"/>
                <w:bCs w:val="false"/>
                <w:i w:val="false"/>
                <w:iCs w:val="false"/>
                <w:strike w:val="false"/>
                <w:color w:val="000000"/>
                <w:sz w:val="20"/>
                <w:szCs w:val="20"/>
              </w:rPr>
              <w:t xml:space="preserve"> — written retention policy specifying how long contact form submissions are stored (recommended: 12–24 months unless needed for ongoing client relationship), where stored, who has access, and how they are securely deleted after the retention period.</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Spam protection on contact form</w:t>
            </w:r>
            <w:r>
              <w:rPr>
                <w:rFonts w:ascii="Calibri" w:cs="Calibri" w:eastAsia="Calibri" w:hAnsi="Calibri"/>
                <w:b w:val="false"/>
                <w:bCs w:val="false"/>
                <w:i w:val="false"/>
                <w:iCs w:val="false"/>
                <w:strike w:val="false"/>
                <w:color w:val="000000"/>
                <w:sz w:val="20"/>
                <w:szCs w:val="20"/>
              </w:rPr>
              <w:t xml:space="preserve"> — CAPTCHA (e.g., hCaptcha, Google reCAPTCHA), honeypot field, or equivalent bot protection implemented on all contact and submission forms. Reduces spam and decreases risk of form abuse.</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Regular review of compliance documents scheduled</w:t>
            </w:r>
            <w:r>
              <w:rPr>
                <w:rFonts w:ascii="Calibri" w:cs="Calibri" w:eastAsia="Calibri" w:hAnsi="Calibri"/>
                <w:b w:val="false"/>
                <w:bCs w:val="false"/>
                <w:i w:val="false"/>
                <w:iCs w:val="false"/>
                <w:strike w:val="false"/>
                <w:color w:val="000000"/>
                <w:sz w:val="20"/>
                <w:szCs w:val="20"/>
              </w:rPr>
              <w:t xml:space="preserve"> — calendar reminder set to review all compliance documents (Privacy Policy, Terms of Service, cookie settings, this checklist) at least annually and within 60 days of any relevant law change. Review date logged.</w:t>
            </w:r>
          </w:p>
        </w:tc>
        <w:tc>
          <w:tcPr>
            <w:tcW w:type="pct" w:w="8%"/>
            <w:tcMar>
              <w:top w:type="dxa" w:w="75"/>
              <w:left w:type="dxa" w:w="105"/>
              <w:bottom w:type="dxa" w:w="75"/>
              <w:right w:type="dxa" w:w="105"/>
            </w:tcMar>
          </w:tcPr>
          <w:p>
            <w:r>
              <w:rPr>
                <w:b w:val="false"/>
                <w:bCs w:val="false"/>
              </w:rPr>
              <w:t xml:space="preserve"/>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bl>
    <w:p>
      <w:pPr>
        <w:spacing w:after="200" w:before="0"/>
      </w:pPr>
    </w:p>
    <w:p>
      <w:pPr>
        <w:spacing w:after="240" w:line="408" w:lineRule="auto"/>
      </w:pPr>
      <w:r>
        <w:rPr>
          <w:b w:val="false"/>
          <w:bCs w:val="false"/>
          <w:i w:val="false"/>
          <w:iCs w:val="false"/>
          <w:color w:val="FFFFFF"/>
          <w:shd w:fill="2B5797" w:color="auto" w:val="clear"/>
        </w:rPr>
        <w:t xml:space="preserve">SECTION 9</w:t>
      </w:r>
    </w:p>
    <w:p>
      <w:pPr>
        <w:pStyle w:val="Heading1"/>
        <w:spacing w:after="120" w:before="480" w:line="312" w:lineRule="auto"/>
      </w:pPr>
      <w:r>
        <w:rPr>
          <w:rFonts w:ascii="Calibri" w:cs="Calibri" w:eastAsia="Calibri" w:hAnsi="Calibri"/>
          <w:color w:val="1A1A1A"/>
          <w:sz w:val="44"/>
          <w:szCs w:val="44"/>
        </w:rPr>
        <w:t xml:space="preserve">Cybersecurity-Specific Compliance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00"/>
              <w:bottom w:type="dxa" w:w="120"/>
              <w:right w:type="dxa" w:w="200"/>
            </w:tcMar>
          </w:tcPr>
          <w:p>
            <w:pPr>
              <w:spacing w:after="120" w:line="408" w:lineRule="auto"/>
            </w:pPr>
            <w:r>
              <w:t xml:space="preserve">Context:</w:t>
            </w:r>
          </w:p>
          <w:p>
            <w:pPr>
              <w:spacing w:after="120" w:line="408" w:lineRule="auto"/>
            </w:pPr>
            <w:r>
              <w:t xml:space="preserve">Given that [Business Name] offers cybersecurity education and IT consulting, clients and prospective clients will hold your own security posture to a higher standard. Practicing what you teach is both ethically important and a competitive advantage. These items go beyond general website compliance to reflect the expectations placed on a cybersecurity-aware business.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F4EA" w:color="auto" w:val="clear"/>
            <w:tcMar>
              <w:top w:type="dxa" w:w="75"/>
              <w:left w:type="dxa" w:w="105"/>
              <w:bottom w:type="dxa" w:w="75"/>
              <w:right w:type="dxa" w:w="105"/>
            </w:tcMar>
          </w:tcPr>
          <w:p>
            <w:r>
              <w:rPr>
                <w:rFonts w:ascii="Calibri" w:cs="Calibri" w:eastAsia="Calibri" w:hAnsi="Calibri"/>
                <w:b/>
                <w:bCs/>
                <w:i w:val="false"/>
                <w:iCs w:val="false"/>
                <w:strike w:val="false"/>
                <w:color w:val="1A3A20"/>
                <w:sz w:val="20"/>
                <w:szCs w:val="20"/>
              </w:rPr>
              <w:t xml:space="preserve">☐</w:t>
            </w:r>
          </w:p>
        </w:tc>
        <w:tc>
          <w:tcPr>
            <w:tcW w:type="pct" w:w="75%"/>
            <w:shd w:fill="E8F4EA" w:color="auto" w:val="clear"/>
            <w:tcMar>
              <w:top w:type="dxa" w:w="75"/>
              <w:left w:type="dxa" w:w="105"/>
              <w:bottom w:type="dxa" w:w="75"/>
              <w:right w:type="dxa" w:w="105"/>
            </w:tcMar>
          </w:tcPr>
          <w:p>
            <w:r>
              <w:rPr>
                <w:rFonts w:ascii="Calibri" w:cs="Calibri" w:eastAsia="Calibri" w:hAnsi="Calibri"/>
                <w:b/>
                <w:bCs/>
                <w:i w:val="false"/>
                <w:iCs w:val="false"/>
                <w:strike w:val="false"/>
                <w:color w:val="1A3A20"/>
                <w:sz w:val="20"/>
                <w:szCs w:val="20"/>
              </w:rPr>
              <w:t xml:space="preserve">Requirement / Action Item</w:t>
            </w:r>
          </w:p>
        </w:tc>
        <w:tc>
          <w:tcPr>
            <w:tcW w:type="pct" w:w="8%"/>
            <w:shd w:fill="E8F4EA" w:color="auto" w:val="clear"/>
            <w:tcMar>
              <w:top w:type="dxa" w:w="75"/>
              <w:left w:type="dxa" w:w="105"/>
              <w:bottom w:type="dxa" w:w="75"/>
              <w:right w:type="dxa" w:w="105"/>
            </w:tcMar>
          </w:tcPr>
          <w:p>
            <w:r>
              <w:rPr>
                <w:rFonts w:ascii="Calibri" w:cs="Calibri" w:eastAsia="Calibri" w:hAnsi="Calibri"/>
                <w:b/>
                <w:bCs/>
                <w:i w:val="false"/>
                <w:iCs w:val="false"/>
                <w:strike w:val="false"/>
                <w:color w:val="1A3A20"/>
                <w:sz w:val="20"/>
                <w:szCs w:val="20"/>
              </w:rPr>
              <w:t xml:space="preserve">Status / Notes</w:t>
            </w:r>
          </w:p>
        </w:tc>
        <w:tc>
          <w:tcPr>
            <w:tcW w:type="pct" w:w="9%"/>
            <w:shd w:fill="E8F4EA" w:color="auto" w:val="clear"/>
            <w:tcMar>
              <w:top w:type="dxa" w:w="75"/>
              <w:left w:type="dxa" w:w="105"/>
              <w:bottom w:type="dxa" w:w="75"/>
              <w:right w:type="dxa" w:w="105"/>
            </w:tcMar>
          </w:tcPr>
          <w:p>
            <w:r>
              <w:rPr>
                <w:rFonts w:ascii="Calibri" w:cs="Calibri" w:eastAsia="Calibri" w:hAnsi="Calibri"/>
                <w:b/>
                <w:bCs/>
                <w:i w:val="false"/>
                <w:iCs w:val="false"/>
                <w:strike w:val="false"/>
                <w:color w:val="1A3A20"/>
                <w:sz w:val="20"/>
                <w:szCs w:val="20"/>
              </w:rPr>
              <w:t xml:space="preserve">Priority</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Website penetration testing or vulnerability scan performed</w:t>
            </w:r>
            <w:r>
              <w:rPr>
                <w:rFonts w:ascii="Calibri" w:cs="Calibri" w:eastAsia="Calibri" w:hAnsi="Calibri"/>
                <w:b w:val="false"/>
                <w:bCs w:val="false"/>
                <w:i w:val="false"/>
                <w:iCs w:val="false"/>
                <w:strike w:val="false"/>
                <w:color w:val="000000"/>
                <w:sz w:val="20"/>
                <w:szCs w:val="20"/>
              </w:rPr>
              <w:t xml:space="preserve"> — external vulnerability scan or basic penetration test conducted on the live website. Use reputable tools (e.g., OWASP ZAP, Qualys FreeScan) or engage a third-party tester. Findings documented and remediated. Rescan after significant changes.</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Admin access protected by strong passwords and MFA</w:t>
            </w:r>
            <w:r>
              <w:rPr>
                <w:rFonts w:ascii="Calibri" w:cs="Calibri" w:eastAsia="Calibri" w:hAnsi="Calibri"/>
                <w:b w:val="false"/>
                <w:bCs w:val="false"/>
                <w:i w:val="false"/>
                <w:iCs w:val="false"/>
                <w:strike w:val="false"/>
                <w:color w:val="000000"/>
                <w:sz w:val="20"/>
                <w:szCs w:val="20"/>
              </w:rPr>
              <w:t xml:space="preserve"> — all website admin accounts (CMS, hosting panel, domain registrar, DNS) use unique, strong passwords (16+ characters, randomly generated) stored in a password manager. Multi-factor authentication (MFA/2FA) enabled on all admin accounts without exception.</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CMS / platform kept up to date</w:t>
            </w:r>
            <w:r>
              <w:rPr>
                <w:rFonts w:ascii="Calibri" w:cs="Calibri" w:eastAsia="Calibri" w:hAnsi="Calibri"/>
                <w:b w:val="false"/>
                <w:bCs w:val="false"/>
                <w:i w:val="false"/>
                <w:iCs w:val="false"/>
                <w:strike w:val="false"/>
                <w:color w:val="000000"/>
                <w:sz w:val="20"/>
                <w:szCs w:val="20"/>
              </w:rPr>
              <w:t xml:space="preserve"> — CMS core (e.g., WordPress), themes, and plugins/extensions updated promptly when security patches are released. Auto-updates enabled for minor/security releases where possible. Unused plugins/themes removed.</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Hosting account secured with MFA</w:t>
            </w:r>
            <w:r>
              <w:rPr>
                <w:rFonts w:ascii="Calibri" w:cs="Calibri" w:eastAsia="Calibri" w:hAnsi="Calibri"/>
                <w:b w:val="false"/>
                <w:bCs w:val="false"/>
                <w:i w:val="false"/>
                <w:iCs w:val="false"/>
                <w:strike w:val="false"/>
                <w:color w:val="000000"/>
                <w:sz w:val="20"/>
                <w:szCs w:val="20"/>
              </w:rPr>
              <w:t xml:space="preserve"> — hosting provider account (cPanel, Cloudflare, AWS, etc.) protected with MFA. Recovery codes stored securely offline. Account recovery email/phone is a dedicated, secure address.</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Website backup maintained (offsite or cloud)</w:t>
            </w:r>
            <w:r>
              <w:rPr>
                <w:rFonts w:ascii="Calibri" w:cs="Calibri" w:eastAsia="Calibri" w:hAnsi="Calibri"/>
                <w:b w:val="false"/>
                <w:bCs w:val="false"/>
                <w:i w:val="false"/>
                <w:iCs w:val="false"/>
                <w:strike w:val="false"/>
                <w:color w:val="000000"/>
                <w:sz w:val="20"/>
                <w:szCs w:val="20"/>
              </w:rPr>
              <w:t xml:space="preserve"> — automated backups of all website files and database taken at minimum weekly (daily preferred). Backups stored in a separate location from the primary hosting (offsite or separate cloud account). Backup restoration tested at least annually.</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Incident response plan documented</w:t>
            </w:r>
            <w:r>
              <w:rPr>
                <w:rFonts w:ascii="Calibri" w:cs="Calibri" w:eastAsia="Calibri" w:hAnsi="Calibri"/>
                <w:b w:val="false"/>
                <w:bCs w:val="false"/>
                <w:i w:val="false"/>
                <w:iCs w:val="false"/>
                <w:strike w:val="false"/>
                <w:color w:val="000000"/>
                <w:sz w:val="20"/>
                <w:szCs w:val="20"/>
              </w:rPr>
              <w:t xml:space="preserve"> — written procedure for responding to a security incident affecting the website or client data: detection, containment, assessment, notification (per applicable regulations), recovery, and post-incident review. Plan reviewed annually.</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Client project data handled under separate confidentiality agreements</w:t>
            </w:r>
            <w:r>
              <w:rPr>
                <w:rFonts w:ascii="Calibri" w:cs="Calibri" w:eastAsia="Calibri" w:hAnsi="Calibri"/>
                <w:b w:val="false"/>
                <w:bCs w:val="false"/>
                <w:i w:val="false"/>
                <w:iCs w:val="false"/>
                <w:strike w:val="false"/>
                <w:color w:val="000000"/>
                <w:sz w:val="20"/>
                <w:szCs w:val="20"/>
              </w:rPr>
              <w:t xml:space="preserve"> — all client engagements (IT consulting, cybersecurity work) covered by a written agreement including confidentiality/NDA provisions, data handling obligations, and scope limitations. Templates reviewed by an attorney.</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7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Cybersecurity education content reviewed for accuracy and appropriate disclaimers</w:t>
            </w:r>
            <w:r>
              <w:rPr>
                <w:rFonts w:ascii="Calibri" w:cs="Calibri" w:eastAsia="Calibri" w:hAnsi="Calibri"/>
                <w:b w:val="false"/>
                <w:bCs w:val="false"/>
                <w:i w:val="false"/>
                <w:iCs w:val="false"/>
                <w:strike w:val="false"/>
                <w:color w:val="000000"/>
                <w:sz w:val="20"/>
                <w:szCs w:val="20"/>
              </w:rPr>
              <w:t xml:space="preserve"> — all educational content (blog posts, guides, tutorials) reviewed to ensure technical accuracy. Include clear disclaimers where content does not constitute professional advice tailored to the reader's specific situation. Avoid content that could constitute unlicensed practice (varies by jurisdiction).</w:t>
            </w:r>
          </w:p>
        </w:tc>
        <w:tc>
          <w:tcPr>
            <w:tcW w:type="pct" w:w="8%"/>
            <w:tcMar>
              <w:top w:type="dxa" w:w="75"/>
              <w:left w:type="dxa" w:w="105"/>
              <w:bottom w:type="dxa" w:w="75"/>
              <w:right w:type="dxa" w:w="105"/>
            </w:tcMar>
          </w:tcPr>
          <w:p>
            <w:r>
              <w:rPr>
                <w:b w:val="false"/>
                <w:bCs w:val="false"/>
              </w:rPr>
              <w:t xml:space="preserve"/>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r>
    </w:tbl>
    <w:p>
      <w:pPr>
        <w:spacing w:after="200" w:before="0"/>
      </w:pPr>
    </w:p>
    <w:p>
      <w:pPr>
        <w:spacing w:after="240" w:line="408" w:lineRule="auto"/>
      </w:pPr>
      <w:r>
        <w:rPr>
          <w:b w:val="false"/>
          <w:bCs w:val="false"/>
          <w:i w:val="false"/>
          <w:iCs w:val="false"/>
          <w:color w:val="FFFFFF"/>
          <w:shd w:fill="2B5797" w:color="auto" w:val="clear"/>
        </w:rPr>
        <w:t xml:space="preserve">SECTION 10</w:t>
      </w:r>
    </w:p>
    <w:p>
      <w:pPr>
        <w:pStyle w:val="Heading1"/>
        <w:spacing w:after="120" w:before="480" w:line="312" w:lineRule="auto"/>
      </w:pPr>
      <w:r>
        <w:rPr>
          <w:rFonts w:ascii="Calibri" w:cs="Calibri" w:eastAsia="Calibri" w:hAnsi="Calibri"/>
          <w:color w:val="1A1A1A"/>
          <w:sz w:val="44"/>
          <w:szCs w:val="44"/>
        </w:rPr>
        <w:t xml:space="preserve">Master Implementation Tracker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Use this summary table to track overall compliance progress across all regulatory areas. Update regularly and review at minimum annually or whenever a relevant law changes.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8%"/>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Regulation / Area</w:t>
            </w:r>
          </w:p>
        </w:tc>
        <w:tc>
          <w:tcPr>
            <w:tcW w:type="pct" w:w="24%"/>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Overall Status</w:t>
            </w:r>
          </w:p>
        </w:tc>
        <w:tc>
          <w:tcPr>
            <w:tcW w:type="pct" w:w="10%"/>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Priority</w:t>
            </w:r>
          </w:p>
        </w:tc>
        <w:tc>
          <w:tcPr>
            <w:tcW w:type="pct" w:w="12%"/>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Target Completion Date</w:t>
            </w:r>
          </w:p>
        </w:tc>
        <w:tc>
          <w:tcPr>
            <w:tcW w:type="pct" w:w="26%"/>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Notes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GDPR</w:t>
            </w:r>
            <w:r>
              <w:rPr>
                <w:rFonts w:ascii="Calibri" w:cs="Calibri" w:eastAsia="Calibri" w:hAnsi="Calibri"/>
                <w:b w:val="false"/>
                <w:bCs w:val="false"/>
                <w:i w:val="false"/>
                <w:iCs w:val="false"/>
                <w:strike w:val="false"/>
                <w:color w:val="000000"/>
                <w:sz w:val="20"/>
                <w:szCs w:val="20"/>
              </w:rPr>
              <w:t xml:space="preserve"> (EU / EEA)</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b w:val="false"/>
                <w:bCs w:val="false"/>
              </w:rPr>
              <w:t xml:space="preserve"/>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UK GDPR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b w:val="false"/>
                <w:bCs w:val="false"/>
              </w:rPr>
              <w:t xml:space="preserve"/>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CCPA / CPRA</w:t>
            </w:r>
            <w:r>
              <w:rPr>
                <w:rFonts w:ascii="Calibri" w:cs="Calibri" w:eastAsia="Calibri" w:hAnsi="Calibri"/>
                <w:b w:val="false"/>
                <w:bCs w:val="false"/>
                <w:i w:val="false"/>
                <w:iCs w:val="false"/>
                <w:strike w:val="false"/>
                <w:color w:val="000000"/>
                <w:sz w:val="20"/>
                <w:szCs w:val="20"/>
              </w:rPr>
              <w:t xml:space="preserve"> (California)</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Likely below threshold — document finding</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WA Privacy Act</w:t>
            </w:r>
            <w:r>
              <w:rPr>
                <w:rFonts w:ascii="Calibri" w:cs="Calibri" w:eastAsia="Calibri" w:hAnsi="Calibri"/>
                <w:b w:val="false"/>
                <w:bCs w:val="false"/>
                <w:i w:val="false"/>
                <w:iCs w:val="false"/>
                <w:strike w:val="false"/>
                <w:color w:val="000000"/>
                <w:sz w:val="20"/>
                <w:szCs w:val="20"/>
              </w:rPr>
              <w:t xml:space="preserve"> (Washington State)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Home state — prioritize</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My Health MY Data Act</w:t>
            </w:r>
            <w:r>
              <w:rPr>
                <w:rFonts w:ascii="Calibri" w:cs="Calibri" w:eastAsia="Calibri" w:hAnsi="Calibri"/>
                <w:b w:val="false"/>
                <w:bCs w:val="false"/>
                <w:i w:val="false"/>
                <w:iCs w:val="false"/>
                <w:strike w:val="false"/>
                <w:color w:val="000000"/>
                <w:sz w:val="20"/>
                <w:szCs w:val="20"/>
              </w:rPr>
              <w:t xml:space="preserve"> (Washington)</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Confirm no health data collected</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WA SHIELD Act</w:t>
            </w:r>
            <w:r>
              <w:rPr>
                <w:rFonts w:ascii="Calibri" w:cs="Calibri" w:eastAsia="Calibri" w:hAnsi="Calibri"/>
                <w:b w:val="false"/>
                <w:bCs w:val="false"/>
                <w:i w:val="false"/>
                <w:iCs w:val="false"/>
                <w:strike w:val="false"/>
                <w:color w:val="000000"/>
                <w:sz w:val="20"/>
                <w:szCs w:val="20"/>
              </w:rPr>
              <w:t xml:space="preserve"> (Data Security)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b w:val="false"/>
                <w:bCs w:val="false"/>
              </w:rPr>
              <w:t xml:space="preserve"/>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LGPD</w:t>
            </w:r>
            <w:r>
              <w:rPr>
                <w:rFonts w:ascii="Calibri" w:cs="Calibri" w:eastAsia="Calibri" w:hAnsi="Calibri"/>
                <w:b w:val="false"/>
                <w:bCs w:val="false"/>
                <w:i w:val="false"/>
                <w:iCs w:val="false"/>
                <w:strike w:val="false"/>
                <w:color w:val="000000"/>
                <w:sz w:val="20"/>
                <w:szCs w:val="20"/>
              </w:rPr>
              <w:t xml:space="preserve"> (Brazil)</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b w:val="false"/>
                <w:bCs w:val="false"/>
              </w:rPr>
              <w:t xml:space="preserve"/>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PIPEDA</w:t>
            </w:r>
            <w:r>
              <w:rPr>
                <w:rFonts w:ascii="Calibri" w:cs="Calibri" w:eastAsia="Calibri" w:hAnsi="Calibri"/>
                <w:b w:val="false"/>
                <w:bCs w:val="false"/>
                <w:i w:val="false"/>
                <w:iCs w:val="false"/>
                <w:strike w:val="false"/>
                <w:color w:val="000000"/>
                <w:sz w:val="20"/>
                <w:szCs w:val="20"/>
              </w:rPr>
              <w:t xml:space="preserve"> (Canada Federal)</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b w:val="false"/>
                <w:bCs w:val="false"/>
              </w:rPr>
              <w:t xml:space="preserve"/>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Quebec Law 25</w:t>
            </w:r>
            <w:r>
              <w:rPr>
                <w:rFonts w:ascii="Calibri" w:cs="Calibri" w:eastAsia="Calibri" w:hAnsi="Calibri"/>
                <w:b w:val="false"/>
                <w:bCs w:val="false"/>
                <w:i w:val="false"/>
                <w:iCs w:val="false"/>
                <w:strike w:val="false"/>
                <w:color w:val="000000"/>
                <w:sz w:val="20"/>
                <w:szCs w:val="20"/>
              </w:rPr>
              <w:t xml:space="preserve"> (Canada)</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b w:val="false"/>
                <w:bCs w:val="false"/>
              </w:rPr>
              <w:t xml:space="preserve"/>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Australia Privacy Act / APPs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600"/>
                <w:sz w:val="22"/>
                <w:szCs w:val="22"/>
              </w:rPr>
              <w:t xml:space="preserve">Low</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Likely exempt — confirm threshold</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General Technical Compliance</w:t>
            </w:r>
            <w:r>
              <w:rPr>
                <w:rFonts w:ascii="Calibri" w:cs="Calibri" w:eastAsia="Calibri" w:hAnsi="Calibri"/>
                <w:b w:val="false"/>
                <w:bCs w:val="false"/>
                <w:i w:val="false"/>
                <w:iCs w:val="false"/>
                <w:strike w:val="false"/>
                <w:color w:val="000000"/>
                <w:sz w:val="20"/>
                <w:szCs w:val="20"/>
              </w:rPr>
              <w:t xml:space="preserve"> (HTTPS, cookies, etc.)</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Foundational — complete first</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Cybersecurity Practices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Core to business credibility</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Privacy Policy (Global)</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Covers GDPR, UK GDPR, CCPA, LGPD, PIPEDA, APPs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Terms of Service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b w:val="false"/>
                <w:bCs w:val="false"/>
              </w:rPr>
              <w:t xml:space="preserve"/>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Cookie Consent Banner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Required for EU/UK visitors</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Data Breach Response Plan</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Covers GDPR 72-hr, PIPEDA, WA SHIELD</w:t>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Client Contracts / NDAs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c>
          <w:tcPr>
            <w:tcW w:type="pct" w:w="12%"/>
            <w:tcMar>
              <w:top w:type="dxa" w:w="75"/>
              <w:left w:type="dxa" w:w="105"/>
              <w:bottom w:type="dxa" w:w="75"/>
              <w:right w:type="dxa" w:w="105"/>
            </w:tcMar>
          </w:tcPr>
          <w:p>
            <w:r>
              <w:rPr>
                <w:b w:val="false"/>
                <w:bCs w:val="false"/>
              </w:rPr>
              <w:t xml:space="preserve"/>
            </w:r>
          </w:p>
        </w:tc>
        <w:tc>
          <w:tcPr>
            <w:tcW w:type="pct" w:w="26%"/>
            <w:tcMar>
              <w:top w:type="dxa" w:w="75"/>
              <w:left w:type="dxa" w:w="105"/>
              <w:bottom w:type="dxa" w:w="75"/>
              <w:right w:type="dxa" w:w="105"/>
            </w:tcMar>
          </w:tcPr>
          <w:p>
            <w:r>
              <w:rPr>
                <w:b w:val="false"/>
                <w:bCs w:val="false"/>
              </w:rPr>
              <w:t xml:space="preserve"/>
            </w:r>
          </w:p>
        </w:tc>
      </w:tr>
      <w:tr>
        <w:trPr>
          <w:tblHeader w:val="false"/>
        </w:trPr>
        <w:tc>
          <w:tcPr>
            <w:tcW w:type="pct" w:w="2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Annual Compliance Review</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Not Started   ☐ In Progress   ☐ Complete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B36B00"/>
                <w:sz w:val="22"/>
                <w:szCs w:val="22"/>
              </w:rPr>
              <w:t xml:space="preserve">Medium</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July 2027</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Schedule recurring calendar reminder</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8FD" w:color="auto" w:val="clear"/>
            <w:tcMar>
              <w:top w:type="dxa" w:w="180"/>
              <w:left w:type="dxa" w:w="210"/>
              <w:bottom w:type="dxa" w:w="180"/>
              <w:right w:type="dxa" w:w="210"/>
            </w:tcMar>
          </w:tcPr>
          <w:p>
            <w:pPr>
              <w:spacing w:after="120" w:line="408" w:lineRule="auto"/>
            </w:pPr>
            <w:r>
              <w:t xml:space="preserve">Document Notice:</w:t>
            </w:r>
          </w:p>
          <w:p>
            <w:pPr>
              <w:spacing w:after="120" w:line="408" w:lineRule="auto"/>
            </w:pPr>
            <w:r>
              <w:t xml:space="preserve">This checklist was prepared as a self-assessment tool for</w:t>
            </w:r>
          </w:p>
          <w:p>
            <w:pPr>
              <w:spacing w:after="120" w:line="408" w:lineRule="auto"/>
            </w:pPr>
            <w:r>
              <w:t xml:space="preserve">[Business Name]</w:t>
            </w:r>
          </w:p>
          <w:p>
            <w:pPr>
              <w:spacing w:after="120" w:line="408" w:lineRule="auto"/>
            </w:pPr>
            <w:r>
              <w:t xml:space="preserve">as of</w:t>
            </w:r>
          </w:p>
          <w:p>
            <w:pPr>
              <w:spacing w:after="120" w:line="408" w:lineRule="auto"/>
            </w:pPr>
            <w:r>
              <w:t xml:space="preserve">July 22, 2026</w:t>
            </w:r>
          </w:p>
          <w:p>
            <w:pPr>
              <w:spacing w:after="120" w:line="408" w:lineRule="auto"/>
            </w:pPr>
            <w:r>
              <w:t xml:space="preserve">, for a home-based technology business located in Port Orchard, Washington, USA, providing software engineering, cybersecurity education, and IT consulting services via a globally accessible website. Laws change frequently — including data protection, privacy, and cybersecurity regulations in the EU, UK, US states, Brazil, Canada, and Australia.</w:t>
            </w:r>
          </w:p>
          <w:p>
            <w:pPr>
              <w:spacing w:after="120" w:line="408" w:lineRule="auto"/>
            </w:pPr>
            <w:r>
              <w:t xml:space="preserve">Review this checklist at least annually and whenever you become aware of a relevant legal change.</w:t>
            </w:r>
          </w:p>
          <w:p>
            <w:pPr>
              <w:spacing w:after="120" w:line="408" w:lineRule="auto"/>
            </w:pPr>
            <w:r>
              <w:t xml:space="preserve">This document does not constitute legal advice. Consult a qualified attorney licensed in the applicable jurisdiction(s) for legal advice specific to your situation and business.</w:t>
            </w:r>
          </w:p>
        </w:tc>
      </w:tr>
    </w:tbl>
    <w:p>
      <w:pPr>
        <w:spacing w:after="240" w:before="0"/>
      </w:pPr>
    </w:p>
    <w:p>
      <w:pPr>
        <w:pBdr>
          <w:bottom w:val="single" w:color="AAAAAA"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z w:val="17"/>
          <w:szCs w:val="17"/>
        </w:rPr>
        <w:t xml:space="preserve">Website Compliance Checklist — Global Standards  |  [Business Name]  |  Effective July 22, 2026  |  CONFIDENTIAL — Self-Assessment Tool Only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rggDKm2XGpUkWmkaRdMRC</dc:title>
  <dc:creator>Un-named</dc:creator>
  <dc:description>Generated document</dc:description>
  <cp:lastModifiedBy>Un-named</cp:lastModifiedBy>
  <cp:revision>1</cp:revision>
  <dcterms:created xsi:type="dcterms:W3CDTF">2026-07-23T05:09:37.630Z</dcterms:created>
  <dcterms:modified xsi:type="dcterms:W3CDTF">2026-07-23T05:09:37.630Z</dcterms:modified>
</cp:coreProperties>
</file>

<file path=docProps/custom.xml><?xml version="1.0" encoding="utf-8"?>
<Properties xmlns="http://schemas.openxmlformats.org/officeDocument/2006/custom-properties" xmlns:vt="http://schemas.openxmlformats.org/officeDocument/2006/docPropsVTypes"/>
</file>