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b2a4a"/>
          <w:sz w:val="48"/>
          <w:szCs w:val="48"/>
          <w:u w:color="1b2a4a"/>
          <w:rtl w:val="0"/>
          <w:lang w:val="de-DE"/>
          <w14:textFill>
            <w14:solidFill>
              <w14:srgbClr w14:val="1B2A4A"/>
            </w14:solidFill>
          </w14:textFill>
        </w:rPr>
        <w:t>ACRE PROTOCOL</w:t>
      </w:r>
    </w:p>
    <w:p>
      <w:pPr>
        <w:pStyle w:val="Body"/>
        <w:bidi w:val="0"/>
      </w:pPr>
      <w:r>
        <w:rPr>
          <w:rFonts w:ascii="Arial" w:hAnsi="Arial"/>
          <w:b w:val="1"/>
          <w:bCs w:val="1"/>
          <w:outline w:val="0"/>
          <w:color w:val="d4a853"/>
          <w:sz w:val="34"/>
          <w:szCs w:val="34"/>
          <w:u w:color="d4a853"/>
          <w:rtl w:val="0"/>
          <w:lang w:val="en-US"/>
          <w14:textFill>
            <w14:solidFill>
              <w14:srgbClr w14:val="D4A853"/>
            </w14:solidFill>
          </w14:textFill>
        </w:rPr>
        <w:t>Head of Institutional Adoption</w:t>
      </w:r>
    </w:p>
    <w:p>
      <w:pPr>
        <w:pStyle w:val="Body"/>
        <w:bidi w:val="0"/>
      </w:pPr>
      <w:r>
        <w:rPr>
          <w:rFonts w:ascii="Arial" w:hAnsi="Arial"/>
          <w:outline w:val="0"/>
          <w:color w:val="666666"/>
          <w:sz w:val="28"/>
          <w:szCs w:val="28"/>
          <w:u w:color="666666"/>
          <w:rtl w:val="0"/>
          <w:lang w:val="en-US"/>
          <w14:textFill>
            <w14:solidFill>
              <w14:srgbClr w14:val="666666"/>
            </w14:solidFill>
          </w14:textFill>
        </w:rPr>
        <w:t>Executive Role Charter</w:t>
      </w:r>
    </w:p>
    <w:p>
      <w:pPr>
        <w:pStyle w:val="Body"/>
        <w:bidi w:val="0"/>
      </w:pPr>
      <w:r>
        <w:rPr>
          <w:rFonts w:cs="Arial Unicode MS" w:eastAsia="Arial Unicode MS"/>
          <w:outline w:val="0"/>
          <w:color w:val="666666"/>
          <w:u w:color="666666"/>
          <w:rtl w:val="0"/>
          <w:lang w:val="it-IT"/>
          <w14:textFill>
            <w14:solidFill>
              <w14:srgbClr w14:val="666666"/>
            </w14:solidFill>
          </w14:textFill>
        </w:rPr>
        <w:t>Author: Nico Marotta</w:t>
      </w:r>
    </w:p>
    <w:p>
      <w:pPr>
        <w:pStyle w:val="Body"/>
        <w:bidi w:val="0"/>
      </w:pPr>
      <w:r>
        <w:rPr>
          <w:rFonts w:cs="Arial Unicode MS" w:eastAsia="Arial Unicode MS"/>
          <w:outline w:val="0"/>
          <w:color w:val="666666"/>
          <w:u w:color="666666"/>
          <w:rtl w:val="0"/>
          <w:lang w:val="de-DE"/>
          <w14:textFill>
            <w14:solidFill>
              <w14:srgbClr w14:val="666666"/>
            </w14:solidFill>
          </w14:textFill>
        </w:rPr>
        <w:t>Organization: AcreBTC  |  Date: March 2026</w:t>
      </w:r>
    </w:p>
    <w:p>
      <w:pPr>
        <w:pStyle w:val="Body"/>
        <w:bidi w:val="0"/>
      </w:pPr>
      <w:r>
        <w:rPr>
          <w:rFonts w:ascii="Times New Roman" w:hAnsi="Times New Roman"/>
          <w:i w:val="1"/>
          <w:iCs w:val="1"/>
          <w:outline w:val="0"/>
          <w:color w:val="666666"/>
          <w:sz w:val="20"/>
          <w:szCs w:val="20"/>
          <w:u w:color="666666"/>
          <w:rtl w:val="0"/>
          <w:lang w:val="en-US"/>
          <w14:textFill>
            <w14:solidFill>
              <w14:srgbClr w14:val="666666"/>
            </w14:solidFill>
          </w14:textFill>
        </w:rPr>
        <w:t xml:space="preserve">Classification: Confidential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lang w:val="en-US"/>
          <w14:textFill>
            <w14:solidFill>
              <w14:srgbClr w14:val="666666"/>
            </w14:solidFill>
          </w14:textFill>
        </w:rPr>
        <w:t>Executive Leadership</w:t>
      </w:r>
    </w:p>
    <w:p>
      <w:pPr>
        <w:pStyle w:val="Body"/>
        <w:bidi w:val="0"/>
      </w:pPr>
      <w:r>
        <w:rPr>
          <w:rFonts w:ascii="Arial Unicode MS" w:cs="Arial Unicode MS" w:hAnsi="Arial Unicode MS" w:eastAsia="Arial Unicode MS"/>
          <w:b w:val="0"/>
          <w:bCs w:val="0"/>
          <w:i w:val="0"/>
          <w:iCs w:val="0"/>
        </w:rPr>
        <w:br w:type="page"/>
      </w:r>
    </w:p>
    <w:p>
      <w:pPr>
        <w:pStyle w:val="Heading"/>
      </w:pPr>
      <w:bookmarkStart w:name="_Toc" w:id="0"/>
      <w:r>
        <w:rPr>
          <w:rFonts w:cs="Arial Unicode MS" w:eastAsia="Arial Unicode MS"/>
          <w:rtl w:val="0"/>
          <w:lang w:val="en-US"/>
        </w:rPr>
        <w:t>Table of Contents</w:t>
      </w:r>
      <w:bookmarkEnd w:id="0"/>
    </w:p>
    <w:p>
      <w:pPr>
        <w:pStyle w:val="Heading"/>
      </w:pPr>
      <w:r>
        <w:rPr/>
        <w:fldChar w:fldCharType="begin" w:fldLock="0"/>
      </w:r>
      <w:r>
        <w:instrText xml:space="preserve"> TOC \o 1-2 </w:instrText>
      </w:r>
      <w:r>
        <w:rPr/>
        <w:fldChar w:fldCharType="separate" w:fldLock="0"/>
      </w:r>
    </w:p>
    <w:p>
      <w:pPr>
        <w:pStyle w:val="TOC 1"/>
        <w:bidi w:val="0"/>
      </w:pPr>
      <w:r>
        <w:rPr>
          <w:rFonts w:cs="Arial Unicode MS" w:eastAsia="Arial Unicode MS"/>
          <w:rtl w:val="0"/>
          <w:lang w:val="en-US"/>
        </w:rPr>
        <w:t>Table of Contents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en-US"/>
        </w:rPr>
        <w:t>Executive Summary</w:t>
        <w:tab/>
      </w:r>
      <w:r>
        <w:rPr/>
        <w:fldChar w:fldCharType="begin" w:fldLock="0"/>
      </w:r>
      <w:r>
        <w:instrText xml:space="preserve"> PAGEREF _Toc1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rtl w:val="0"/>
          <w:lang w:val="en-US"/>
        </w:rPr>
        <w:t>Prepared for: Laura Wallendal, CEO, Acre Protocol</w:t>
        <w:tab/>
      </w:r>
      <w:r>
        <w:rPr/>
        <w:fldChar w:fldCharType="begin" w:fldLock="0"/>
      </w:r>
      <w:r>
        <w:instrText xml:space="preserve"> PAGEREF _Toc2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hint="default"/>
          <w:rtl w:val="0"/>
          <w:lang w:val="en-US" w:bidi="ar-SA"/>
        </w:rPr>
        <w:t>The institutional era of Bitcoin finance is no longer a projection—it is underway. In Q1 2026, JPMorgan, Morgan Stanley, Charles Schwab ($11.6 trillion in client assets), and Citigroup are all simultaneously building or launching Bitcoin trading and custody services for institutional clients. Spot Bitcoin ETFs are projected to reach $180–220 billion in AUM by year-end 2026. 76% of global investors plan to expand digital asset exposure this year. Grayscale titled their 2026 market report “Dawn of the Institutional Era.”</w:t>
        <w:tab/>
      </w:r>
      <w:r>
        <w:rPr/>
        <w:fldChar w:fldCharType="begin" w:fldLock="0"/>
      </w:r>
      <w:r>
        <w:instrText xml:space="preserve"> PAGEREF _Toc3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hint="default"/>
          <w:rtl w:val="0"/>
          <w:lang w:val="en-US"/>
        </w:rPr>
        <w:t>Acre stands at a strategic inflection point. With $100M+ in TVL, 36,000+ community members, a 9-member independent Security Council, vault infrastructure curated by Re7 Labs and built by Midas, and a chain-agnostic, protocol-agnostic architecture designed to scale across multiple digital assets and ERC-20 vaults—Acre has built the product infrastructure for institutional-grade Bitcoin finance. Acre’s key feature is making complex systems approachable: turning sophisticated vault infrastructure into something institutions can understand, trust, and integrate.</w:t>
        <w:tab/>
      </w:r>
      <w:r>
        <w:rPr/>
        <w:fldChar w:fldCharType="begin" w:fldLock="0"/>
      </w:r>
      <w:r>
        <w:instrText xml:space="preserve"> PAGEREF _Toc4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rtl w:val="0"/>
          <w:lang w:val="en-US"/>
        </w:rPr>
        <w:t>What Acre has not yet formalized is the human infrastructure required to drive institutional adoption at the level these stakeholders expect.</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hint="default"/>
          <w:rtl w:val="0"/>
          <w:lang w:val="en-US"/>
        </w:rPr>
        <w:t>The regulatory framework has crystallized in Acre’s favor: The GENIUS Act is now law with OCC implementing rules published in February 2026. An executive order has opened 401(k) and defined-contribution retirement plans to digital assets. MiCA is fully operational in Europe. Texas, New Hampshire, and Wyoming have all created state-level Bitcoin reserves. 170+ public companies hold nearly one million BTC on their balance sheets.</w:t>
        <w:tab/>
      </w:r>
      <w:r>
        <w:rPr/>
        <w:fldChar w:fldCharType="begin" w:fldLock="0"/>
      </w:r>
      <w:r>
        <w:instrText xml:space="preserve"> PAGEREF _Toc6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hint="default"/>
          <w:rtl w:val="0"/>
          <w:lang w:val="en-US"/>
        </w:rPr>
        <w:t>These institutional participants do not discover Bitcoin yield products through Discord or Twitter. They operate through LinkedIn, structured briefings, direct email, scheduled meetings, and professional diligence processes. No major BTCFi competitor—not Babylon ($4.8B TVL), Lombard ($1.8B TVL), Citrea, Botanix, or SOLV Foundation ($2.8B TVL)—has formally established a dedicated institutional adoption executive. Meanwhile, companies that successfully service institutional capital—Morpho, Pendle, Monad Foundation, Coinbase, Fidelity—all have dedicated institutional roles. This is a first-mover opportunity for Acre.</w:t>
        <w:tab/>
      </w:r>
      <w:r>
        <w:rPr/>
        <w:fldChar w:fldCharType="begin" w:fldLock="0"/>
      </w:r>
      <w:r>
        <w:instrText xml:space="preserve"> PAGEREF _Toc7 \h </w:instrText>
      </w:r>
      <w:r>
        <w:rPr/>
        <w:fldChar w:fldCharType="separate" w:fldLock="0"/>
      </w:r>
      <w:r>
        <w:rPr>
          <w:rFonts w:cs="Arial Unicode MS" w:eastAsia="Arial Unicode MS"/>
          <w:rtl w:val="0"/>
        </w:rPr>
        <w:t>9</w:t>
      </w:r>
      <w:r>
        <w:rPr/>
        <w:fldChar w:fldCharType="end" w:fldLock="0"/>
      </w:r>
    </w:p>
    <w:p>
      <w:pPr>
        <w:pStyle w:val="TOC 1"/>
        <w:bidi w:val="0"/>
      </w:pPr>
      <w:r>
        <w:rPr>
          <w:rFonts w:cs="Arial Unicode MS" w:eastAsia="Arial Unicode MS" w:hint="default"/>
          <w:rtl w:val="0"/>
          <w:lang w:val="en-US" w:bidi="ar-SA"/>
        </w:rPr>
        <w:t>This charter formalizes the creation of the Head of Institutional Adoption role, to be filled by Nico Marotta through a promotion from Community Lead. The title “Adoption” was selected deliberately: it captures Acre’s core differentiator of making complex infrastructure approachable, implies the full institutional journey from onboarding through active engagement, and is unique in the BTCFi space—no competitor uses it. The role carries four integrated operational pillars: Institutional Adoption, Governance &amp; Trust, Ecosystem Growth, and Market Intelligence.</w:t>
        <w:tab/>
      </w:r>
      <w:r>
        <w:rPr/>
        <w:fldChar w:fldCharType="begin" w:fldLock="0"/>
      </w:r>
      <w:r>
        <w:instrText xml:space="preserve"> PAGEREF _Toc8 \h </w:instrText>
      </w:r>
      <w:r>
        <w:rPr/>
        <w:fldChar w:fldCharType="separate" w:fldLock="0"/>
      </w:r>
      <w:r>
        <w:rPr>
          <w:rFonts w:cs="Arial Unicode MS" w:eastAsia="Arial Unicode MS"/>
          <w:rtl w:val="0"/>
        </w:rPr>
        <w:t>9</w:t>
      </w:r>
      <w:r>
        <w:rPr/>
        <w:fldChar w:fldCharType="end" w:fldLock="0"/>
      </w:r>
    </w:p>
    <w:p>
      <w:pPr>
        <w:pStyle w:val="TOC 1"/>
        <w:bidi w:val="0"/>
      </w:pPr>
      <w:r>
        <w:rPr>
          <w:rFonts w:cs="Arial Unicode MS" w:eastAsia="Arial Unicode MS" w:hint="default"/>
          <w:rtl w:val="0"/>
          <w:lang w:val="en-US"/>
        </w:rPr>
        <w:t>Nico’s trajectory—from Keep Network early participant to Threshold DAO governance contributor to building Acre’s community from zero to 36,000+ members—makes him the natural owner of this function. His ability to translate complex systems into approachable narratives is precisely the skill that defines institutional adoption. With the addition of a Community Operations Manager and advanced automation systems, Nico can redirect executive capacity toward institutional adoption while ensuring community excellence continues uninterrupted.</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1"/>
        <w:bidi w:val="0"/>
      </w:pPr>
      <w:r>
        <w:rPr>
          <w:rFonts w:cs="Arial Unicode MS" w:eastAsia="Arial Unicode MS"/>
          <w:rtl w:val="0"/>
          <w:lang w:val="en-US"/>
        </w:rPr>
        <w:t>Strategic Context</w:t>
        <w:tab/>
      </w:r>
      <w:r>
        <w:rPr/>
        <w:fldChar w:fldCharType="begin" w:fldLock="0"/>
      </w:r>
      <w:r>
        <w:instrText xml:space="preserve"> PAGEREF _Toc10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The Institutional Shift in Bitcoin Finance (Q1 2026)</w:t>
        <w:tab/>
      </w:r>
      <w:r>
        <w:rPr/>
        <w:fldChar w:fldCharType="begin" w:fldLock="0"/>
      </w:r>
      <w:r>
        <w:instrText xml:space="preserve"> PAGEREF _Toc11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Bitcoin finance has crossed from emerging to institutional. The following developments are confirmed actions occurring in Q1 2026:</w:t>
        <w:tab/>
      </w:r>
      <w:r>
        <w:rPr/>
        <w:fldChar w:fldCharType="begin" w:fldLock="0"/>
      </w:r>
      <w:r>
        <w:instrText xml:space="preserve"> PAGEREF _Toc12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The Gap in BTCFi</w:t>
        <w:tab/>
      </w:r>
      <w:r>
        <w:rPr/>
        <w:fldChar w:fldCharType="begin" w:fldLock="0"/>
      </w:r>
      <w:r>
        <w:instrText xml:space="preserve"> PAGEREF _Toc13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Despite this institutional migration, the BTCFi sector remains almost entirely oriented toward retail engagement. Research across Babylon ($4.8B TVL), Lombard ($1.8B TVL, 60% market share in Bitcoin liquid staking), SOLV Foundation ($2.8B TVL), Citrea, and Botanix reveals no publicly established institutional adoption executive at any competitor.</w:t>
        <w:tab/>
      </w:r>
      <w:r>
        <w:rPr/>
        <w:fldChar w:fldCharType="begin" w:fldLock="0"/>
      </w:r>
      <w:r>
        <w:instrText xml:space="preserve"> PAGEREF _Toc14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Meanwhile, companies that service institutional capital successfully all have dedicated functions: Morpho Protocol (Senior Institutional Partnerships), Pendle Finance (Head of Institutional BD), Monad Foundation (Head of Institutional Growth), Coinbase (Head of Institutional Strategy), Fidelity (President, Digital Assets), EigenLayer (Chief Commercial Officer), Chainlink Labs (Head of Ecosystem Development). The pattern is clear.</w:t>
        <w:tab/>
      </w:r>
      <w:r>
        <w:rPr/>
        <w:fldChar w:fldCharType="begin" w:fldLock="0"/>
      </w:r>
      <w:r>
        <w:instrText xml:space="preserve"> PAGEREF _Toc15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Acre has the product, the risk management, the security framework, and the community. Creating the institutional adoption function closes the final gap between product readiness and institutional capital access.</w:t>
        <w:tab/>
      </w:r>
      <w:r>
        <w:rPr/>
        <w:fldChar w:fldCharType="begin" w:fldLock="0"/>
      </w:r>
      <w:r>
        <w:instrText xml:space="preserve"> PAGEREF _Toc16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What Institutions Need from Acre</w:t>
        <w:tab/>
      </w:r>
      <w:r>
        <w:rPr/>
        <w:fldChar w:fldCharType="begin" w:fldLock="0"/>
      </w:r>
      <w:r>
        <w:instrText xml:space="preserve"> PAGEREF _Toc17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hint="default"/>
          <w:rtl w:val="0"/>
          <w:lang w:val="en-US" w:bidi="ar-SA"/>
        </w:rPr>
        <w:t>Research from Grayscale’s “Dawn of the Institutional Era” report, Citi’s custody framework, and institutional surveys reveals consistent requirements:</w:t>
        <w:tab/>
      </w:r>
      <w:r>
        <w:rPr/>
        <w:fldChar w:fldCharType="begin" w:fldLock="0"/>
      </w:r>
      <w:r>
        <w:instrText xml:space="preserve"> PAGEREF _Toc18 \h </w:instrText>
      </w:r>
      <w:r>
        <w:rPr/>
        <w:fldChar w:fldCharType="separate" w:fldLock="0"/>
      </w:r>
      <w:r>
        <w:rPr>
          <w:rFonts w:cs="Arial Unicode MS" w:eastAsia="Arial Unicode MS"/>
          <w:rtl w:val="0"/>
        </w:rPr>
        <w:t>11</w:t>
      </w:r>
      <w:r>
        <w:rPr/>
        <w:fldChar w:fldCharType="end" w:fldLock="0"/>
      </w:r>
    </w:p>
    <w:p>
      <w:pPr>
        <w:pStyle w:val="TOC 1"/>
        <w:bidi w:val="0"/>
      </w:pPr>
      <w:r>
        <w:rPr>
          <w:rFonts w:cs="Arial Unicode MS" w:eastAsia="Arial Unicode MS"/>
          <w:rtl w:val="0"/>
          <w:lang w:val="en-US"/>
        </w:rPr>
        <w:t>Role Definition</w:t>
        <w:tab/>
      </w:r>
      <w:r>
        <w:rPr/>
        <w:fldChar w:fldCharType="begin" w:fldLock="0"/>
      </w:r>
      <w:r>
        <w:instrText xml:space="preserve"> PAGEREF _Toc19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Title &amp; Positioning</w:t>
        <w:tab/>
      </w:r>
      <w:r>
        <w:rPr/>
        <w:fldChar w:fldCharType="begin" w:fldLock="0"/>
      </w:r>
      <w:r>
        <w:instrText xml:space="preserve"> PAGEREF _Toc20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Title: Head of Institutional Adoption</w:t>
        <w:tab/>
      </w:r>
      <w:r>
        <w:rPr/>
        <w:fldChar w:fldCharType="begin" w:fldLock="0"/>
      </w:r>
      <w:r>
        <w:instrText xml:space="preserve"> PAGEREF _Toc21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Reports to: Chief Executive Officer</w:t>
        <w:tab/>
      </w:r>
      <w:r>
        <w:rPr/>
        <w:fldChar w:fldCharType="begin" w:fldLock="0"/>
      </w:r>
      <w:r>
        <w:instrText xml:space="preserve"> PAGEREF _Toc22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Classification: Executive Leadership Team</w:t>
        <w:tab/>
      </w:r>
      <w:r>
        <w:rPr/>
        <w:fldChar w:fldCharType="begin" w:fldLock="0"/>
      </w:r>
      <w:r>
        <w:instrText xml:space="preserve"> PAGEREF _Toc23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Location: Remote (Global)</w:t>
        <w:tab/>
      </w:r>
      <w:r>
        <w:rPr/>
        <w:fldChar w:fldCharType="begin" w:fldLock="0"/>
      </w:r>
      <w:r>
        <w:instrText xml:space="preserve"> PAGEREF _Toc24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hint="default"/>
          <w:rtl w:val="0"/>
          <w:lang w:val="en-US" w:bidi="ar-SA"/>
        </w:rPr>
        <w:t>This role represents an expansion and promotion from Community Lead to executive-level ownership of institutional adoption at Acre. The title “Adoption” was selected because it captures Acre’s core differentiator—making complex vault infrastructure approachable—and implies the full institutional journey from first contact through active engagement. No BTCFi competitor uses this title, giving Acre a unique positioning signal.</w:t>
        <w:tab/>
      </w:r>
      <w:r>
        <w:rPr/>
        <w:fldChar w:fldCharType="begin" w:fldLock="0"/>
      </w:r>
      <w:r>
        <w:instrText xml:space="preserve"> PAGEREF _Toc25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it-IT"/>
        </w:rPr>
        <w:t>Role Mission</w:t>
        <w:tab/>
      </w:r>
      <w:r>
        <w:rPr/>
        <w:fldChar w:fldCharType="begin" w:fldLock="0"/>
      </w:r>
      <w:r>
        <w:instrText xml:space="preserve"> PAGEREF _Toc26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hint="default"/>
          <w:rtl w:val="0"/>
          <w:lang w:val="en-US"/>
        </w:rPr>
        <w:t>Drive institutional adoption of Acre’s vault infrastructure by ensuring institutional participants can discover, evaluate, trust, and integrate Acre’s products through professional communication channels, structured diligence processes, and high-touch engagement—making complex systems easy to understand and approach.</w:t>
        <w:tab/>
      </w:r>
      <w:r>
        <w:rPr/>
        <w:fldChar w:fldCharType="begin" w:fldLock="0"/>
      </w:r>
      <w:r>
        <w:instrText xml:space="preserve"> PAGEREF _Toc27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rtl w:val="0"/>
          <w:lang w:val="en-US"/>
        </w:rPr>
        <w:t>Organizational Structure</w:t>
        <w:tab/>
      </w:r>
      <w:r>
        <w:rPr/>
        <w:fldChar w:fldCharType="begin" w:fldLock="0"/>
      </w:r>
      <w:r>
        <w:instrText xml:space="preserve"> PAGEREF _Toc28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hint="default"/>
          <w:rtl w:val="0"/>
          <w:lang w:val="en-US"/>
        </w:rPr>
        <w:t>The Head of Institutional Adoption coordinates four interconnected operational pillars that together form Acre’s Institutional Adoption Infrastructure.</w:t>
        <w:tab/>
      </w:r>
      <w:r>
        <w:rPr/>
        <w:fldChar w:fldCharType="begin" w:fldLock="0"/>
      </w:r>
      <w:r>
        <w:instrText xml:space="preserve"> PAGEREF _Toc29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rtl w:val="0"/>
          <w:lang w:val="en-US"/>
        </w:rPr>
        <w:t>Coordination: CEO, Acre Security Council, Risk Curators (Re7 Labs), Infrastructure Partners (Midas), Community Operations Manager, Executive Team</w:t>
        <w:tab/>
      </w:r>
      <w:r>
        <w:rPr/>
        <w:fldChar w:fldCharType="begin" w:fldLock="0"/>
      </w:r>
      <w:r>
        <w:instrText xml:space="preserve"> PAGEREF _Toc30 \h </w:instrText>
      </w:r>
      <w:r>
        <w:rPr/>
        <w:fldChar w:fldCharType="separate" w:fldLock="0"/>
      </w:r>
      <w:r>
        <w:rPr>
          <w:rFonts w:cs="Arial Unicode MS" w:eastAsia="Arial Unicode MS"/>
          <w:rtl w:val="0"/>
        </w:rPr>
        <w:t>13</w:t>
      </w:r>
      <w:r>
        <w:rPr/>
        <w:fldChar w:fldCharType="end" w:fldLock="0"/>
      </w:r>
    </w:p>
    <w:p>
      <w:pPr>
        <w:pStyle w:val="TOC 1"/>
        <w:bidi w:val="0"/>
      </w:pPr>
      <w:r>
        <w:rPr>
          <w:rFonts w:cs="Arial Unicode MS" w:eastAsia="Arial Unicode MS"/>
          <w:rtl w:val="0"/>
          <w:lang w:val="en-US"/>
        </w:rPr>
        <w:t>Pillar 1: Institutional Adoption &amp; Investor Engagement</w:t>
        <w:tab/>
      </w:r>
      <w:r>
        <w:rPr/>
        <w:fldChar w:fldCharType="begin" w:fldLock="0"/>
      </w:r>
      <w:r>
        <w:instrText xml:space="preserve"> PAGEREF _Toc31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hint="default"/>
          <w:rtl w:val="0"/>
          <w:lang w:val="en-US"/>
        </w:rPr>
        <w:t>This is the primary pillar of the role—building institutional-grade engagement systems that enable Acre to participate in the institutional capital wave entering Bitcoin finance. This function ensures that Acre’s complex vault infrastructure is approachable, understandable, and trusted by professional capital allocators.</w:t>
        <w:tab/>
      </w:r>
      <w:r>
        <w:rPr/>
        <w:fldChar w:fldCharType="begin" w:fldLock="0"/>
      </w:r>
      <w:r>
        <w:instrText xml:space="preserve"> PAGEREF _Toc32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fr-FR"/>
        </w:rPr>
        <w:t>Investor Engagement</w:t>
        <w:tab/>
      </w:r>
      <w:r>
        <w:rPr/>
        <w:fldChar w:fldCharType="begin" w:fldLock="0"/>
      </w:r>
      <w:r>
        <w:instrText xml:space="preserve"> PAGEREF _Toc33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Investor Documentation &amp; Materials</w:t>
        <w:tab/>
      </w:r>
      <w:r>
        <w:rPr/>
        <w:fldChar w:fldCharType="begin" w:fldLock="0"/>
      </w:r>
      <w:r>
        <w:instrText xml:space="preserve"> PAGEREF _Toc34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Institutional Experience Design</w:t>
        <w:tab/>
      </w:r>
      <w:r>
        <w:rPr/>
        <w:fldChar w:fldCharType="begin" w:fldLock="0"/>
      </w:r>
      <w:r>
        <w:instrText xml:space="preserve"> PAGEREF _Toc35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rtl w:val="0"/>
          <w:lang w:val="en-US"/>
        </w:rPr>
        <w:t>Pillar 2: Governance &amp; Trust Infrastructure</w:t>
        <w:tab/>
      </w:r>
      <w:r>
        <w:rPr/>
        <w:fldChar w:fldCharType="begin" w:fldLock="0"/>
      </w:r>
      <w:r>
        <w:instrText xml:space="preserve"> PAGEREF _Toc36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hint="default"/>
          <w:rtl w:val="0"/>
          <w:lang w:val="en-US"/>
        </w:rPr>
        <w:t>Governance transparency and trust are foundational to Acre’s credibility as a best-in-class Bitcoin financial infrastructure protocol. This pillar ensures the governance layer operates as a trust engine for institutional adoption.</w:t>
        <w:tab/>
      </w:r>
      <w:r>
        <w:rPr/>
        <w:fldChar w:fldCharType="begin" w:fldLock="0"/>
      </w:r>
      <w:r>
        <w:instrText xml:space="preserve"> PAGEREF _Toc37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Security Council Operations</w:t>
        <w:tab/>
      </w:r>
      <w:r>
        <w:rPr/>
        <w:fldChar w:fldCharType="begin" w:fldLock="0"/>
      </w:r>
      <w:r>
        <w:instrText xml:space="preserve"> PAGEREF _Toc38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Governance Communications</w:t>
        <w:tab/>
      </w:r>
      <w:r>
        <w:rPr/>
        <w:fldChar w:fldCharType="begin" w:fldLock="0"/>
      </w:r>
      <w:r>
        <w:instrText xml:space="preserve"> PAGEREF _Toc39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Regulatory Alignment</w:t>
        <w:tab/>
      </w:r>
      <w:r>
        <w:rPr/>
        <w:fldChar w:fldCharType="begin" w:fldLock="0"/>
      </w:r>
      <w:r>
        <w:instrText xml:space="preserve"> PAGEREF _Toc40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rtl w:val="0"/>
          <w:lang w:val="en-US"/>
        </w:rPr>
        <w:t>Pillar 3: Ecosystem Growth &amp; Brand Visibility</w:t>
        <w:tab/>
      </w:r>
      <w:r>
        <w:rPr/>
        <w:fldChar w:fldCharType="begin" w:fldLock="0"/>
      </w:r>
      <w:r>
        <w:instrText xml:space="preserve"> PAGEREF _Toc41 \h </w:instrText>
      </w:r>
      <w:r>
        <w:rPr/>
        <w:fldChar w:fldCharType="separate" w:fldLock="0"/>
      </w:r>
      <w:r>
        <w:rPr>
          <w:rFonts w:cs="Arial Unicode MS" w:eastAsia="Arial Unicode MS"/>
          <w:rtl w:val="0"/>
        </w:rPr>
        <w:t>16</w:t>
      </w:r>
      <w:r>
        <w:rPr/>
        <w:fldChar w:fldCharType="end" w:fldLock="0"/>
      </w:r>
    </w:p>
    <w:p>
      <w:pPr>
        <w:pStyle w:val="TOC 1"/>
        <w:bidi w:val="0"/>
      </w:pPr>
      <w:r>
        <w:rPr>
          <w:rFonts w:cs="Arial Unicode MS" w:eastAsia="Arial Unicode MS" w:hint="default"/>
          <w:rtl w:val="0"/>
          <w:lang w:val="en-US"/>
        </w:rPr>
        <w:t>This pillar drives Acre’s institutional public presence and ecosystem expansion through events, partnerships, and professional representation.</w:t>
        <w:tab/>
      </w:r>
      <w:r>
        <w:rPr/>
        <w:fldChar w:fldCharType="begin" w:fldLock="0"/>
      </w:r>
      <w:r>
        <w:instrText xml:space="preserve"> PAGEREF _Toc42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Public Representation</w:t>
        <w:tab/>
      </w:r>
      <w:r>
        <w:rPr/>
        <w:fldChar w:fldCharType="begin" w:fldLock="0"/>
      </w:r>
      <w:r>
        <w:instrText xml:space="preserve"> PAGEREF _Toc43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Partnerships &amp; Ecosystem</w:t>
        <w:tab/>
      </w:r>
      <w:r>
        <w:rPr/>
        <w:fldChar w:fldCharType="begin" w:fldLock="0"/>
      </w:r>
      <w:r>
        <w:instrText xml:space="preserve"> PAGEREF _Toc44 \h </w:instrText>
      </w:r>
      <w:r>
        <w:rPr/>
        <w:fldChar w:fldCharType="separate" w:fldLock="0"/>
      </w:r>
      <w:r>
        <w:rPr>
          <w:rFonts w:cs="Arial Unicode MS" w:eastAsia="Arial Unicode MS"/>
          <w:rtl w:val="0"/>
        </w:rPr>
        <w:t>16</w:t>
      </w:r>
      <w:r>
        <w:rPr/>
        <w:fldChar w:fldCharType="end" w:fldLock="0"/>
      </w:r>
    </w:p>
    <w:p>
      <w:pPr>
        <w:pStyle w:val="TOC 1"/>
        <w:bidi w:val="0"/>
      </w:pPr>
      <w:r>
        <w:rPr>
          <w:rFonts w:cs="Arial Unicode MS" w:eastAsia="Arial Unicode MS"/>
          <w:rtl w:val="0"/>
          <w:lang w:val="en-US"/>
        </w:rPr>
        <w:t>Pillar 4: Market Intelligence &amp; Reporting</w:t>
        <w:tab/>
      </w:r>
      <w:r>
        <w:rPr/>
        <w:fldChar w:fldCharType="begin" w:fldLock="0"/>
      </w:r>
      <w:r>
        <w:instrText xml:space="preserve"> PAGEREF _Toc45 \h </w:instrText>
      </w:r>
      <w:r>
        <w:rPr/>
        <w:fldChar w:fldCharType="separate" w:fldLock="0"/>
      </w:r>
      <w:r>
        <w:rPr>
          <w:rFonts w:cs="Arial Unicode MS" w:eastAsia="Arial Unicode MS"/>
          <w:rtl w:val="0"/>
        </w:rPr>
        <w:t>17</w:t>
      </w:r>
      <w:r>
        <w:rPr/>
        <w:fldChar w:fldCharType="end" w:fldLock="0"/>
      </w:r>
    </w:p>
    <w:p>
      <w:pPr>
        <w:pStyle w:val="TOC 1"/>
        <w:bidi w:val="0"/>
      </w:pPr>
      <w:r>
        <w:rPr>
          <w:rFonts w:cs="Arial Unicode MS" w:eastAsia="Arial Unicode MS" w:hint="default"/>
          <w:rtl w:val="0"/>
          <w:lang w:val="en-US"/>
        </w:rPr>
        <w:t>This pillar ensures Acre’s institutional strategy is informed by real-time market intelligence, competitive analysis, and investor feedback.</w:t>
        <w:tab/>
      </w:r>
      <w:r>
        <w:rPr/>
        <w:fldChar w:fldCharType="begin" w:fldLock="0"/>
      </w:r>
      <w:r>
        <w:instrText xml:space="preserve"> PAGEREF _Toc46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en-US"/>
        </w:rPr>
        <w:t>Investor Feedback &amp; Intelligence</w:t>
        <w:tab/>
      </w:r>
      <w:r>
        <w:rPr/>
        <w:fldChar w:fldCharType="begin" w:fldLock="0"/>
      </w:r>
      <w:r>
        <w:instrText xml:space="preserve"> PAGEREF _Toc47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en-US"/>
        </w:rPr>
        <w:t>Competitive Analysis</w:t>
        <w:tab/>
      </w:r>
      <w:r>
        <w:rPr/>
        <w:fldChar w:fldCharType="begin" w:fldLock="0"/>
      </w:r>
      <w:r>
        <w:instrText xml:space="preserve"> PAGEREF _Toc48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en-US"/>
        </w:rPr>
        <w:t>Adoption Metrics &amp; Reporting</w:t>
        <w:tab/>
      </w:r>
      <w:r>
        <w:rPr/>
        <w:fldChar w:fldCharType="begin" w:fldLock="0"/>
      </w:r>
      <w:r>
        <w:instrText xml:space="preserve"> PAGEREF _Toc49 \h </w:instrText>
      </w:r>
      <w:r>
        <w:rPr/>
        <w:fldChar w:fldCharType="separate" w:fldLock="0"/>
      </w:r>
      <w:r>
        <w:rPr>
          <w:rFonts w:cs="Arial Unicode MS" w:eastAsia="Arial Unicode MS"/>
          <w:rtl w:val="0"/>
        </w:rPr>
        <w:t>17</w:t>
      </w:r>
      <w:r>
        <w:rPr/>
        <w:fldChar w:fldCharType="end" w:fldLock="0"/>
      </w:r>
    </w:p>
    <w:p>
      <w:pPr>
        <w:pStyle w:val="TOC 1"/>
        <w:bidi w:val="0"/>
      </w:pPr>
      <w:r>
        <w:rPr>
          <w:rFonts w:cs="Arial Unicode MS" w:eastAsia="Arial Unicode MS"/>
          <w:rtl w:val="0"/>
          <w:lang w:val="en-US"/>
        </w:rPr>
        <w:t>Operating Principles</w:t>
        <w:tab/>
      </w:r>
      <w:r>
        <w:rPr/>
        <w:fldChar w:fldCharType="begin" w:fldLock="0"/>
      </w:r>
      <w:r>
        <w:instrText xml:space="preserve"> PAGEREF _Toc50 \h </w:instrText>
      </w:r>
      <w:r>
        <w:rPr/>
        <w:fldChar w:fldCharType="separate" w:fldLock="0"/>
      </w:r>
      <w:r>
        <w:rPr>
          <w:rFonts w:cs="Arial Unicode MS" w:eastAsia="Arial Unicode MS"/>
          <w:rtl w:val="0"/>
        </w:rPr>
        <w:t>18</w:t>
      </w:r>
      <w:r>
        <w:rPr/>
        <w:fldChar w:fldCharType="end" w:fldLock="0"/>
      </w:r>
    </w:p>
    <w:p>
      <w:pPr>
        <w:pStyle w:val="TOC 1"/>
        <w:bidi w:val="0"/>
      </w:pPr>
      <w:r>
        <w:rPr>
          <w:rFonts w:cs="Arial Unicode MS" w:eastAsia="Arial Unicode MS"/>
          <w:rtl w:val="0"/>
          <w:lang w:val="en-US"/>
        </w:rPr>
        <w:t>The Institutional Adoption function operates according to core principles:</w:t>
        <w:tab/>
      </w:r>
      <w:r>
        <w:rPr/>
        <w:fldChar w:fldCharType="begin" w:fldLock="0"/>
      </w:r>
      <w:r>
        <w:instrText xml:space="preserve"> PAGEREF _Toc51 \h </w:instrText>
      </w:r>
      <w:r>
        <w:rPr/>
        <w:fldChar w:fldCharType="separate" w:fldLock="0"/>
      </w:r>
      <w:r>
        <w:rPr>
          <w:rFonts w:cs="Arial Unicode MS" w:eastAsia="Arial Unicode MS"/>
          <w:rtl w:val="0"/>
        </w:rPr>
        <w:t>18</w:t>
      </w:r>
      <w:r>
        <w:rPr/>
        <w:fldChar w:fldCharType="end" w:fldLock="0"/>
      </w:r>
    </w:p>
    <w:p>
      <w:pPr>
        <w:pStyle w:val="TOC 1"/>
        <w:bidi w:val="0"/>
      </w:pPr>
      <w:r>
        <w:rPr>
          <w:rFonts w:cs="Arial Unicode MS" w:eastAsia="Arial Unicode MS"/>
          <w:rtl w:val="0"/>
          <w:lang w:val="it-IT"/>
        </w:rPr>
        <w:t>Candidate Profile: Nico Marotta</w:t>
        <w:tab/>
      </w:r>
      <w:r>
        <w:rPr/>
        <w:fldChar w:fldCharType="begin" w:fldLock="0"/>
      </w:r>
      <w:r>
        <w:instrText xml:space="preserve"> PAGEREF _Toc52 \h </w:instrText>
      </w:r>
      <w:r>
        <w:rPr/>
        <w:fldChar w:fldCharType="separate" w:fldLock="0"/>
      </w:r>
      <w:r>
        <w:rPr>
          <w:rFonts w:cs="Arial Unicode MS" w:eastAsia="Arial Unicode MS"/>
          <w:rtl w:val="0"/>
        </w:rPr>
        <w:t>18</w:t>
      </w:r>
      <w:r>
        <w:rPr/>
        <w:fldChar w:fldCharType="end" w:fldLock="0"/>
      </w:r>
    </w:p>
    <w:p>
      <w:pPr>
        <w:pStyle w:val="TOC 1"/>
        <w:bidi w:val="0"/>
      </w:pPr>
      <w:r>
        <w:rPr>
          <w:rFonts w:cs="Arial Unicode MS" w:eastAsia="Arial Unicode MS" w:hint="default"/>
          <w:rtl w:val="0"/>
          <w:lang w:val="en-US"/>
        </w:rPr>
        <w:t>This role has been designed around Nico Marotta’s demonstrated capabilities, career trajectory, and existing institutional knowledge of the Acre protocol.</w:t>
        <w:tab/>
      </w:r>
      <w:r>
        <w:rPr/>
        <w:fldChar w:fldCharType="begin" w:fldLock="0"/>
      </w:r>
      <w:r>
        <w:instrText xml:space="preserve"> PAGEREF _Toc53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Career Trajectory</w:t>
        <w:tab/>
      </w:r>
      <w:r>
        <w:rPr/>
        <w:fldChar w:fldCharType="begin" w:fldLock="0"/>
      </w:r>
      <w:r>
        <w:instrText xml:space="preserve"> PAGEREF _Toc54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Why Nico for Institutional Adoption</w:t>
        <w:tab/>
      </w:r>
      <w:r>
        <w:rPr/>
        <w:fldChar w:fldCharType="begin" w:fldLock="0"/>
      </w:r>
      <w:r>
        <w:instrText xml:space="preserve"> PAGEREF _Toc55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Transition Plan</w:t>
        <w:tab/>
      </w:r>
      <w:r>
        <w:rPr/>
        <w:fldChar w:fldCharType="begin" w:fldLock="0"/>
      </w:r>
      <w:r>
        <w:instrText xml:space="preserve"> PAGEREF _Toc56 \h </w:instrText>
      </w:r>
      <w:r>
        <w:rPr/>
        <w:fldChar w:fldCharType="separate" w:fldLock="0"/>
      </w:r>
      <w:r>
        <w:rPr>
          <w:rFonts w:cs="Arial Unicode MS" w:eastAsia="Arial Unicode MS"/>
          <w:rtl w:val="0"/>
        </w:rPr>
        <w:t>19</w:t>
      </w:r>
      <w:r>
        <w:rPr/>
        <w:fldChar w:fldCharType="end" w:fldLock="0"/>
      </w:r>
    </w:p>
    <w:p>
      <w:pPr>
        <w:pStyle w:val="TOC 2"/>
        <w:bidi w:val="0"/>
      </w:pPr>
      <w:r>
        <w:rPr>
          <w:rFonts w:cs="Arial Unicode MS" w:eastAsia="Arial Unicode MS"/>
          <w:rtl w:val="0"/>
          <w:lang w:val="en-US"/>
        </w:rPr>
        <w:t>The promotion from Community Lead to Head of Institutional Adoption is structured to ensure continuity:</w:t>
        <w:tab/>
      </w:r>
      <w:r>
        <w:rPr/>
        <w:fldChar w:fldCharType="begin" w:fldLock="0"/>
      </w:r>
      <w:r>
        <w:instrText xml:space="preserve"> PAGEREF _Toc57 \h </w:instrText>
      </w:r>
      <w:r>
        <w:rPr/>
        <w:fldChar w:fldCharType="separate" w:fldLock="0"/>
      </w:r>
      <w:r>
        <w:rPr>
          <w:rFonts w:cs="Arial Unicode MS" w:eastAsia="Arial Unicode MS"/>
          <w:rtl w:val="0"/>
        </w:rPr>
        <w:t>19</w:t>
      </w:r>
      <w:r>
        <w:rPr/>
        <w:fldChar w:fldCharType="end" w:fldLock="0"/>
      </w:r>
    </w:p>
    <w:p>
      <w:pPr>
        <w:pStyle w:val="TOC 1"/>
        <w:bidi w:val="0"/>
      </w:pPr>
      <w:r>
        <w:rPr>
          <w:rFonts w:cs="Arial Unicode MS" w:eastAsia="Arial Unicode MS"/>
          <w:rtl w:val="0"/>
          <w:lang w:val="en-US"/>
        </w:rPr>
        <w:t>Strategic Outcomes</w:t>
        <w:tab/>
      </w:r>
      <w:r>
        <w:rPr/>
        <w:fldChar w:fldCharType="begin" w:fldLock="0"/>
      </w:r>
      <w:r>
        <w:instrText xml:space="preserve"> PAGEREF _Toc58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rtl w:val="0"/>
          <w:lang w:val="en-US"/>
        </w:rPr>
        <w:t>By formalizing the Head of Institutional Adoption role, Acre gains the following strategic capabilities:</w:t>
        <w:tab/>
      </w:r>
      <w:r>
        <w:rPr/>
        <w:fldChar w:fldCharType="begin" w:fldLock="0"/>
      </w:r>
      <w:r>
        <w:instrText xml:space="preserve"> PAGEREF _Toc59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rtl w:val="0"/>
          <w:lang w:val="it-IT"/>
        </w:rPr>
        <w:t>Conclusion</w:t>
        <w:tab/>
      </w:r>
      <w:r>
        <w:rPr/>
        <w:fldChar w:fldCharType="begin" w:fldLock="0"/>
      </w:r>
      <w:r>
        <w:instrText xml:space="preserve"> PAGEREF _Toc60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rtl w:val="0"/>
          <w:lang w:val="en-US"/>
        </w:rPr>
        <w:t>The creation of the Head of Institutional Adoption role reflects the broader evolution of the Bitcoin ecosystem. As Bitcoin finance matures and institutional capital enters at scale, successful protocols must build dedicated functions to drive adoption by professional stakeholders.</w:t>
        <w:tab/>
      </w:r>
      <w:r>
        <w:rPr/>
        <w:fldChar w:fldCharType="begin" w:fldLock="0"/>
      </w:r>
      <w:r>
        <w:instrText xml:space="preserve"> PAGEREF _Toc61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hint="default"/>
          <w:rtl w:val="0"/>
          <w:lang w:val="en-US"/>
        </w:rPr>
        <w:t>Acre has the product: chain-agnostic, protocol-agnostic vault infrastructure that can launch a variety of ERC-20 vaults. Acre has the technology partners: Re7 Labs for vault curation, Midas for infrastructure. Acre has the governance: a 9-member Security Council. Acre has the community: 36,000+ members. And Acre’s core differentiator—making complex systems approachable—is precisely what institutional adoption demands.</w:t>
        <w:tab/>
      </w:r>
      <w:r>
        <w:rPr/>
        <w:fldChar w:fldCharType="begin" w:fldLock="0"/>
      </w:r>
      <w:r>
        <w:instrText xml:space="preserve"> PAGEREF _Toc62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hint="default"/>
          <w:rtl w:val="0"/>
          <w:lang w:val="fr-FR"/>
        </w:rPr>
        <w:t>This charter formalizes a function that Nico Marotta is uniquely positioned to build. His trajectory from community operator to community leader to governance architect, combined with his proven ability to translate complex systems into approachable experiences, makes him the natural owner of Acre’s institutional adoption mandate.</w:t>
        <w:tab/>
      </w:r>
      <w:r>
        <w:rPr/>
        <w:fldChar w:fldCharType="begin" w:fldLock="0"/>
      </w:r>
      <w:r>
        <w:instrText xml:space="preserve"> PAGEREF _Toc63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rtl w:val="0"/>
          <w:lang w:val="en-US"/>
        </w:rPr>
        <w:t>Acre has the product. This role ensures institutions can adopt it.</w:t>
        <w:tab/>
      </w:r>
      <w:r>
        <w:rPr/>
        <w:fldChar w:fldCharType="begin" w:fldLock="0"/>
      </w:r>
      <w:r>
        <w:instrText xml:space="preserve"> PAGEREF _Toc64 \h </w:instrText>
      </w:r>
      <w:r>
        <w:rPr/>
        <w:fldChar w:fldCharType="separate" w:fldLock="0"/>
      </w:r>
      <w:r>
        <w:rPr>
          <w:rFonts w:cs="Arial Unicode MS" w:eastAsia="Arial Unicode MS"/>
          <w:rtl w:val="0"/>
        </w:rPr>
        <w:t>21</w:t>
      </w:r>
      <w:r>
        <w:rPr/>
        <w:fldChar w:fldCharType="end" w:fldLock="0"/>
      </w:r>
    </w:p>
    <w:p>
      <w:pPr>
        <w:pStyle w:val="TOC 1"/>
        <w:bidi w:val="0"/>
      </w:pPr>
      <w:r>
        <w:rPr>
          <w:rFonts w:cs="Arial Unicode MS" w:eastAsia="Arial Unicode MS"/>
          <w:rtl w:val="0"/>
          <w:lang w:val="en-US"/>
        </w:rPr>
        <w:t>Submitted by: Nico Marotta</w:t>
        <w:tab/>
      </w:r>
      <w:r>
        <w:rPr/>
        <w:fldChar w:fldCharType="begin" w:fldLock="0"/>
      </w:r>
      <w:r>
        <w:instrText xml:space="preserve"> PAGEREF _Toc65 \h </w:instrText>
      </w:r>
      <w:r>
        <w:rPr/>
        <w:fldChar w:fldCharType="separate" w:fldLock="0"/>
      </w:r>
      <w:r>
        <w:rPr>
          <w:rFonts w:cs="Arial Unicode MS" w:eastAsia="Arial Unicode MS"/>
          <w:rtl w:val="0"/>
        </w:rPr>
        <w:t>21</w:t>
      </w:r>
      <w:r>
        <w:rPr/>
        <w:fldChar w:fldCharType="end" w:fldLock="0"/>
      </w:r>
    </w:p>
    <w:p>
      <w:pPr>
        <w:pStyle w:val="TOC 1"/>
        <w:bidi w:val="0"/>
      </w:pPr>
      <w:r>
        <w:rPr>
          <w:rFonts w:cs="Arial Unicode MS" w:eastAsia="Arial Unicode MS"/>
          <w:rtl w:val="0"/>
          <w:lang w:val="en-US"/>
        </w:rPr>
        <w:t>Date: March 2026</w:t>
        <w:tab/>
      </w:r>
      <w:r>
        <w:rPr/>
        <w:fldChar w:fldCharType="begin" w:fldLock="0"/>
      </w:r>
      <w:r>
        <w:instrText xml:space="preserve"> PAGEREF _Toc66 \h </w:instrText>
      </w:r>
      <w:r>
        <w:rPr/>
        <w:fldChar w:fldCharType="separate" w:fldLock="0"/>
      </w:r>
      <w:r>
        <w:rPr>
          <w:rFonts w:cs="Arial Unicode MS" w:eastAsia="Arial Unicode MS"/>
          <w:rtl w:val="0"/>
        </w:rPr>
        <w:t>21</w:t>
      </w:r>
      <w:r>
        <w:rPr/>
        <w:fldChar w:fldCharType="end" w:fldLock="0"/>
      </w:r>
    </w:p>
    <w:p>
      <w:pPr>
        <w:pStyle w:val="TOC 1"/>
        <w:bidi w:val="0"/>
      </w:pPr>
      <w:r>
        <w:rPr>
          <w:rFonts w:cs="Arial Unicode MS" w:eastAsia="Arial Unicode MS" w:hint="default"/>
          <w:rtl w:val="0"/>
          <w:lang w:val="en-US"/>
        </w:rPr>
        <w:t>Classification: Confidential – Acre Executive Leadership</w:t>
        <w:tab/>
      </w:r>
      <w:r>
        <w:rPr/>
        <w:fldChar w:fldCharType="begin" w:fldLock="0"/>
      </w:r>
      <w:r>
        <w:instrText xml:space="preserve"> PAGEREF _Toc67 \h </w:instrText>
      </w:r>
      <w:r>
        <w:rPr/>
        <w:fldChar w:fldCharType="separate" w:fldLock="0"/>
      </w:r>
      <w:r>
        <w:rPr>
          <w:rFonts w:cs="Arial Unicode MS" w:eastAsia="Arial Unicode MS"/>
          <w:rtl w:val="0"/>
        </w:rPr>
        <w:t>21</w:t>
      </w:r>
      <w:r>
        <w:rPr/>
        <w:fldChar w:fldCharType="end" w:fldLock="0"/>
      </w:r>
    </w:p>
    <w:p>
      <w:pPr>
        <w:pStyle w:val="Heading"/>
      </w:pPr>
      <w:r>
        <w:rPr/>
        <w:fldChar w:fldCharType="end" w:fldLock="0"/>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1" w:id="1"/>
      <w:r>
        <w:rPr>
          <w:rFonts w:cs="Arial Unicode MS" w:eastAsia="Arial Unicode MS"/>
          <w:rtl w:val="0"/>
          <w:lang w:val="en-US"/>
        </w:rPr>
        <w:t>Executive Summary</w:t>
      </w:r>
      <w:bookmarkEnd w:id="1"/>
    </w:p>
    <w:p>
      <w:pPr>
        <w:pStyle w:val="Heading"/>
      </w:pPr>
      <w:bookmarkStart w:name="_Toc2" w:id="2"/>
      <w:r>
        <w:rPr>
          <w:rFonts w:ascii="Times New Roman" w:hAnsi="Times New Roman"/>
          <w:i w:val="1"/>
          <w:iCs w:val="1"/>
          <w:outline w:val="0"/>
          <w:color w:val="666666"/>
          <w:u w:color="666666"/>
          <w:rtl w:val="0"/>
          <w:lang w:val="en-US"/>
          <w14:textFill>
            <w14:solidFill>
              <w14:srgbClr w14:val="666666"/>
            </w14:solidFill>
          </w14:textFill>
        </w:rPr>
        <w:t>Prepared for: Laura Wallendal, CEO, Acre Protocol</w:t>
      </w:r>
      <w:bookmarkEnd w:id="2"/>
    </w:p>
    <w:p>
      <w:pPr>
        <w:pStyle w:val="Heading"/>
      </w:pPr>
      <w:bookmarkStart w:name="_Toc3" w:id="3"/>
      <w:r>
        <w:rPr>
          <w:rFonts w:cs="Arial Unicode MS" w:eastAsia="Arial Unicode MS"/>
          <w:outline w:val="0"/>
          <w:color w:val="000000"/>
          <w:u w:color="000000"/>
          <w:rtl w:val="0"/>
          <w:lang w:val="en-US"/>
          <w14:textFill>
            <w14:solidFill>
              <w14:srgbClr w14:val="000000"/>
            </w14:solidFill>
          </w14:textFill>
        </w:rPr>
        <w:t>The institutional era of Bitcoin finance is no longer a projection</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it is underway. In Q1 2026, JPMorgan, Morgan Stanley, Charles Schwab ($11.6 trillion in client assets), and Citigroup are all simultaneously building or launching Bitcoin trading and custody services for institutional clients. Spot Bitcoin ETFs are projected to reach $180</w:t>
      </w:r>
      <w:r>
        <w:rPr>
          <w:rFonts w:cs="Arial Unicode MS" w:eastAsia="Arial Unicode MS" w:hint="default"/>
          <w:outline w:val="0"/>
          <w:color w:val="000000"/>
          <w:u w:color="000000"/>
          <w:rtl w:val="0"/>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 xml:space="preserve">220 billion in AUM by year-end 2026. 76% of global investors plan to expand digital asset exposure this year. Grayscale titled their 2026 market report </w:t>
      </w:r>
      <w:r>
        <w:rPr>
          <w:rFonts w:cs="Arial Unicode MS" w:eastAsia="Arial Unicode MS" w:hint="default"/>
          <w:outline w:val="0"/>
          <w:color w:val="000000"/>
          <w:u w:color="000000"/>
          <w:rtl w:val="1"/>
          <w:lang w:val="ar-SA" w:bidi="ar-SA"/>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Dawn of the Institutional Era.</w:t>
      </w:r>
      <w:r>
        <w:rPr>
          <w:rFonts w:cs="Arial Unicode MS" w:eastAsia="Arial Unicode MS" w:hint="default"/>
          <w:outline w:val="0"/>
          <w:color w:val="000000"/>
          <w:u w:color="000000"/>
          <w:rtl w:val="0"/>
          <w14:textFill>
            <w14:solidFill>
              <w14:srgbClr w14:val="000000"/>
            </w14:solidFill>
          </w14:textFill>
        </w:rPr>
        <w:t>”</w:t>
      </w:r>
      <w:bookmarkEnd w:id="3"/>
    </w:p>
    <w:p>
      <w:pPr>
        <w:pStyle w:val="Heading"/>
      </w:pPr>
      <w:bookmarkStart w:name="_Toc4" w:id="4"/>
      <w:r>
        <w:rPr>
          <w:rFonts w:cs="Arial Unicode MS" w:eastAsia="Arial Unicode MS"/>
          <w:outline w:val="0"/>
          <w:color w:val="000000"/>
          <w:u w:color="000000"/>
          <w:rtl w:val="0"/>
          <w:lang w:val="en-US"/>
          <w14:textFill>
            <w14:solidFill>
              <w14:srgbClr w14:val="000000"/>
            </w14:solidFill>
          </w14:textFill>
        </w:rPr>
        <w:t>Acre stands at a strategic inflection point. With $100M+ in TVL, 36,000+ community members, a 9-member independent Security Council, vault infrastructure curated by Re7 Labs and built by Midas, and a chain-agnostic, protocol-agnostic architecture designed to scale across multiple digital assets and ERC-20 vaults</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Acre has built the product infrastructure for institutional-grade Bitcoin finance.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key feature is making complex systems approachable: turning sophisticated vault infrastructure into something institutions can understand, trust, and integrate.</w:t>
      </w:r>
      <w:bookmarkEnd w:id="4"/>
    </w:p>
    <w:p>
      <w:pPr>
        <w:pStyle w:val="Heading"/>
      </w:pPr>
      <w:bookmarkStart w:name="_Toc5" w:id="5"/>
      <w:r>
        <w:rPr>
          <w:rFonts w:cs="Arial Unicode MS" w:eastAsia="Arial Unicode MS"/>
          <w:outline w:val="0"/>
          <w:color w:val="000000"/>
          <w:u w:color="000000"/>
          <w:rtl w:val="0"/>
          <w:lang w:val="en-US"/>
          <w14:textFill>
            <w14:solidFill>
              <w14:srgbClr w14:val="000000"/>
            </w14:solidFill>
          </w14:textFill>
        </w:rPr>
        <w:t>What Acre has not yet formalized is the human infrastructure required to drive institutional adoption at the level these stakeholders expect.</w:t>
      </w:r>
      <w:bookmarkEnd w:id="5"/>
    </w:p>
    <w:p>
      <w:pPr>
        <w:pStyle w:val="Heading"/>
      </w:pPr>
      <w:bookmarkStart w:name="_Toc6" w:id="6"/>
      <w:r>
        <w:rPr>
          <w:rFonts w:cs="Arial Unicode MS" w:eastAsia="Arial Unicode MS"/>
          <w:outline w:val="0"/>
          <w:color w:val="000000"/>
          <w:u w:color="000000"/>
          <w:rtl w:val="0"/>
          <w:lang w:val="en-US"/>
          <w14:textFill>
            <w14:solidFill>
              <w14:srgbClr w14:val="000000"/>
            </w14:solidFill>
          </w14:textFill>
        </w:rPr>
        <w:t>The regulatory framework has crystallized in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favor: The GENIUS Act is now law with OCC implementing rules published in February 2026. An executive order has opened 401(k) and defined-contribution retirement plans to digital assets. MiCA is fully operational in Europe. Texas, New Hampshire, and Wyoming have all created state-level Bitcoin reserves. 170+ public companies hold nearly one million BTC on their balance sheets.</w:t>
      </w:r>
      <w:bookmarkEnd w:id="6"/>
    </w:p>
    <w:p>
      <w:pPr>
        <w:pStyle w:val="Heading"/>
      </w:pPr>
      <w:bookmarkStart w:name="_Toc7" w:id="7"/>
      <w:r>
        <w:rPr>
          <w:rFonts w:cs="Arial Unicode MS" w:eastAsia="Arial Unicode MS"/>
          <w:outline w:val="0"/>
          <w:color w:val="000000"/>
          <w:u w:color="000000"/>
          <w:rtl w:val="0"/>
          <w:lang w:val="en-US"/>
          <w14:textFill>
            <w14:solidFill>
              <w14:srgbClr w14:val="000000"/>
            </w14:solidFill>
          </w14:textFill>
        </w:rPr>
        <w:t>These institutional participants do not discover Bitcoin yield products through Discord or Twitter. They operate through LinkedIn, structured briefings, direct email, scheduled meetings, and professional diligence processes. No major BTCFi competitor</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not Babylon ($4.8B TVL), Lombard ($1.8B TVL), Citrea, Botanix, or SOLV Foundation ($2.8B TVL)</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has formally established a dedicated institutional adoption executive. Meanwhile, companies that successfully service institutional capital</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Morpho, Pendle, Monad Foundation, Coinbase, Fidelity</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all have dedicated institutional roles. This is a first-mover opportunity for Acre.</w:t>
      </w:r>
      <w:bookmarkEnd w:id="7"/>
    </w:p>
    <w:p>
      <w:pPr>
        <w:pStyle w:val="Heading"/>
      </w:pPr>
      <w:bookmarkStart w:name="_Toc8" w:id="8"/>
      <w:r>
        <w:rPr>
          <w:rFonts w:cs="Arial Unicode MS" w:eastAsia="Arial Unicode MS"/>
          <w:outline w:val="0"/>
          <w:color w:val="000000"/>
          <w:u w:color="000000"/>
          <w:rtl w:val="0"/>
          <w:lang w:val="en-US"/>
          <w14:textFill>
            <w14:solidFill>
              <w14:srgbClr w14:val="000000"/>
            </w14:solidFill>
          </w14:textFill>
        </w:rPr>
        <w:t xml:space="preserve">This charter formalizes the creation of the Head of Institutional Adoption role, to be filled by Nico Marotta through a promotion from Community Lead. The title </w:t>
      </w:r>
      <w:r>
        <w:rPr>
          <w:rFonts w:cs="Arial Unicode MS" w:eastAsia="Arial Unicode MS" w:hint="default"/>
          <w:outline w:val="0"/>
          <w:color w:val="000000"/>
          <w:u w:color="000000"/>
          <w:rtl w:val="1"/>
          <w:lang w:val="ar-SA" w:bidi="ar-SA"/>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Adoption</w:t>
      </w:r>
      <w:r>
        <w:rPr>
          <w:rFonts w:cs="Arial Unicode MS" w:eastAsia="Arial Unicode MS" w:hint="default"/>
          <w:outline w:val="0"/>
          <w:color w:val="000000"/>
          <w:u w:color="000000"/>
          <w:rtl w:val="0"/>
          <w14:textFill>
            <w14:solidFill>
              <w14:srgbClr w14:val="000000"/>
            </w14:solidFill>
          </w14:textFill>
        </w:rPr>
        <w:t xml:space="preserve">” </w:t>
      </w:r>
      <w:r>
        <w:rPr>
          <w:rFonts w:cs="Arial Unicode MS" w:eastAsia="Arial Unicode MS"/>
          <w:outline w:val="0"/>
          <w:color w:val="000000"/>
          <w:u w:color="000000"/>
          <w:rtl w:val="0"/>
          <w:lang w:val="en-US"/>
          <w14:textFill>
            <w14:solidFill>
              <w14:srgbClr w14:val="000000"/>
            </w14:solidFill>
          </w14:textFill>
        </w:rPr>
        <w:t>was selected deliberately: it captures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core differentiator of making complex infrastructure approachable, implies the full institutional journey from onboarding through active engagement, and is unique in the BTCFi space</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no competitor uses it. The role carries four integrated operational pillars: Institutional Adoption, Governance &amp; Trust, Ecosystem Growth, and Market Intelligence.</w:t>
      </w:r>
      <w:bookmarkEnd w:id="8"/>
    </w:p>
    <w:p>
      <w:pPr>
        <w:pStyle w:val="Heading"/>
      </w:pPr>
      <w:bookmarkStart w:name="_Toc9" w:id="9"/>
      <w:r>
        <w:rPr>
          <w:rFonts w:cs="Arial Unicode MS" w:eastAsia="Arial Unicode MS"/>
          <w:outline w:val="0"/>
          <w:color w:val="000000"/>
          <w:u w:color="000000"/>
          <w:rtl w:val="0"/>
          <w:lang w:val="it-IT"/>
          <w14:textFill>
            <w14:solidFill>
              <w14:srgbClr w14:val="000000"/>
            </w14:solidFill>
          </w14:textFill>
        </w:rPr>
        <w:t>Nico</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pt-PT"/>
          <w14:textFill>
            <w14:solidFill>
              <w14:srgbClr w14:val="000000"/>
            </w14:solidFill>
          </w14:textFill>
        </w:rPr>
        <w:t>s trajectory</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from Keep Network early participant to Threshold DAO governance contributor to building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community from zero to 36,000+ members</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makes him the natural owner of this function. His ability to translate complex systems into approachable narratives is precisely the skill that defines institutional adoption. With the addition of a Community Operations Manager and advanced automation systems, Nico can redirect executive capacity toward institutional adoption while ensuring community excellence continues uninterrupted.</w:t>
      </w:r>
      <w:bookmarkEnd w:id="9"/>
    </w:p>
    <w:p>
      <w:pPr>
        <w:pStyle w:val="Heading"/>
      </w:pPr>
    </w:p>
    <w:p>
      <w:pPr>
        <w:pStyle w:val="Heading"/>
      </w:pPr>
      <w:bookmarkStart w:name="_Toc10" w:id="10"/>
      <w:r>
        <w:rPr>
          <w:rFonts w:cs="Arial Unicode MS" w:eastAsia="Arial Unicode MS"/>
          <w:rtl w:val="0"/>
          <w:lang w:val="en-US"/>
        </w:rPr>
        <w:t>Strategic Context</w:t>
      </w:r>
      <w:bookmarkEnd w:id="10"/>
    </w:p>
    <w:p>
      <w:pPr>
        <w:pStyle w:val="Heading 2"/>
      </w:pPr>
      <w:bookmarkStart w:name="_Toc11" w:id="11"/>
      <w:r>
        <w:rPr>
          <w:rFonts w:cs="Arial Unicode MS" w:eastAsia="Arial Unicode MS"/>
          <w:rtl w:val="0"/>
          <w:lang w:val="en-US"/>
        </w:rPr>
        <w:t>The Institutional Shift in Bitcoin Finance (Q1 2026)</w:t>
      </w:r>
      <w:bookmarkEnd w:id="11"/>
    </w:p>
    <w:p>
      <w:pPr>
        <w:pStyle w:val="Heading 2"/>
      </w:pPr>
      <w:bookmarkStart w:name="_Toc12" w:id="12"/>
      <w:r>
        <w:rPr>
          <w:rFonts w:cs="Arial Unicode MS" w:eastAsia="Arial Unicode MS"/>
          <w:outline w:val="0"/>
          <w:color w:val="000000"/>
          <w:u w:color="000000"/>
          <w:rtl w:val="0"/>
          <w:lang w:val="en-US"/>
          <w14:textFill>
            <w14:solidFill>
              <w14:srgbClr w14:val="000000"/>
            </w14:solidFill>
          </w14:textFill>
        </w:rPr>
        <w:t>Bitcoin finance has crossed from emerging to institutional. The following developments are confirmed actions occurring in Q1 2026:</w:t>
      </w:r>
      <w:bookmarkEnd w:id="12"/>
    </w:p>
    <w:p>
      <w:pPr>
        <w:pStyle w:val="List Paragraph"/>
        <w:numPr>
          <w:ilvl w:val="0"/>
          <w:numId w:val="2"/>
        </w:numPr>
        <w:spacing w:after="60"/>
        <w:rPr>
          <w:lang w:val="en-US"/>
        </w:rPr>
      </w:pPr>
      <w:r>
        <w:rPr>
          <w:rtl w:val="0"/>
          <w:lang w:val="en-US"/>
        </w:rPr>
        <w:t>JPMorgan is actively exploring crypto trading and derivatives for institutional clients (December 2025) and launched its first tokenized money-market fund on Ethereum</w:t>
      </w:r>
    </w:p>
    <w:p>
      <w:pPr>
        <w:pStyle w:val="List Paragraph"/>
        <w:numPr>
          <w:ilvl w:val="0"/>
          <w:numId w:val="2"/>
        </w:numPr>
        <w:spacing w:after="60"/>
        <w:rPr>
          <w:lang w:val="en-US"/>
        </w:rPr>
      </w:pPr>
      <w:r>
        <w:rPr>
          <w:rtl w:val="0"/>
          <w:lang w:val="en-US"/>
        </w:rPr>
        <w:t>Morgan Stanley is launching Bitcoin trading on E*Trade in H1 2026 via Zerohash</w:t>
      </w:r>
    </w:p>
    <w:p>
      <w:pPr>
        <w:pStyle w:val="List Paragraph"/>
        <w:numPr>
          <w:ilvl w:val="0"/>
          <w:numId w:val="2"/>
        </w:numPr>
        <w:spacing w:after="60"/>
        <w:rPr>
          <w:lang w:val="en-US"/>
        </w:rPr>
      </w:pPr>
      <w:r>
        <w:rPr>
          <w:rtl w:val="0"/>
          <w:lang w:val="en-US"/>
        </w:rPr>
        <w:t>Charles Schwab ($11.6 trillion in client assets) is launching Bitcoin trading in H1 2026</w:t>
      </w:r>
      <w:r>
        <w:rPr>
          <w:rtl w:val="0"/>
          <w:lang w:val="en-US"/>
        </w:rPr>
        <w:t>—</w:t>
      </w:r>
      <w:r>
        <w:rPr>
          <w:rtl w:val="0"/>
          <w:lang w:val="en-US"/>
        </w:rPr>
        <w:t>CEO Rick Wurster confirmed 20% of Schwab clients already own crypto</w:t>
      </w:r>
    </w:p>
    <w:p>
      <w:pPr>
        <w:pStyle w:val="List Paragraph"/>
        <w:numPr>
          <w:ilvl w:val="0"/>
          <w:numId w:val="2"/>
        </w:numPr>
        <w:spacing w:after="60"/>
        <w:rPr>
          <w:lang w:val="en-US"/>
        </w:rPr>
      </w:pPr>
      <w:r>
        <w:rPr>
          <w:rtl w:val="0"/>
          <w:lang w:val="en-US"/>
        </w:rPr>
        <w:t>Citigroup is building bank-grade Bitcoin custody launching in 2026, integrating BTC alongside traditional securities with unified tax, regulatory, and risk reporting</w:t>
      </w:r>
    </w:p>
    <w:p>
      <w:pPr>
        <w:pStyle w:val="List Paragraph"/>
        <w:numPr>
          <w:ilvl w:val="0"/>
          <w:numId w:val="2"/>
        </w:numPr>
        <w:spacing w:after="60"/>
        <w:rPr>
          <w:lang w:val="en-US"/>
        </w:rPr>
      </w:pPr>
      <w:r>
        <w:rPr>
          <w:rtl w:val="0"/>
          <w:lang w:val="en-US"/>
        </w:rPr>
        <w:t>Bank of America and Vanguard are expected to distribute Bitcoin ETFs to their clients in 2026</w:t>
      </w:r>
    </w:p>
    <w:p>
      <w:pPr>
        <w:pStyle w:val="List Paragraph"/>
        <w:numPr>
          <w:ilvl w:val="0"/>
          <w:numId w:val="2"/>
        </w:numPr>
        <w:spacing w:after="60"/>
        <w:rPr>
          <w:lang w:val="en-US"/>
        </w:rPr>
      </w:pPr>
      <w:r>
        <w:rPr>
          <w:rtl w:val="0"/>
          <w:lang w:val="en-US"/>
        </w:rPr>
        <w:t>Spot Bitcoin ETFs projected to reach $180</w:t>
      </w:r>
      <w:r>
        <w:rPr>
          <w:rtl w:val="0"/>
        </w:rPr>
        <w:t>–</w:t>
      </w:r>
      <w:r>
        <w:rPr>
          <w:rtl w:val="0"/>
          <w:lang w:val="en-US"/>
        </w:rPr>
        <w:t>220 billion AUM by year-end 2026. Harvard Management Company and Abu Dhabi</w:t>
      </w:r>
      <w:r>
        <w:rPr>
          <w:rtl w:val="1"/>
        </w:rPr>
        <w:t>’</w:t>
      </w:r>
      <w:r>
        <w:rPr>
          <w:rtl w:val="0"/>
          <w:lang w:val="en-US"/>
        </w:rPr>
        <w:t>s Mubadala sovereign wealth fund are integrating ETFs</w:t>
      </w:r>
    </w:p>
    <w:p>
      <w:pPr>
        <w:pStyle w:val="List Paragraph"/>
        <w:numPr>
          <w:ilvl w:val="0"/>
          <w:numId w:val="2"/>
        </w:numPr>
        <w:spacing w:after="60"/>
        <w:rPr>
          <w:lang w:val="en-US"/>
        </w:rPr>
      </w:pPr>
      <w:r>
        <w:rPr>
          <w:rtl w:val="0"/>
          <w:lang w:val="en-US"/>
        </w:rPr>
        <w:t>76% of global investors plan to expand digital asset exposure in 2026. 86% of institutional investors either own Bitcoin or plan to (Grayscale)</w:t>
      </w:r>
    </w:p>
    <w:p>
      <w:pPr>
        <w:pStyle w:val="List Paragraph"/>
        <w:numPr>
          <w:ilvl w:val="0"/>
          <w:numId w:val="2"/>
        </w:numPr>
        <w:spacing w:after="60"/>
        <w:rPr>
          <w:lang w:val="en-US"/>
        </w:rPr>
      </w:pPr>
      <w:r>
        <w:rPr>
          <w:rtl w:val="0"/>
          <w:lang w:val="en-US"/>
        </w:rPr>
        <w:t>An executive order opened 401(k) and defined-contribution retirement plans to digital assets</w:t>
      </w:r>
      <w:r>
        <w:rPr>
          <w:rtl w:val="0"/>
          <w:lang w:val="en-US"/>
        </w:rPr>
        <w:t>—</w:t>
      </w:r>
      <w:r>
        <w:rPr>
          <w:rtl w:val="0"/>
          <w:lang w:val="en-US"/>
        </w:rPr>
        <w:t>creating access to $12.5 trillion in retirement savings</w:t>
      </w:r>
    </w:p>
    <w:p>
      <w:pPr>
        <w:pStyle w:val="List Paragraph"/>
        <w:numPr>
          <w:ilvl w:val="0"/>
          <w:numId w:val="2"/>
        </w:numPr>
        <w:spacing w:after="60"/>
        <w:rPr>
          <w:lang w:val="en-US"/>
        </w:rPr>
      </w:pPr>
      <w:r>
        <w:rPr>
          <w:rtl w:val="0"/>
          <w:lang w:val="en-US"/>
        </w:rPr>
        <w:t>Texas, New Hampshire, and Wyoming have created state-level Bitcoin reserves. Brazil and Kyrgyzstan have passed national Bitcoin reserve legislation</w:t>
      </w:r>
    </w:p>
    <w:p>
      <w:pPr>
        <w:pStyle w:val="List Paragraph"/>
        <w:numPr>
          <w:ilvl w:val="0"/>
          <w:numId w:val="2"/>
        </w:numPr>
        <w:spacing w:after="60"/>
        <w:rPr>
          <w:lang w:val="en-US"/>
        </w:rPr>
      </w:pPr>
      <w:r>
        <w:rPr>
          <w:rtl w:val="0"/>
          <w:lang w:val="en-US"/>
        </w:rPr>
        <w:t>The GENIUS Act is signed into law. The OCC published implementing rules in February 2026. MiCA is fully operational in Europe</w:t>
      </w:r>
    </w:p>
    <w:p>
      <w:pPr>
        <w:pStyle w:val="List Paragraph"/>
        <w:numPr>
          <w:ilvl w:val="0"/>
          <w:numId w:val="2"/>
        </w:numPr>
        <w:spacing w:after="60"/>
        <w:rPr>
          <w:lang w:val="en-US"/>
        </w:rPr>
      </w:pPr>
      <w:r>
        <w:rPr>
          <w:rtl w:val="0"/>
          <w:lang w:val="en-US"/>
        </w:rPr>
        <w:t>170+ public companies hold nearly one million BTC on balance sheets ($100B+). Capital flowing into crypto vaults surged past $6 billion in 2025</w:t>
      </w:r>
    </w:p>
    <w:p>
      <w:pPr>
        <w:pStyle w:val="List Paragraph"/>
        <w:spacing w:after="60"/>
      </w:pPr>
      <w:r>
        <w:rPr>
          <w:rtl w:val="0"/>
          <w:lang w:val="en-US"/>
        </w:rPr>
        <w:t>The next wave of capital is coming from banks, insurance companies, pension funds, sovereign wealth funds, state treasuries, retirement plans, and corporate balance sheets</w:t>
      </w:r>
      <w:r>
        <w:rPr>
          <w:rtl w:val="0"/>
          <w:lang w:val="en-US"/>
        </w:rPr>
        <w:t>—</w:t>
      </w:r>
      <w:r>
        <w:rPr>
          <w:rtl w:val="0"/>
          <w:lang w:val="en-US"/>
        </w:rPr>
        <w:t>all requiring institutional-grade communication, structured diligence, and professional engagement.</w:t>
      </w:r>
    </w:p>
    <w:p>
      <w:pPr>
        <w:pStyle w:val="Heading 2"/>
      </w:pPr>
      <w:bookmarkStart w:name="_Toc13" w:id="13"/>
      <w:r>
        <w:rPr>
          <w:rFonts w:cs="Arial Unicode MS" w:eastAsia="Arial Unicode MS"/>
          <w:rtl w:val="0"/>
          <w:lang w:val="en-US"/>
        </w:rPr>
        <w:t>The Gap in BTCFi</w:t>
      </w:r>
      <w:bookmarkEnd w:id="13"/>
    </w:p>
    <w:p>
      <w:pPr>
        <w:pStyle w:val="Heading 2"/>
      </w:pPr>
      <w:bookmarkStart w:name="_Toc14" w:id="14"/>
      <w:r>
        <w:rPr>
          <w:rFonts w:cs="Arial Unicode MS" w:eastAsia="Arial Unicode MS"/>
          <w:outline w:val="0"/>
          <w:color w:val="000000"/>
          <w:u w:color="000000"/>
          <w:rtl w:val="0"/>
          <w:lang w:val="en-US"/>
          <w14:textFill>
            <w14:solidFill>
              <w14:srgbClr w14:val="000000"/>
            </w14:solidFill>
          </w14:textFill>
        </w:rPr>
        <w:t>Despite this institutional migration, the BTCFi sector remains almost entirely oriented toward retail engagement. Research across Babylon ($4.8B TVL), Lombard ($1.8B TVL, 60% market share in Bitcoin liquid staking), SOLV Foundation ($2.8B TVL), Citrea, and Botanix reveals no publicly established institutional adoption executive at any competitor.</w:t>
      </w:r>
      <w:bookmarkEnd w:id="14"/>
    </w:p>
    <w:p>
      <w:pPr>
        <w:pStyle w:val="Heading 2"/>
      </w:pPr>
      <w:bookmarkStart w:name="_Toc15" w:id="15"/>
      <w:r>
        <w:rPr>
          <w:rFonts w:cs="Arial Unicode MS" w:eastAsia="Arial Unicode MS"/>
          <w:outline w:val="0"/>
          <w:color w:val="000000"/>
          <w:u w:color="000000"/>
          <w:rtl w:val="0"/>
          <w:lang w:val="en-US"/>
          <w14:textFill>
            <w14:solidFill>
              <w14:srgbClr w14:val="000000"/>
            </w14:solidFill>
          </w14:textFill>
        </w:rPr>
        <w:t>Meanwhile, companies that service institutional capital successfully all have dedicated functions: Morpho Protocol (Senior Institutional Partnerships), Pendle Finance (Head of Institutional BD), Monad Foundation (Head of Institutional Growth), Coinbase (Head of Institutional Strategy), Fidelity (President, Digital Assets), EigenLayer (Chief Commercial Officer), Chainlink Labs (Head of Ecosystem Development). The pattern is clear.</w:t>
      </w:r>
      <w:bookmarkEnd w:id="15"/>
    </w:p>
    <w:p>
      <w:pPr>
        <w:pStyle w:val="Heading 2"/>
      </w:pPr>
      <w:bookmarkStart w:name="_Toc16" w:id="16"/>
      <w:r>
        <w:rPr>
          <w:rFonts w:cs="Arial Unicode MS" w:eastAsia="Arial Unicode MS"/>
          <w:outline w:val="0"/>
          <w:color w:val="000000"/>
          <w:u w:color="000000"/>
          <w:rtl w:val="0"/>
          <w:lang w:val="en-US"/>
          <w14:textFill>
            <w14:solidFill>
              <w14:srgbClr w14:val="000000"/>
            </w14:solidFill>
          </w14:textFill>
        </w:rPr>
        <w:t>Acre has the product, the risk management, the security framework, and the community. Creating the institutional adoption function closes the final gap between product readiness and institutional capital access.</w:t>
      </w:r>
      <w:bookmarkEnd w:id="16"/>
    </w:p>
    <w:p>
      <w:pPr>
        <w:pStyle w:val="Heading 2"/>
      </w:pPr>
      <w:bookmarkStart w:name="_Toc17" w:id="17"/>
      <w:r>
        <w:rPr>
          <w:rFonts w:cs="Arial Unicode MS" w:eastAsia="Arial Unicode MS"/>
          <w:rtl w:val="0"/>
          <w:lang w:val="en-US"/>
        </w:rPr>
        <w:t>What Institutions Need from Acre</w:t>
      </w:r>
      <w:bookmarkEnd w:id="17"/>
    </w:p>
    <w:p>
      <w:pPr>
        <w:pStyle w:val="Heading 2"/>
      </w:pPr>
      <w:bookmarkStart w:name="_Toc18" w:id="18"/>
      <w:r>
        <w:rPr>
          <w:rFonts w:cs="Arial Unicode MS" w:eastAsia="Arial Unicode MS"/>
          <w:outline w:val="0"/>
          <w:color w:val="000000"/>
          <w:u w:color="000000"/>
          <w:rtl w:val="0"/>
          <w:lang w:val="en-US"/>
          <w14:textFill>
            <w14:solidFill>
              <w14:srgbClr w14:val="000000"/>
            </w14:solidFill>
          </w14:textFill>
        </w:rPr>
        <w:t>Research from Grayscale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14:textFill>
            <w14:solidFill>
              <w14:srgbClr w14:val="000000"/>
            </w14:solidFill>
          </w14:textFill>
        </w:rPr>
        <w:t xml:space="preserve">s </w:t>
      </w:r>
      <w:r>
        <w:rPr>
          <w:rFonts w:cs="Arial Unicode MS" w:eastAsia="Arial Unicode MS" w:hint="default"/>
          <w:outline w:val="0"/>
          <w:color w:val="000000"/>
          <w:u w:color="000000"/>
          <w:rtl w:val="1"/>
          <w:lang w:val="ar-SA" w:bidi="ar-SA"/>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Dawn of the Institutional Era</w:t>
      </w:r>
      <w:r>
        <w:rPr>
          <w:rFonts w:cs="Arial Unicode MS" w:eastAsia="Arial Unicode MS" w:hint="default"/>
          <w:outline w:val="0"/>
          <w:color w:val="000000"/>
          <w:u w:color="000000"/>
          <w:rtl w:val="0"/>
          <w14:textFill>
            <w14:solidFill>
              <w14:srgbClr w14:val="000000"/>
            </w14:solidFill>
          </w14:textFill>
        </w:rPr>
        <w:t xml:space="preserve">” </w:t>
      </w:r>
      <w:r>
        <w:rPr>
          <w:rFonts w:cs="Arial Unicode MS" w:eastAsia="Arial Unicode MS"/>
          <w:outline w:val="0"/>
          <w:color w:val="000000"/>
          <w:u w:color="000000"/>
          <w:rtl w:val="0"/>
          <w:lang w:val="en-US"/>
          <w14:textFill>
            <w14:solidFill>
              <w14:srgbClr w14:val="000000"/>
            </w14:solidFill>
          </w14:textFill>
        </w:rPr>
        <w:t>report, Citi</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custody framework, and institutional surveys reveals consistent requirements:</w:t>
      </w:r>
      <w:bookmarkEnd w:id="18"/>
    </w:p>
    <w:p>
      <w:pPr>
        <w:pStyle w:val="List Paragraph"/>
        <w:numPr>
          <w:ilvl w:val="0"/>
          <w:numId w:val="2"/>
        </w:numPr>
        <w:spacing w:after="60"/>
        <w:rPr>
          <w:lang w:val="en-US"/>
        </w:rPr>
      </w:pPr>
      <w:r>
        <w:rPr>
          <w:b w:val="1"/>
          <w:bCs w:val="1"/>
          <w:rtl w:val="0"/>
          <w:lang w:val="en-US"/>
        </w:rPr>
        <w:t xml:space="preserve">Professional communication: </w:t>
      </w:r>
      <w:r>
        <w:rPr>
          <w:rtl w:val="0"/>
          <w:lang w:val="en-US"/>
        </w:rPr>
        <w:t>LinkedIn, scheduled briefings, structured reporting, and direct email</w:t>
      </w:r>
      <w:r>
        <w:rPr>
          <w:rtl w:val="0"/>
          <w:lang w:val="en-US"/>
        </w:rPr>
        <w:t>—</w:t>
      </w:r>
      <w:r>
        <w:rPr>
          <w:rtl w:val="0"/>
          <w:lang w:val="en-US"/>
        </w:rPr>
        <w:t>not Discord or Telegram</w:t>
      </w:r>
    </w:p>
    <w:p>
      <w:pPr>
        <w:pStyle w:val="List Paragraph"/>
        <w:numPr>
          <w:ilvl w:val="0"/>
          <w:numId w:val="2"/>
        </w:numPr>
        <w:spacing w:after="60"/>
        <w:rPr>
          <w:lang w:val="en-US"/>
        </w:rPr>
      </w:pPr>
      <w:r>
        <w:rPr>
          <w:b w:val="1"/>
          <w:bCs w:val="1"/>
          <w:rtl w:val="0"/>
          <w:lang w:val="en-US"/>
        </w:rPr>
        <w:t xml:space="preserve">Structured diligence support: </w:t>
      </w:r>
      <w:r>
        <w:rPr>
          <w:rtl w:val="0"/>
          <w:lang w:val="en-US"/>
        </w:rPr>
        <w:t>Clear documentation of vault architecture, risk frameworks, yield strategies, custody models, and governance structures</w:t>
      </w:r>
    </w:p>
    <w:p>
      <w:pPr>
        <w:pStyle w:val="List Paragraph"/>
        <w:numPr>
          <w:ilvl w:val="0"/>
          <w:numId w:val="2"/>
        </w:numPr>
        <w:spacing w:after="60"/>
        <w:rPr>
          <w:lang w:val="en-US"/>
        </w:rPr>
      </w:pPr>
      <w:r>
        <w:rPr>
          <w:b w:val="1"/>
          <w:bCs w:val="1"/>
          <w:rtl w:val="0"/>
          <w:lang w:val="en-US"/>
        </w:rPr>
        <w:t xml:space="preserve">Onboarding and integration: </w:t>
      </w:r>
      <w:r>
        <w:rPr>
          <w:rtl w:val="0"/>
          <w:lang w:val="en-US"/>
        </w:rPr>
        <w:t>A clear path from initial interest to active vault engagement that makes complex infrastructure approachable</w:t>
      </w:r>
    </w:p>
    <w:p>
      <w:pPr>
        <w:pStyle w:val="List Paragraph"/>
        <w:numPr>
          <w:ilvl w:val="0"/>
          <w:numId w:val="2"/>
        </w:numPr>
        <w:spacing w:after="60"/>
        <w:rPr>
          <w:lang w:val="en-US"/>
        </w:rPr>
      </w:pPr>
      <w:r>
        <w:rPr>
          <w:b w:val="1"/>
          <w:bCs w:val="1"/>
          <w:rtl w:val="0"/>
          <w:lang w:val="en-US"/>
        </w:rPr>
        <w:t xml:space="preserve">Single point of contact: </w:t>
      </w:r>
      <w:r>
        <w:rPr>
          <w:rtl w:val="0"/>
          <w:lang w:val="en-US"/>
        </w:rPr>
        <w:t>A trusted individual who speaks both TradFi and Web3, capable of translating complex infrastructure into familiar financial language</w:t>
      </w:r>
    </w:p>
    <w:p>
      <w:pPr>
        <w:pStyle w:val="List Paragraph"/>
        <w:numPr>
          <w:ilvl w:val="0"/>
          <w:numId w:val="2"/>
        </w:numPr>
        <w:spacing w:after="60"/>
        <w:rPr>
          <w:lang w:val="en-US"/>
        </w:rPr>
      </w:pPr>
      <w:r>
        <w:rPr>
          <w:b w:val="1"/>
          <w:bCs w:val="1"/>
          <w:rtl w:val="0"/>
          <w:lang w:val="en-US"/>
        </w:rPr>
        <w:t xml:space="preserve">Market intelligence loop: </w:t>
      </w:r>
      <w:r>
        <w:rPr>
          <w:rtl w:val="0"/>
          <w:lang w:val="en-US"/>
        </w:rPr>
        <w:t>Capture investor questions and feed them back to product, risk, and leadership teams</w:t>
      </w:r>
    </w:p>
    <w:p>
      <w:pPr>
        <w:pStyle w:val="List Paragraph"/>
        <w:numPr>
          <w:ilvl w:val="0"/>
          <w:numId w:val="2"/>
        </w:numPr>
        <w:spacing w:after="60"/>
        <w:rPr>
          <w:lang w:val="en-US"/>
        </w:rPr>
      </w:pPr>
      <w:r>
        <w:rPr>
          <w:b w:val="1"/>
          <w:bCs w:val="1"/>
          <w:rtl w:val="0"/>
          <w:lang w:val="en-US"/>
        </w:rPr>
        <w:t xml:space="preserve">Regulatory alignment: </w:t>
      </w:r>
      <w:r>
        <w:rPr>
          <w:rtl w:val="0"/>
          <w:lang w:val="en-US"/>
        </w:rPr>
        <w:t>How Acre</w:t>
      </w:r>
      <w:r>
        <w:rPr>
          <w:rtl w:val="1"/>
        </w:rPr>
        <w:t>’</w:t>
      </w:r>
      <w:r>
        <w:rPr>
          <w:rtl w:val="0"/>
          <w:lang w:val="en-US"/>
        </w:rPr>
        <w:t>s self-custody model, Security Council governance, and vault operations align with the GENIUS Act, MiCA, and OCC guidance</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19" w:id="19"/>
      <w:r>
        <w:rPr>
          <w:rFonts w:cs="Arial Unicode MS" w:eastAsia="Arial Unicode MS"/>
          <w:rtl w:val="0"/>
          <w:lang w:val="en-US"/>
        </w:rPr>
        <w:t>Role Definition</w:t>
      </w:r>
      <w:bookmarkEnd w:id="19"/>
    </w:p>
    <w:p>
      <w:pPr>
        <w:pStyle w:val="Heading 2"/>
      </w:pPr>
      <w:bookmarkStart w:name="_Toc20" w:id="20"/>
      <w:r>
        <w:rPr>
          <w:rFonts w:cs="Arial Unicode MS" w:eastAsia="Arial Unicode MS"/>
          <w:rtl w:val="0"/>
          <w:lang w:val="en-US"/>
        </w:rPr>
        <w:t>Title &amp; Positioning</w:t>
      </w:r>
      <w:bookmarkEnd w:id="20"/>
    </w:p>
    <w:p>
      <w:pPr>
        <w:pStyle w:val="Heading 2"/>
      </w:pPr>
      <w:bookmarkStart w:name="_Toc21" w:id="21"/>
      <w:r>
        <w:rPr>
          <w:rFonts w:cs="Arial Unicode MS" w:eastAsia="Arial Unicode MS"/>
          <w:outline w:val="0"/>
          <w:color w:val="000000"/>
          <w:u w:color="000000"/>
          <w:rtl w:val="0"/>
          <w:lang w:val="en-US"/>
          <w14:textFill>
            <w14:solidFill>
              <w14:srgbClr w14:val="000000"/>
            </w14:solidFill>
          </w14:textFill>
        </w:rPr>
        <w:t>Title: Head of Institutional Adoption</w:t>
      </w:r>
      <w:bookmarkEnd w:id="21"/>
    </w:p>
    <w:p>
      <w:pPr>
        <w:pStyle w:val="Heading 2"/>
      </w:pPr>
      <w:bookmarkStart w:name="_Toc22" w:id="22"/>
      <w:r>
        <w:rPr>
          <w:rFonts w:cs="Arial Unicode MS" w:eastAsia="Arial Unicode MS"/>
          <w:outline w:val="0"/>
          <w:color w:val="000000"/>
          <w:u w:color="000000"/>
          <w:rtl w:val="0"/>
          <w:lang w:val="en-US"/>
          <w14:textFill>
            <w14:solidFill>
              <w14:srgbClr w14:val="000000"/>
            </w14:solidFill>
          </w14:textFill>
        </w:rPr>
        <w:t>Reports to: Chief Executive Officer</w:t>
      </w:r>
      <w:bookmarkEnd w:id="22"/>
    </w:p>
    <w:p>
      <w:pPr>
        <w:pStyle w:val="Heading 2"/>
      </w:pPr>
      <w:bookmarkStart w:name="_Toc23" w:id="23"/>
      <w:r>
        <w:rPr>
          <w:rFonts w:cs="Arial Unicode MS" w:eastAsia="Arial Unicode MS"/>
          <w:outline w:val="0"/>
          <w:color w:val="000000"/>
          <w:u w:color="000000"/>
          <w:rtl w:val="0"/>
          <w:lang w:val="en-US"/>
          <w14:textFill>
            <w14:solidFill>
              <w14:srgbClr w14:val="000000"/>
            </w14:solidFill>
          </w14:textFill>
        </w:rPr>
        <w:t>Classification: Executive Leadership Team</w:t>
      </w:r>
      <w:bookmarkEnd w:id="23"/>
    </w:p>
    <w:p>
      <w:pPr>
        <w:pStyle w:val="Heading 2"/>
      </w:pPr>
      <w:bookmarkStart w:name="_Toc24" w:id="24"/>
      <w:r>
        <w:rPr>
          <w:rFonts w:cs="Arial Unicode MS" w:eastAsia="Arial Unicode MS"/>
          <w:outline w:val="0"/>
          <w:color w:val="000000"/>
          <w:u w:color="000000"/>
          <w:rtl w:val="0"/>
          <w:lang w:val="en-US"/>
          <w14:textFill>
            <w14:solidFill>
              <w14:srgbClr w14:val="000000"/>
            </w14:solidFill>
          </w14:textFill>
        </w:rPr>
        <w:t>Location: Remote (Global)</w:t>
      </w:r>
      <w:bookmarkEnd w:id="24"/>
    </w:p>
    <w:p>
      <w:pPr>
        <w:pStyle w:val="Heading 2"/>
      </w:pPr>
      <w:bookmarkStart w:name="_Toc25" w:id="25"/>
      <w:r>
        <w:rPr>
          <w:rFonts w:cs="Arial Unicode MS" w:eastAsia="Arial Unicode MS"/>
          <w:outline w:val="0"/>
          <w:color w:val="000000"/>
          <w:u w:color="000000"/>
          <w:rtl w:val="0"/>
          <w:lang w:val="en-US"/>
          <w14:textFill>
            <w14:solidFill>
              <w14:srgbClr w14:val="000000"/>
            </w14:solidFill>
          </w14:textFill>
        </w:rPr>
        <w:t xml:space="preserve">This role represents an expansion and promotion from Community Lead to executive-level ownership of institutional adoption at Acre. The title </w:t>
      </w:r>
      <w:r>
        <w:rPr>
          <w:rFonts w:cs="Arial Unicode MS" w:eastAsia="Arial Unicode MS" w:hint="default"/>
          <w:outline w:val="0"/>
          <w:color w:val="000000"/>
          <w:u w:color="000000"/>
          <w:rtl w:val="1"/>
          <w:lang w:val="ar-SA" w:bidi="ar-SA"/>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Adoption</w:t>
      </w:r>
      <w:r>
        <w:rPr>
          <w:rFonts w:cs="Arial Unicode MS" w:eastAsia="Arial Unicode MS" w:hint="default"/>
          <w:outline w:val="0"/>
          <w:color w:val="000000"/>
          <w:u w:color="000000"/>
          <w:rtl w:val="0"/>
          <w14:textFill>
            <w14:solidFill>
              <w14:srgbClr w14:val="000000"/>
            </w14:solidFill>
          </w14:textFill>
        </w:rPr>
        <w:t xml:space="preserve">” </w:t>
      </w:r>
      <w:r>
        <w:rPr>
          <w:rFonts w:cs="Arial Unicode MS" w:eastAsia="Arial Unicode MS"/>
          <w:outline w:val="0"/>
          <w:color w:val="000000"/>
          <w:u w:color="000000"/>
          <w:rtl w:val="0"/>
          <w:lang w:val="en-US"/>
          <w14:textFill>
            <w14:solidFill>
              <w14:srgbClr w14:val="000000"/>
            </w14:solidFill>
          </w14:textFill>
        </w:rPr>
        <w:t>was selected because it captures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it-IT"/>
          <w14:textFill>
            <w14:solidFill>
              <w14:srgbClr w14:val="000000"/>
            </w14:solidFill>
          </w14:textFill>
        </w:rPr>
        <w:t>s core differentiator</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making complex vault infrastructure approachable</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and implies the full institutional journey from first contact through active engagement. No BTCFi competitor uses this title, giving Acre a unique positioning signal.</w:t>
      </w:r>
      <w:bookmarkEnd w:id="25"/>
    </w:p>
    <w:p>
      <w:pPr>
        <w:pStyle w:val="Heading 2"/>
      </w:pPr>
      <w:bookmarkStart w:name="_Toc26" w:id="26"/>
      <w:r>
        <w:rPr>
          <w:rFonts w:cs="Arial Unicode MS" w:eastAsia="Arial Unicode MS"/>
          <w:rtl w:val="0"/>
          <w:lang w:val="it-IT"/>
        </w:rPr>
        <w:t>Role Mission</w:t>
      </w:r>
      <w:bookmarkEnd w:id="26"/>
    </w:p>
    <w:p>
      <w:pPr>
        <w:pStyle w:val="Heading 2"/>
      </w:pPr>
      <w:bookmarkStart w:name="_Toc27" w:id="27"/>
      <w:r>
        <w:rPr>
          <w:rFonts w:cs="Arial Unicode MS" w:eastAsia="Arial Unicode MS"/>
          <w:outline w:val="0"/>
          <w:color w:val="000000"/>
          <w:u w:color="000000"/>
          <w:rtl w:val="0"/>
          <w:lang w:val="en-US"/>
          <w14:textFill>
            <w14:solidFill>
              <w14:srgbClr w14:val="000000"/>
            </w14:solidFill>
          </w14:textFill>
        </w:rPr>
        <w:t>Drive institutional adoption of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vault infrastructure by ensuring institutional participants can discover, evaluate, trust, and integrate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products through professional communication channels, structured diligence processes, and high-touch engagement</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making complex systems easy to understand and approach.</w:t>
      </w:r>
      <w:bookmarkEnd w:id="27"/>
    </w:p>
    <w:p>
      <w:pPr>
        <w:pStyle w:val="Heading 2"/>
      </w:pPr>
    </w:p>
    <w:p>
      <w:pPr>
        <w:pStyle w:val="Heading"/>
      </w:pPr>
      <w:bookmarkStart w:name="_Toc28" w:id="28"/>
      <w:r>
        <w:rPr>
          <w:rFonts w:cs="Arial Unicode MS" w:eastAsia="Arial Unicode MS"/>
          <w:rtl w:val="0"/>
          <w:lang w:val="en-US"/>
        </w:rPr>
        <w:t>Organizational Structure</w:t>
      </w:r>
      <w:bookmarkEnd w:id="28"/>
    </w:p>
    <w:p>
      <w:pPr>
        <w:pStyle w:val="Heading"/>
      </w:pPr>
      <w:bookmarkStart w:name="_Toc29" w:id="29"/>
      <w:r>
        <w:rPr>
          <w:rFonts w:cs="Arial Unicode MS" w:eastAsia="Arial Unicode MS"/>
          <w:outline w:val="0"/>
          <w:color w:val="000000"/>
          <w:u w:color="000000"/>
          <w:rtl w:val="0"/>
          <w:lang w:val="en-US"/>
          <w14:textFill>
            <w14:solidFill>
              <w14:srgbClr w14:val="000000"/>
            </w14:solidFill>
          </w14:textFill>
        </w:rPr>
        <w:t>The Head of Institutional Adoption coordinates four interconnected operational pillars that together form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Institutional Adoption Infrastructure.</w:t>
      </w:r>
      <w:bookmarkEnd w:id="2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663" w:hRule="atLeast"/>
        </w:trPr>
        <w:tc>
          <w:tcPr>
            <w:tcW w:type="dxa" w:w="9360"/>
            <w:gridSpan w:val="4"/>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Head of Institutional Adoption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d4a853"/>
                <w:sz w:val="20"/>
                <w:szCs w:val="20"/>
                <w:u w:color="d4a853"/>
                <w:shd w:val="nil" w:color="auto" w:fill="auto"/>
                <w:rtl w:val="0"/>
                <w:lang w:val="it-IT"/>
                <w14:textFill>
                  <w14:solidFill>
                    <w14:srgbClr w14:val="D4A853"/>
                  </w14:solidFill>
                </w14:textFill>
              </w:rPr>
              <w:t>Nico Marotta</w:t>
            </w:r>
          </w:p>
        </w:tc>
      </w:tr>
      <w:tr>
        <w:tblPrEx>
          <w:shd w:val="clear" w:color="auto" w:fill="ced7e7"/>
        </w:tblPrEx>
        <w:trPr>
          <w:trHeight w:val="216"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0ede5"/>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19"/>
                <w:szCs w:val="19"/>
                <w:u w:color="1b2a4a"/>
                <w:shd w:val="nil" w:color="auto" w:fill="auto"/>
                <w:rtl w:val="0"/>
                <w:lang w:val="fr-FR"/>
                <w14:textFill>
                  <w14:solidFill>
                    <w14:srgbClr w14:val="1B2A4A"/>
                  </w14:solidFill>
                </w14:textFill>
              </w:rPr>
              <w:t>Institutional Adoption</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0ede5"/>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19"/>
                <w:szCs w:val="19"/>
                <w:u w:color="1b2a4a"/>
                <w:shd w:val="nil" w:color="auto" w:fill="auto"/>
                <w:rtl w:val="0"/>
                <w:lang w:val="en-US"/>
                <w14:textFill>
                  <w14:solidFill>
                    <w14:srgbClr w14:val="1B2A4A"/>
                  </w14:solidFill>
                </w14:textFill>
              </w:rPr>
              <w:t>Governance &amp; Trust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0ede5"/>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19"/>
                <w:szCs w:val="19"/>
                <w:u w:color="1b2a4a"/>
                <w:shd w:val="nil" w:color="auto" w:fill="auto"/>
                <w:rtl w:val="0"/>
                <w:lang w:val="en-US"/>
                <w14:textFill>
                  <w14:solidFill>
                    <w14:srgbClr w14:val="1B2A4A"/>
                  </w14:solidFill>
                </w14:textFill>
              </w:rPr>
              <w:t>Ecosystem Growth</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0ede5"/>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2a4a"/>
                <w:sz w:val="19"/>
                <w:szCs w:val="19"/>
                <w:u w:color="1b2a4a"/>
                <w:shd w:val="nil" w:color="auto" w:fill="auto"/>
                <w:rtl w:val="0"/>
                <w14:textFill>
                  <w14:solidFill>
                    <w14:srgbClr w14:val="1B2A4A"/>
                  </w14:solidFill>
                </w14:textFill>
              </w:rPr>
              <w:t>Market Intelligence</w:t>
            </w:r>
          </w:p>
        </w:tc>
      </w:tr>
      <w:tr>
        <w:tblPrEx>
          <w:shd w:val="clear" w:color="auto" w:fill="ced7e7"/>
        </w:tblPrEx>
        <w:trPr>
          <w:trHeight w:val="1792"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Investor engagement</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Onboarding workflows</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Diligence facilitation</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Documentation library</w:t>
            </w:r>
          </w:p>
          <w:p>
            <w:pPr>
              <w:pStyle w:val="Default"/>
              <w:tabs>
                <w:tab w:val="left" w:pos="720"/>
                <w:tab w:val="left" w:pos="1440"/>
                <w:tab w:val="left" w:pos="2160"/>
              </w:tabs>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Professional comms</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Security Council coord.</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Governance comms</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Regulatory alignment</w:t>
            </w:r>
          </w:p>
          <w:p>
            <w:pPr>
              <w:pStyle w:val="Default"/>
              <w:tabs>
                <w:tab w:val="left" w:pos="720"/>
                <w:tab w:val="left" w:pos="1440"/>
                <w:tab w:val="left" w:pos="2160"/>
              </w:tabs>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Trust &amp; transparency</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Conference representation</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Ecosystem partnerships</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fr-FR"/>
                <w14:textFill>
                  <w14:solidFill>
                    <w14:srgbClr w14:val="2C2C2C"/>
                  </w14:solidFill>
                </w14:textFill>
              </w:rPr>
              <w:t>Public engagement</w:t>
            </w:r>
          </w:p>
          <w:p>
            <w:pPr>
              <w:pStyle w:val="Default"/>
              <w:tabs>
                <w:tab w:val="left" w:pos="720"/>
                <w:tab w:val="left" w:pos="1440"/>
                <w:tab w:val="left" w:pos="2160"/>
              </w:tabs>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Brand positioning</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Investor feedback loops</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Competitive analysis</w:t>
            </w:r>
          </w:p>
          <w:p>
            <w:pPr>
              <w:pStyle w:val="Default"/>
              <w:tabs>
                <w:tab w:val="left" w:pos="720"/>
                <w:tab w:val="left" w:pos="1440"/>
                <w:tab w:val="left" w:pos="2160"/>
              </w:tabs>
              <w:rPr>
                <w:rFonts w:ascii="Times New Roman" w:cs="Times New Roman" w:hAnsi="Times New Roman" w:eastAsia="Times New Roman"/>
                <w:sz w:val="20"/>
                <w:szCs w:val="20"/>
                <w:shd w:val="nil" w:color="auto" w:fill="auto"/>
              </w:rPr>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14:textFill>
                  <w14:solidFill>
                    <w14:srgbClr w14:val="2C2C2C"/>
                  </w14:solidFill>
                </w14:textFill>
              </w:rPr>
              <w:t>Regulatory monitoring</w:t>
            </w:r>
          </w:p>
          <w:p>
            <w:pPr>
              <w:pStyle w:val="Default"/>
              <w:tabs>
                <w:tab w:val="left" w:pos="720"/>
                <w:tab w:val="left" w:pos="1440"/>
                <w:tab w:val="left" w:pos="2160"/>
              </w:tabs>
            </w:pPr>
            <w:r>
              <w:rPr>
                <w:rFonts w:ascii="Arial" w:hAnsi="Arial" w:hint="default"/>
                <w:outline w:val="0"/>
                <w:color w:val="2c2c2c"/>
                <w:sz w:val="17"/>
                <w:szCs w:val="17"/>
                <w:u w:color="2c2c2c"/>
                <w:shd w:val="nil" w:color="auto" w:fill="auto"/>
                <w:rtl w:val="0"/>
                <w14:textFill>
                  <w14:solidFill>
                    <w14:srgbClr w14:val="2C2C2C"/>
                  </w14:solidFill>
                </w14:textFill>
              </w:rPr>
              <w:t xml:space="preserve">• </w:t>
            </w:r>
            <w:r>
              <w:rPr>
                <w:rFonts w:ascii="Arial" w:hAnsi="Arial"/>
                <w:outline w:val="0"/>
                <w:color w:val="2c2c2c"/>
                <w:sz w:val="17"/>
                <w:szCs w:val="17"/>
                <w:u w:color="2c2c2c"/>
                <w:shd w:val="nil" w:color="auto" w:fill="auto"/>
                <w:rtl w:val="0"/>
                <w:lang w:val="en-US"/>
                <w14:textFill>
                  <w14:solidFill>
                    <w14:srgbClr w14:val="2C2C2C"/>
                  </w14:solidFill>
                </w14:textFill>
              </w:rPr>
              <w:t>Adoption metrics</w:t>
            </w:r>
          </w:p>
        </w:tc>
      </w:tr>
    </w:tbl>
    <w:p>
      <w:pPr>
        <w:pStyle w:val="Heading"/>
        <w:widowControl w:val="0"/>
      </w:pPr>
    </w:p>
    <w:p>
      <w:pPr>
        <w:pStyle w:val="Heading"/>
        <w:widowControl w:val="0"/>
      </w:pPr>
    </w:p>
    <w:p>
      <w:pPr>
        <w:pStyle w:val="Heading"/>
        <w:widowControl w:val="0"/>
      </w:pPr>
      <w:bookmarkStart w:name="_Toc30" w:id="30"/>
      <w:r>
        <w:rPr>
          <w:outline w:val="0"/>
          <w:color w:val="000000"/>
          <w:u w:color="000000"/>
          <w:rtl w:val="0"/>
          <w:lang w:val="en-US"/>
          <w14:textFill>
            <w14:solidFill>
              <w14:srgbClr w14:val="000000"/>
            </w14:solidFill>
          </w14:textFill>
        </w:rPr>
        <w:t>Coordination: CEO, Acre Security Council, Risk Curators (Re7 Labs), Infrastructure Partners (Midas), Community Operations Manager, Executive Team</w:t>
      </w:r>
      <w:bookmarkEnd w:id="30"/>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31" w:id="31"/>
      <w:r>
        <w:rPr>
          <w:rFonts w:cs="Arial Unicode MS" w:eastAsia="Arial Unicode MS"/>
          <w:rtl w:val="0"/>
          <w:lang w:val="en-US"/>
        </w:rPr>
        <w:t>Pillar 1: Institutional Adoption &amp; Investor Engagement</w:t>
      </w:r>
      <w:bookmarkEnd w:id="31"/>
    </w:p>
    <w:p>
      <w:pPr>
        <w:pStyle w:val="Heading"/>
      </w:pPr>
      <w:bookmarkStart w:name="_Toc32" w:id="32"/>
      <w:r>
        <w:rPr>
          <w:rFonts w:cs="Arial Unicode MS" w:eastAsia="Arial Unicode MS"/>
          <w:outline w:val="0"/>
          <w:color w:val="000000"/>
          <w:u w:color="000000"/>
          <w:rtl w:val="0"/>
          <w:lang w:val="en-US"/>
          <w14:textFill>
            <w14:solidFill>
              <w14:srgbClr w14:val="000000"/>
            </w14:solidFill>
          </w14:textFill>
        </w:rPr>
        <w:t>This is the primary pillar of the role</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building institutional-grade engagement systems that enable Acre to participate in the institutional capital wave entering Bitcoin finance. This function ensures that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complex vault infrastructure is approachable, understandable, and trusted by professional capital allocators.</w:t>
      </w:r>
      <w:bookmarkEnd w:id="32"/>
    </w:p>
    <w:p>
      <w:pPr>
        <w:pStyle w:val="Heading 2"/>
      </w:pPr>
      <w:bookmarkStart w:name="_Toc33" w:id="33"/>
      <w:r>
        <w:rPr>
          <w:rFonts w:cs="Arial Unicode MS" w:eastAsia="Arial Unicode MS"/>
          <w:rtl w:val="0"/>
          <w:lang w:val="fr-FR"/>
        </w:rPr>
        <w:t>Investor Engagement</w:t>
      </w:r>
      <w:bookmarkEnd w:id="33"/>
    </w:p>
    <w:p>
      <w:pPr>
        <w:pStyle w:val="List Paragraph"/>
        <w:numPr>
          <w:ilvl w:val="0"/>
          <w:numId w:val="2"/>
        </w:numPr>
        <w:spacing w:after="60"/>
        <w:rPr>
          <w:lang w:val="en-US"/>
        </w:rPr>
      </w:pPr>
      <w:r>
        <w:rPr>
          <w:rtl w:val="0"/>
          <w:lang w:val="en-US"/>
        </w:rPr>
        <w:t>Serve as the primary point of contact for institutional investors, family offices, hedge funds, and professional allocators evaluating Acre</w:t>
      </w:r>
      <w:r>
        <w:rPr>
          <w:rtl w:val="1"/>
        </w:rPr>
        <w:t>’</w:t>
      </w:r>
      <w:r>
        <w:rPr>
          <w:rtl w:val="0"/>
          <w:lang w:val="en-US"/>
        </w:rPr>
        <w:t>s Bitcoin vault products and yield strategies</w:t>
      </w:r>
    </w:p>
    <w:p>
      <w:pPr>
        <w:pStyle w:val="List Paragraph"/>
        <w:numPr>
          <w:ilvl w:val="0"/>
          <w:numId w:val="2"/>
        </w:numPr>
        <w:spacing w:after="60"/>
        <w:rPr>
          <w:lang w:val="en-US"/>
        </w:rPr>
      </w:pPr>
      <w:r>
        <w:rPr>
          <w:rtl w:val="0"/>
          <w:lang w:val="en-US"/>
        </w:rPr>
        <w:t>Own the full institutional adoption journey: from initial introduction through diligence, onboarding, vault engagement, and ongoing relationship management</w:t>
      </w:r>
    </w:p>
    <w:p>
      <w:pPr>
        <w:pStyle w:val="List Paragraph"/>
        <w:numPr>
          <w:ilvl w:val="0"/>
          <w:numId w:val="2"/>
        </w:numPr>
        <w:spacing w:after="60"/>
        <w:rPr>
          <w:lang w:val="en-US"/>
        </w:rPr>
      </w:pPr>
      <w:r>
        <w:rPr>
          <w:rtl w:val="0"/>
          <w:lang w:val="en-US"/>
        </w:rPr>
        <w:t>Facilitate one-on-one discussions, scheduled briefings, and structured diligence processes tailored to professional capital allocators</w:t>
      </w:r>
    </w:p>
    <w:p>
      <w:pPr>
        <w:pStyle w:val="List Paragraph"/>
        <w:numPr>
          <w:ilvl w:val="0"/>
          <w:numId w:val="2"/>
        </w:numPr>
        <w:spacing w:after="60"/>
        <w:rPr>
          <w:lang w:val="en-US"/>
        </w:rPr>
      </w:pPr>
      <w:r>
        <w:rPr>
          <w:rtl w:val="0"/>
          <w:lang w:val="en-US"/>
        </w:rPr>
        <w:t>Establish and maintain communication channels suited for institutional participants: LinkedIn, direct messaging, email, and scheduled briefing programs</w:t>
      </w:r>
    </w:p>
    <w:p>
      <w:pPr>
        <w:pStyle w:val="List Paragraph"/>
        <w:numPr>
          <w:ilvl w:val="0"/>
          <w:numId w:val="2"/>
        </w:numPr>
        <w:spacing w:after="60"/>
        <w:rPr>
          <w:lang w:val="en-US"/>
        </w:rPr>
      </w:pPr>
      <w:r>
        <w:rPr>
          <w:rtl w:val="0"/>
          <w:lang w:val="en-US"/>
        </w:rPr>
        <w:t>Coordinate investor-focused events, roundtables, and institutional introductions at conferences and ecosystem gatherings</w:t>
      </w:r>
    </w:p>
    <w:p>
      <w:pPr>
        <w:pStyle w:val="Heading 2"/>
      </w:pPr>
      <w:bookmarkStart w:name="_Toc34" w:id="34"/>
      <w:r>
        <w:rPr>
          <w:rFonts w:cs="Arial Unicode MS" w:eastAsia="Arial Unicode MS"/>
          <w:rtl w:val="0"/>
          <w:lang w:val="en-US"/>
        </w:rPr>
        <w:t>Investor Documentation &amp; Materials</w:t>
      </w:r>
      <w:bookmarkEnd w:id="34"/>
    </w:p>
    <w:p>
      <w:pPr>
        <w:pStyle w:val="List Paragraph"/>
        <w:numPr>
          <w:ilvl w:val="0"/>
          <w:numId w:val="2"/>
        </w:numPr>
        <w:spacing w:after="60"/>
        <w:rPr>
          <w:lang w:val="en-US"/>
        </w:rPr>
      </w:pPr>
      <w:r>
        <w:rPr>
          <w:rtl w:val="0"/>
          <w:lang w:val="en-US"/>
        </w:rPr>
        <w:t>Develop and maintain a comprehensive investor documentation library including: vault architecture overviews, risk framework documentation, yield strategy summaries, Security Council governance explainers, and regulatory alignment context</w:t>
      </w:r>
    </w:p>
    <w:p>
      <w:pPr>
        <w:pStyle w:val="List Paragraph"/>
        <w:numPr>
          <w:ilvl w:val="0"/>
          <w:numId w:val="2"/>
        </w:numPr>
        <w:spacing w:after="60"/>
        <w:rPr>
          <w:lang w:val="en-US"/>
        </w:rPr>
      </w:pPr>
      <w:r>
        <w:rPr>
          <w:rtl w:val="0"/>
          <w:lang w:val="en-US"/>
        </w:rPr>
        <w:t>Create structured information packages for institutional prospects at different stages of diligence (initial introduction, technical deep-dive, risk assessment, allocation decision)</w:t>
      </w:r>
    </w:p>
    <w:p>
      <w:pPr>
        <w:pStyle w:val="List Paragraph"/>
        <w:numPr>
          <w:ilvl w:val="0"/>
          <w:numId w:val="2"/>
        </w:numPr>
        <w:spacing w:after="60"/>
        <w:rPr>
          <w:lang w:val="en-US"/>
        </w:rPr>
      </w:pPr>
      <w:r>
        <w:rPr>
          <w:rtl w:val="0"/>
          <w:lang w:val="en-US"/>
        </w:rPr>
        <w:t>Design and implement institutional onboarding workflows that make Acre</w:t>
      </w:r>
      <w:r>
        <w:rPr>
          <w:rtl w:val="1"/>
        </w:rPr>
        <w:t>’</w:t>
      </w:r>
      <w:r>
        <w:rPr>
          <w:rtl w:val="0"/>
          <w:lang w:val="en-US"/>
        </w:rPr>
        <w:t>s complex infrastructure approachable</w:t>
      </w:r>
      <w:r>
        <w:rPr>
          <w:rtl w:val="0"/>
          <w:lang w:val="en-US"/>
        </w:rPr>
        <w:t>—</w:t>
      </w:r>
      <w:r>
        <w:rPr>
          <w:rtl w:val="0"/>
          <w:lang w:val="en-US"/>
        </w:rPr>
        <w:t>translating ERC-4626 vaults, tBTC bridges, and self-custody models into clear, institutional-grade narratives</w:t>
      </w:r>
    </w:p>
    <w:p>
      <w:pPr>
        <w:pStyle w:val="List Paragraph"/>
        <w:numPr>
          <w:ilvl w:val="0"/>
          <w:numId w:val="2"/>
        </w:numPr>
        <w:spacing w:after="60"/>
        <w:rPr>
          <w:lang w:val="en-US"/>
        </w:rPr>
      </w:pPr>
      <w:r>
        <w:rPr>
          <w:rtl w:val="0"/>
          <w:lang w:val="en-US"/>
        </w:rPr>
        <w:t>Provide structured protocol updates tailored to professional stakeholders (monthly or quarterly investor updates, vault performance summaries, governance status reports)</w:t>
      </w:r>
    </w:p>
    <w:p>
      <w:pPr>
        <w:pStyle w:val="Heading 2"/>
      </w:pPr>
      <w:bookmarkStart w:name="_Toc35" w:id="35"/>
      <w:r>
        <w:rPr>
          <w:rFonts w:cs="Arial Unicode MS" w:eastAsia="Arial Unicode MS"/>
          <w:rtl w:val="0"/>
          <w:lang w:val="en-US"/>
        </w:rPr>
        <w:t>Institutional Experience Design</w:t>
      </w:r>
      <w:bookmarkEnd w:id="35"/>
    </w:p>
    <w:p>
      <w:pPr>
        <w:pStyle w:val="List Paragraph"/>
        <w:numPr>
          <w:ilvl w:val="0"/>
          <w:numId w:val="2"/>
        </w:numPr>
        <w:spacing w:after="60"/>
        <w:rPr>
          <w:lang w:val="en-US"/>
        </w:rPr>
      </w:pPr>
      <w:r>
        <w:rPr>
          <w:rtl w:val="0"/>
          <w:lang w:val="en-US"/>
        </w:rPr>
        <w:t>Define and implement the institutional investor experience from first contact through ongoing engagement, ensuring every touchpoint meets professional standards</w:t>
      </w:r>
    </w:p>
    <w:p>
      <w:pPr>
        <w:pStyle w:val="List Paragraph"/>
        <w:numPr>
          <w:ilvl w:val="0"/>
          <w:numId w:val="2"/>
        </w:numPr>
        <w:spacing w:after="60"/>
        <w:rPr>
          <w:lang w:val="en-US"/>
        </w:rPr>
      </w:pPr>
      <w:r>
        <w:rPr>
          <w:rtl w:val="0"/>
          <w:lang w:val="en-US"/>
        </w:rPr>
        <w:t>Develop response templates, diligence FAQs, and communication workflows that ensure institutional inquiries receive timely, accurate, and professionally formatted responses</w:t>
      </w:r>
    </w:p>
    <w:p>
      <w:pPr>
        <w:pStyle w:val="List Paragraph"/>
        <w:numPr>
          <w:ilvl w:val="0"/>
          <w:numId w:val="2"/>
        </w:numPr>
        <w:spacing w:after="60"/>
        <w:rPr>
          <w:lang w:val="en-US"/>
        </w:rPr>
      </w:pPr>
      <w:r>
        <w:rPr>
          <w:rtl w:val="0"/>
          <w:lang w:val="en-US"/>
        </w:rPr>
        <w:t>Build institutional onboarding processes that guide new institutional participants from initial interest through vault engagement</w:t>
      </w:r>
    </w:p>
    <w:p>
      <w:pPr>
        <w:pStyle w:val="List Paragraph"/>
        <w:numPr>
          <w:ilvl w:val="0"/>
          <w:numId w:val="2"/>
        </w:numPr>
        <w:spacing w:after="60"/>
        <w:rPr>
          <w:lang w:val="en-US"/>
        </w:rPr>
      </w:pPr>
      <w:r>
        <w:rPr>
          <w:rtl w:val="0"/>
          <w:lang w:val="en-US"/>
        </w:rPr>
        <w:t>Establish feedback loops that connect institutional user experience insights back to product, engineering, and risk teams</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36" w:id="36"/>
      <w:r>
        <w:rPr>
          <w:rFonts w:cs="Arial Unicode MS" w:eastAsia="Arial Unicode MS"/>
          <w:rtl w:val="0"/>
          <w:lang w:val="en-US"/>
        </w:rPr>
        <w:t>Pillar 2: Governance &amp; Trust Infrastructure</w:t>
      </w:r>
      <w:bookmarkEnd w:id="36"/>
    </w:p>
    <w:p>
      <w:pPr>
        <w:pStyle w:val="Heading"/>
      </w:pPr>
      <w:bookmarkStart w:name="_Toc37" w:id="37"/>
      <w:r>
        <w:rPr>
          <w:rFonts w:cs="Arial Unicode MS" w:eastAsia="Arial Unicode MS"/>
          <w:outline w:val="0"/>
          <w:color w:val="000000"/>
          <w:u w:color="000000"/>
          <w:rtl w:val="0"/>
          <w:lang w:val="en-US"/>
          <w14:textFill>
            <w14:solidFill>
              <w14:srgbClr w14:val="000000"/>
            </w14:solidFill>
          </w14:textFill>
        </w:rPr>
        <w:t>Governance transparency and trust are foundational to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credibility as a best-in-class Bitcoin financial infrastructure protocol. This pillar ensures the governance layer operates as a trust engine for institutional adoption.</w:t>
      </w:r>
      <w:bookmarkEnd w:id="37"/>
    </w:p>
    <w:p>
      <w:pPr>
        <w:pStyle w:val="Heading 2"/>
      </w:pPr>
      <w:bookmarkStart w:name="_Toc38" w:id="38"/>
      <w:r>
        <w:rPr>
          <w:rFonts w:cs="Arial Unicode MS" w:eastAsia="Arial Unicode MS"/>
          <w:rtl w:val="0"/>
          <w:lang w:val="en-US"/>
        </w:rPr>
        <w:t>Security Council Operations</w:t>
      </w:r>
      <w:bookmarkEnd w:id="38"/>
    </w:p>
    <w:p>
      <w:pPr>
        <w:pStyle w:val="List Paragraph"/>
        <w:numPr>
          <w:ilvl w:val="0"/>
          <w:numId w:val="2"/>
        </w:numPr>
        <w:spacing w:after="60"/>
        <w:rPr>
          <w:lang w:val="en-US"/>
        </w:rPr>
      </w:pPr>
      <w:r>
        <w:rPr>
          <w:rtl w:val="0"/>
          <w:lang w:val="en-US"/>
        </w:rPr>
        <w:t>Coordinate with the Acre Security Council</w:t>
      </w:r>
      <w:r>
        <w:rPr>
          <w:rtl w:val="0"/>
          <w:lang w:val="en-US"/>
        </w:rPr>
        <w:t>—</w:t>
      </w:r>
      <w:r>
        <w:rPr>
          <w:rtl w:val="0"/>
          <w:lang w:val="en-US"/>
        </w:rPr>
        <w:t>the 9-member independent governance body providing oversight of vault deployments, curator approvals, risk policies, and protocol upgrades</w:t>
      </w:r>
    </w:p>
    <w:p>
      <w:pPr>
        <w:pStyle w:val="List Paragraph"/>
        <w:numPr>
          <w:ilvl w:val="0"/>
          <w:numId w:val="2"/>
        </w:numPr>
        <w:spacing w:after="60"/>
        <w:rPr>
          <w:lang w:val="en-US"/>
        </w:rPr>
      </w:pPr>
      <w:r>
        <w:rPr>
          <w:rtl w:val="0"/>
          <w:lang w:val="en-US"/>
        </w:rPr>
        <w:t>Coordinate Security Council communications, meeting facilitation, and governance reporting</w:t>
      </w:r>
    </w:p>
    <w:p>
      <w:pPr>
        <w:pStyle w:val="List Paragraph"/>
        <w:numPr>
          <w:ilvl w:val="0"/>
          <w:numId w:val="2"/>
        </w:numPr>
        <w:spacing w:after="60"/>
        <w:rPr>
          <w:lang w:val="en-US"/>
        </w:rPr>
      </w:pPr>
      <w:r>
        <w:rPr>
          <w:rtl w:val="0"/>
          <w:lang w:val="en-US"/>
        </w:rPr>
        <w:t>Ensure Security Council processes and decisions are communicated transparently to institutional and ecosystem stakeholders</w:t>
      </w:r>
    </w:p>
    <w:p>
      <w:pPr>
        <w:pStyle w:val="Heading 2"/>
      </w:pPr>
      <w:bookmarkStart w:name="_Toc39" w:id="39"/>
      <w:r>
        <w:rPr>
          <w:rFonts w:cs="Arial Unicode MS" w:eastAsia="Arial Unicode MS"/>
          <w:rtl w:val="0"/>
          <w:lang w:val="en-US"/>
        </w:rPr>
        <w:t>Governance Communications</w:t>
      </w:r>
      <w:bookmarkEnd w:id="39"/>
    </w:p>
    <w:p>
      <w:pPr>
        <w:pStyle w:val="List Paragraph"/>
        <w:numPr>
          <w:ilvl w:val="0"/>
          <w:numId w:val="2"/>
        </w:numPr>
        <w:spacing w:after="60"/>
        <w:rPr>
          <w:lang w:val="en-US"/>
        </w:rPr>
      </w:pPr>
      <w:r>
        <w:rPr>
          <w:rtl w:val="0"/>
          <w:lang w:val="en-US"/>
        </w:rPr>
        <w:t>Facilitate clear governance communication during protocol upgrades, vault strategy changes, and emergency actions</w:t>
      </w:r>
    </w:p>
    <w:p>
      <w:pPr>
        <w:pStyle w:val="List Paragraph"/>
        <w:numPr>
          <w:ilvl w:val="0"/>
          <w:numId w:val="2"/>
        </w:numPr>
        <w:spacing w:after="60"/>
        <w:rPr>
          <w:lang w:val="en-US"/>
        </w:rPr>
      </w:pPr>
      <w:r>
        <w:rPr>
          <w:rtl w:val="0"/>
          <w:lang w:val="en-US"/>
        </w:rPr>
        <w:t>Ensure audit reports, risk disclosures, and governance decisions are accessible to both retail and institutional audiences</w:t>
      </w:r>
    </w:p>
    <w:p>
      <w:pPr>
        <w:pStyle w:val="List Paragraph"/>
        <w:numPr>
          <w:ilvl w:val="0"/>
          <w:numId w:val="2"/>
        </w:numPr>
        <w:spacing w:after="60"/>
        <w:rPr>
          <w:lang w:val="en-US"/>
        </w:rPr>
      </w:pPr>
      <w:r>
        <w:rPr>
          <w:rtl w:val="0"/>
          <w:lang w:val="en-US"/>
        </w:rPr>
        <w:t>Serve as a trusted steward between institutional stakeholders, contributors, and executive leadership during periods of protocol change</w:t>
      </w:r>
    </w:p>
    <w:p>
      <w:pPr>
        <w:pStyle w:val="Heading 2"/>
      </w:pPr>
      <w:bookmarkStart w:name="_Toc40" w:id="40"/>
      <w:r>
        <w:rPr>
          <w:rFonts w:cs="Arial Unicode MS" w:eastAsia="Arial Unicode MS"/>
          <w:rtl w:val="0"/>
          <w:lang w:val="en-US"/>
        </w:rPr>
        <w:t>Regulatory Alignment</w:t>
      </w:r>
      <w:bookmarkEnd w:id="40"/>
    </w:p>
    <w:p>
      <w:pPr>
        <w:pStyle w:val="List Paragraph"/>
        <w:numPr>
          <w:ilvl w:val="0"/>
          <w:numId w:val="2"/>
        </w:numPr>
        <w:spacing w:after="60"/>
        <w:rPr>
          <w:lang w:val="en-US"/>
        </w:rPr>
      </w:pPr>
      <w:r>
        <w:rPr>
          <w:rtl w:val="0"/>
          <w:lang w:val="en-US"/>
        </w:rPr>
        <w:t>Provide regulatory alignment context to institutional stakeholders</w:t>
      </w:r>
      <w:r>
        <w:rPr>
          <w:rtl w:val="0"/>
          <w:lang w:val="en-US"/>
        </w:rPr>
        <w:t>—</w:t>
      </w:r>
      <w:r>
        <w:rPr>
          <w:rtl w:val="0"/>
          <w:lang w:val="en-US"/>
        </w:rPr>
        <w:t>communicating how Acre</w:t>
      </w:r>
      <w:r>
        <w:rPr>
          <w:rtl w:val="1"/>
        </w:rPr>
        <w:t>’</w:t>
      </w:r>
      <w:r>
        <w:rPr>
          <w:rtl w:val="0"/>
          <w:lang w:val="en-US"/>
        </w:rPr>
        <w:t>s self-custody model, Security Council governance, and vault operations align with the GENIUS Act, MiCA, OCC custody guidance, and emerging frameworks</w:t>
      </w:r>
    </w:p>
    <w:p>
      <w:pPr>
        <w:pStyle w:val="List Paragraph"/>
        <w:numPr>
          <w:ilvl w:val="0"/>
          <w:numId w:val="2"/>
        </w:numPr>
        <w:spacing w:after="60"/>
        <w:rPr>
          <w:lang w:val="en-US"/>
        </w:rPr>
      </w:pPr>
      <w:r>
        <w:rPr>
          <w:rtl w:val="0"/>
          <w:lang w:val="en-US"/>
        </w:rPr>
        <w:t>Coordinate with legal and compliance advisors on governance communications as regulatory frameworks (MiCA, GENIUS Act, CARF) continue to evolve</w:t>
      </w:r>
    </w:p>
    <w:p>
      <w:pPr>
        <w:pStyle w:val="List Paragraph"/>
        <w:numPr>
          <w:ilvl w:val="0"/>
          <w:numId w:val="2"/>
        </w:numPr>
        <w:spacing w:after="60"/>
        <w:rPr>
          <w:lang w:val="en-US"/>
        </w:rPr>
      </w:pPr>
      <w:r>
        <w:rPr>
          <w:rtl w:val="0"/>
          <w:lang w:val="en-US"/>
        </w:rPr>
        <w:t>Build communication frameworks that maintain transparency while respecting necessary operational security</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41" w:id="41"/>
      <w:r>
        <w:rPr>
          <w:rFonts w:cs="Arial Unicode MS" w:eastAsia="Arial Unicode MS"/>
          <w:rtl w:val="0"/>
          <w:lang w:val="en-US"/>
        </w:rPr>
        <w:t>Pillar 3: Ecosystem Growth &amp; Brand Visibility</w:t>
      </w:r>
      <w:bookmarkEnd w:id="41"/>
    </w:p>
    <w:p>
      <w:pPr>
        <w:pStyle w:val="Heading"/>
      </w:pPr>
      <w:bookmarkStart w:name="_Toc42" w:id="42"/>
      <w:r>
        <w:rPr>
          <w:rFonts w:cs="Arial Unicode MS" w:eastAsia="Arial Unicode MS"/>
          <w:outline w:val="0"/>
          <w:color w:val="000000"/>
          <w:u w:color="000000"/>
          <w:rtl w:val="0"/>
          <w:lang w:val="en-US"/>
          <w14:textFill>
            <w14:solidFill>
              <w14:srgbClr w14:val="000000"/>
            </w14:solidFill>
          </w14:textFill>
        </w:rPr>
        <w:t>This pillar drives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institutional public presence and ecosystem expansion through events, partnerships, and professional representation.</w:t>
      </w:r>
      <w:bookmarkEnd w:id="42"/>
    </w:p>
    <w:p>
      <w:pPr>
        <w:pStyle w:val="Heading 2"/>
      </w:pPr>
      <w:bookmarkStart w:name="_Toc43" w:id="43"/>
      <w:r>
        <w:rPr>
          <w:rFonts w:cs="Arial Unicode MS" w:eastAsia="Arial Unicode MS"/>
          <w:rtl w:val="0"/>
          <w:lang w:val="en-US"/>
        </w:rPr>
        <w:t>Public Representation</w:t>
      </w:r>
      <w:bookmarkEnd w:id="43"/>
    </w:p>
    <w:p>
      <w:pPr>
        <w:pStyle w:val="List Paragraph"/>
        <w:numPr>
          <w:ilvl w:val="0"/>
          <w:numId w:val="2"/>
        </w:numPr>
        <w:spacing w:after="60"/>
        <w:rPr>
          <w:lang w:val="pt-PT"/>
        </w:rPr>
      </w:pPr>
      <w:r>
        <w:rPr>
          <w:rtl w:val="0"/>
          <w:lang w:val="pt-PT"/>
        </w:rPr>
        <w:t>Serve as Acre</w:t>
      </w:r>
      <w:r>
        <w:rPr>
          <w:rtl w:val="1"/>
        </w:rPr>
        <w:t>’</w:t>
      </w:r>
      <w:r>
        <w:rPr>
          <w:rtl w:val="0"/>
          <w:lang w:val="en-US"/>
        </w:rPr>
        <w:t>s primary institutional-facing representative at major global conferences (ETHDenver, Bitcoin conferences, DeFi summits, institutional finance events)</w:t>
      </w:r>
    </w:p>
    <w:p>
      <w:pPr>
        <w:pStyle w:val="List Paragraph"/>
        <w:numPr>
          <w:ilvl w:val="0"/>
          <w:numId w:val="2"/>
        </w:numPr>
        <w:spacing w:after="60"/>
        <w:rPr>
          <w:lang w:val="en-US"/>
        </w:rPr>
      </w:pPr>
      <w:r>
        <w:rPr>
          <w:rtl w:val="0"/>
          <w:lang w:val="en-US"/>
        </w:rPr>
        <w:t>Host institutional roundtables, investor briefings, and structured discussions connecting capital allocators with Acre</w:t>
      </w:r>
      <w:r>
        <w:rPr>
          <w:rtl w:val="1"/>
        </w:rPr>
        <w:t>’</w:t>
      </w:r>
      <w:r>
        <w:rPr>
          <w:rtl w:val="0"/>
          <w:lang w:val="en-US"/>
        </w:rPr>
        <w:t>s product and risk leadership</w:t>
      </w:r>
    </w:p>
    <w:p>
      <w:pPr>
        <w:pStyle w:val="List Paragraph"/>
        <w:numPr>
          <w:ilvl w:val="0"/>
          <w:numId w:val="2"/>
        </w:numPr>
        <w:spacing w:after="60"/>
        <w:rPr>
          <w:lang w:val="en-US"/>
        </w:rPr>
      </w:pPr>
      <w:r>
        <w:rPr>
          <w:rtl w:val="0"/>
          <w:lang w:val="en-US"/>
        </w:rPr>
        <w:t>Represent Acre in media interviews, panel discussions, and ecosystem collaborations focused on institutional participation in Bitcoin finance</w:t>
      </w:r>
    </w:p>
    <w:p>
      <w:pPr>
        <w:pStyle w:val="Heading 2"/>
      </w:pPr>
      <w:bookmarkStart w:name="_Toc44" w:id="44"/>
      <w:r>
        <w:rPr>
          <w:rFonts w:cs="Arial Unicode MS" w:eastAsia="Arial Unicode MS"/>
          <w:rtl w:val="0"/>
          <w:lang w:val="en-US"/>
        </w:rPr>
        <w:t>Partnerships &amp; Ecosystem</w:t>
      </w:r>
      <w:bookmarkEnd w:id="44"/>
    </w:p>
    <w:p>
      <w:pPr>
        <w:pStyle w:val="List Paragraph"/>
        <w:numPr>
          <w:ilvl w:val="0"/>
          <w:numId w:val="2"/>
        </w:numPr>
        <w:spacing w:after="60"/>
        <w:rPr>
          <w:lang w:val="en-US"/>
        </w:rPr>
      </w:pPr>
      <w:r>
        <w:rPr>
          <w:rtl w:val="0"/>
          <w:lang w:val="en-US"/>
        </w:rPr>
        <w:t>Build and maintain relationships with ecosystem partners, vault managers (Re7 Labs), infrastructure providers (Midas), and custody platforms</w:t>
      </w:r>
    </w:p>
    <w:p>
      <w:pPr>
        <w:pStyle w:val="List Paragraph"/>
        <w:numPr>
          <w:ilvl w:val="0"/>
          <w:numId w:val="2"/>
        </w:numPr>
        <w:spacing w:after="60"/>
        <w:rPr>
          <w:lang w:val="en-US"/>
        </w:rPr>
      </w:pPr>
      <w:r>
        <w:rPr>
          <w:rtl w:val="0"/>
          <w:lang w:val="en-US"/>
        </w:rPr>
        <w:t>Coordinate cross-ecosystem collaborations, co-marketing initiatives, and partnership announcements that strengthen Acre</w:t>
      </w:r>
      <w:r>
        <w:rPr>
          <w:rtl w:val="1"/>
        </w:rPr>
        <w:t>’</w:t>
      </w:r>
      <w:r>
        <w:rPr>
          <w:rtl w:val="0"/>
          <w:lang w:val="en-US"/>
        </w:rPr>
        <w:t>s institutional positioning</w:t>
      </w:r>
    </w:p>
    <w:p>
      <w:pPr>
        <w:pStyle w:val="List Paragraph"/>
        <w:numPr>
          <w:ilvl w:val="0"/>
          <w:numId w:val="2"/>
        </w:numPr>
        <w:spacing w:after="60"/>
        <w:rPr>
          <w:lang w:val="en-US"/>
        </w:rPr>
      </w:pPr>
      <w:r>
        <w:rPr>
          <w:rtl w:val="0"/>
          <w:lang w:val="en-US"/>
        </w:rPr>
        <w:t>Support business development efforts through institutional connections, introductions, and ecosystem networking</w:t>
      </w:r>
    </w:p>
    <w:p>
      <w:pPr>
        <w:pStyle w:val="List Paragraph"/>
        <w:numPr>
          <w:ilvl w:val="0"/>
          <w:numId w:val="2"/>
        </w:numPr>
        <w:spacing w:after="60"/>
        <w:rPr>
          <w:lang w:val="en-US"/>
        </w:rPr>
      </w:pPr>
      <w:r>
        <w:rPr>
          <w:rtl w:val="0"/>
          <w:lang w:val="en-US"/>
        </w:rPr>
        <w:t>Coordinate with Acre</w:t>
      </w:r>
      <w:r>
        <w:rPr>
          <w:rtl w:val="1"/>
        </w:rPr>
        <w:t>’</w:t>
      </w:r>
      <w:r>
        <w:rPr>
          <w:rtl w:val="0"/>
          <w:lang w:val="en-US"/>
        </w:rPr>
        <w:t>s community team to ensure consistent messaging across retail and institutional audiences</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45" w:id="45"/>
      <w:r>
        <w:rPr>
          <w:rFonts w:cs="Arial Unicode MS" w:eastAsia="Arial Unicode MS"/>
          <w:rtl w:val="0"/>
          <w:lang w:val="en-US"/>
        </w:rPr>
        <w:t>Pillar 4: Market Intelligence &amp; Reporting</w:t>
      </w:r>
      <w:bookmarkEnd w:id="45"/>
    </w:p>
    <w:p>
      <w:pPr>
        <w:pStyle w:val="Heading"/>
      </w:pPr>
      <w:bookmarkStart w:name="_Toc46" w:id="46"/>
      <w:r>
        <w:rPr>
          <w:rFonts w:cs="Arial Unicode MS" w:eastAsia="Arial Unicode MS"/>
          <w:outline w:val="0"/>
          <w:color w:val="000000"/>
          <w:u w:color="000000"/>
          <w:rtl w:val="0"/>
          <w:lang w:val="en-US"/>
          <w14:textFill>
            <w14:solidFill>
              <w14:srgbClr w14:val="000000"/>
            </w14:solidFill>
          </w14:textFill>
        </w:rPr>
        <w:t>This pillar ensures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institutional strategy is informed by real-time market intelligence, competitive analysis, and investor feedback.</w:t>
      </w:r>
      <w:bookmarkEnd w:id="46"/>
    </w:p>
    <w:p>
      <w:pPr>
        <w:pStyle w:val="Heading 2"/>
      </w:pPr>
      <w:bookmarkStart w:name="_Toc47" w:id="47"/>
      <w:r>
        <w:rPr>
          <w:rFonts w:cs="Arial Unicode MS" w:eastAsia="Arial Unicode MS"/>
          <w:rtl w:val="0"/>
          <w:lang w:val="en-US"/>
        </w:rPr>
        <w:t>Investor Feedback &amp; Intelligence</w:t>
      </w:r>
      <w:bookmarkEnd w:id="47"/>
    </w:p>
    <w:p>
      <w:pPr>
        <w:pStyle w:val="List Paragraph"/>
        <w:numPr>
          <w:ilvl w:val="0"/>
          <w:numId w:val="2"/>
        </w:numPr>
        <w:spacing w:after="60"/>
        <w:rPr>
          <w:lang w:val="en-US"/>
        </w:rPr>
      </w:pPr>
      <w:r>
        <w:rPr>
          <w:rtl w:val="0"/>
          <w:lang w:val="en-US"/>
        </w:rPr>
        <w:t>Capture investor questions, diligence requests, objections, and market sentiment during all institutional interactions</w:t>
      </w:r>
    </w:p>
    <w:p>
      <w:pPr>
        <w:pStyle w:val="List Paragraph"/>
        <w:numPr>
          <w:ilvl w:val="0"/>
          <w:numId w:val="2"/>
        </w:numPr>
        <w:spacing w:after="60"/>
        <w:rPr>
          <w:lang w:val="en-US"/>
        </w:rPr>
      </w:pPr>
      <w:r>
        <w:rPr>
          <w:rtl w:val="0"/>
          <w:lang w:val="en-US"/>
        </w:rPr>
        <w:t>Deliver structured intelligence reports to the CEO, product team, and risk leadership synthesizing institutional feedback themes, competitive positioning insights, and market trend analysis</w:t>
      </w:r>
    </w:p>
    <w:p>
      <w:pPr>
        <w:pStyle w:val="List Paragraph"/>
        <w:numPr>
          <w:ilvl w:val="0"/>
          <w:numId w:val="2"/>
        </w:numPr>
        <w:spacing w:after="60"/>
        <w:rPr>
          <w:lang w:val="en-US"/>
        </w:rPr>
      </w:pPr>
      <w:r>
        <w:rPr>
          <w:rtl w:val="0"/>
          <w:lang w:val="en-US"/>
        </w:rPr>
        <w:t>Identify emerging institutional needs and opportunities</w:t>
      </w:r>
      <w:r>
        <w:rPr>
          <w:rtl w:val="0"/>
          <w:lang w:val="en-US"/>
        </w:rPr>
        <w:t>—</w:t>
      </w:r>
      <w:r>
        <w:rPr>
          <w:rtl w:val="0"/>
          <w:lang w:val="en-US"/>
        </w:rPr>
        <w:t>including from banks, insurance companies, pension funds, sovereign wealth funds, state treasuries, and corporate balance sheets</w:t>
      </w:r>
    </w:p>
    <w:p>
      <w:pPr>
        <w:pStyle w:val="Heading 2"/>
      </w:pPr>
      <w:bookmarkStart w:name="_Toc48" w:id="48"/>
      <w:r>
        <w:rPr>
          <w:rFonts w:cs="Arial Unicode MS" w:eastAsia="Arial Unicode MS"/>
          <w:rtl w:val="0"/>
          <w:lang w:val="en-US"/>
        </w:rPr>
        <w:t>Competitive Analysis</w:t>
      </w:r>
      <w:bookmarkEnd w:id="48"/>
    </w:p>
    <w:p>
      <w:pPr>
        <w:pStyle w:val="List Paragraph"/>
        <w:numPr>
          <w:ilvl w:val="0"/>
          <w:numId w:val="2"/>
        </w:numPr>
        <w:spacing w:after="60"/>
        <w:rPr>
          <w:lang w:val="en-US"/>
        </w:rPr>
      </w:pPr>
      <w:r>
        <w:rPr>
          <w:rtl w:val="0"/>
          <w:lang w:val="en-US"/>
        </w:rPr>
        <w:t>Track institutional adoption trends across TradFi entry (JPMorgan, Schwab, Goldman), Bitcoin ETF flows, competing BTCFi protocols, and regulatory developments</w:t>
      </w:r>
    </w:p>
    <w:p>
      <w:pPr>
        <w:pStyle w:val="List Paragraph"/>
        <w:numPr>
          <w:ilvl w:val="0"/>
          <w:numId w:val="2"/>
        </w:numPr>
        <w:spacing w:after="60"/>
        <w:rPr>
          <w:lang w:val="en-US"/>
        </w:rPr>
      </w:pPr>
      <w:r>
        <w:rPr>
          <w:rtl w:val="0"/>
          <w:lang w:val="en-US"/>
        </w:rPr>
        <w:t>Conduct competitive analysis of institutional strategies at Babylon, Lombard, SOLV, Morpho, Pendle, Veda, Gauntlet, Bitwise, Coinbase Prime, Fidelity Digital Assets, and other relevant platforms</w:t>
      </w:r>
    </w:p>
    <w:p>
      <w:pPr>
        <w:pStyle w:val="List Paragraph"/>
        <w:numPr>
          <w:ilvl w:val="0"/>
          <w:numId w:val="2"/>
        </w:numPr>
        <w:spacing w:after="60"/>
        <w:rPr>
          <w:lang w:val="en-US"/>
        </w:rPr>
      </w:pPr>
      <w:r>
        <w:rPr>
          <w:rtl w:val="0"/>
          <w:lang w:val="en-US"/>
        </w:rPr>
        <w:t>Monitor regulatory developments (GENIUS Act implementation, OCC guidance, MiCA enforcement, 401(k) crypto access) and communicate implications for Acre</w:t>
      </w:r>
      <w:r>
        <w:rPr>
          <w:rtl w:val="1"/>
        </w:rPr>
        <w:t>’</w:t>
      </w:r>
      <w:r>
        <w:rPr>
          <w:rtl w:val="0"/>
          <w:lang w:val="en-US"/>
        </w:rPr>
        <w:t>s positioning</w:t>
      </w:r>
    </w:p>
    <w:p>
      <w:pPr>
        <w:pStyle w:val="Heading 2"/>
      </w:pPr>
      <w:bookmarkStart w:name="_Toc49" w:id="49"/>
      <w:r>
        <w:rPr>
          <w:rFonts w:cs="Arial Unicode MS" w:eastAsia="Arial Unicode MS"/>
          <w:rtl w:val="0"/>
          <w:lang w:val="en-US"/>
        </w:rPr>
        <w:t>Adoption Metrics &amp; Reporting</w:t>
      </w:r>
      <w:bookmarkEnd w:id="49"/>
    </w:p>
    <w:p>
      <w:pPr>
        <w:pStyle w:val="List Paragraph"/>
        <w:numPr>
          <w:ilvl w:val="0"/>
          <w:numId w:val="2"/>
        </w:numPr>
        <w:spacing w:after="60"/>
        <w:rPr>
          <w:lang w:val="en-US"/>
        </w:rPr>
      </w:pPr>
      <w:r>
        <w:rPr>
          <w:rtl w:val="0"/>
          <w:lang w:val="en-US"/>
        </w:rPr>
        <w:t>Define and track institutional adoption KPIs: pipeline conversations, onboarding completion rates, vault engagement, TVL contribution, diligence response time</w:t>
      </w:r>
    </w:p>
    <w:p>
      <w:pPr>
        <w:pStyle w:val="List Paragraph"/>
        <w:numPr>
          <w:ilvl w:val="0"/>
          <w:numId w:val="2"/>
        </w:numPr>
        <w:spacing w:after="60"/>
        <w:rPr>
          <w:lang w:val="en-US"/>
        </w:rPr>
      </w:pPr>
      <w:r>
        <w:rPr>
          <w:rtl w:val="0"/>
          <w:lang w:val="en-US"/>
        </w:rPr>
        <w:t>Provide regular reporting to the CEO and executive team on institutional adoption progress and market positioning</w:t>
      </w:r>
    </w:p>
    <w:p>
      <w:pPr>
        <w:pStyle w:val="List Paragraph"/>
        <w:numPr>
          <w:ilvl w:val="0"/>
          <w:numId w:val="2"/>
        </w:numPr>
        <w:spacing w:after="60"/>
        <w:rPr>
          <w:lang w:val="en-US"/>
        </w:rPr>
      </w:pPr>
      <w:r>
        <w:rPr>
          <w:rtl w:val="0"/>
          <w:lang w:val="en-US"/>
        </w:rPr>
        <w:t>Identify adoption barriers and provide actionable recommendations to product, engineering, and risk teams</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50" w:id="50"/>
      <w:r>
        <w:rPr>
          <w:rFonts w:cs="Arial Unicode MS" w:eastAsia="Arial Unicode MS"/>
          <w:rtl w:val="0"/>
          <w:lang w:val="en-US"/>
        </w:rPr>
        <w:t>Operating Principles</w:t>
      </w:r>
      <w:bookmarkEnd w:id="50"/>
    </w:p>
    <w:p>
      <w:pPr>
        <w:pStyle w:val="Heading"/>
      </w:pPr>
      <w:bookmarkStart w:name="_Toc51" w:id="51"/>
      <w:r>
        <w:rPr>
          <w:rFonts w:cs="Arial Unicode MS" w:eastAsia="Arial Unicode MS"/>
          <w:outline w:val="0"/>
          <w:color w:val="000000"/>
          <w:u w:color="000000"/>
          <w:rtl w:val="0"/>
          <w:lang w:val="en-US"/>
          <w14:textFill>
            <w14:solidFill>
              <w14:srgbClr w14:val="000000"/>
            </w14:solidFill>
          </w14:textFill>
        </w:rPr>
        <w:t>The Institutional Adoption function operates according to core principles:</w:t>
      </w:r>
      <w:bookmarkEnd w:id="51"/>
    </w:p>
    <w:p>
      <w:pPr>
        <w:pStyle w:val="List Paragraph"/>
        <w:numPr>
          <w:ilvl w:val="0"/>
          <w:numId w:val="2"/>
        </w:numPr>
        <w:spacing w:after="60"/>
        <w:rPr>
          <w:lang w:val="en-US"/>
        </w:rPr>
      </w:pPr>
      <w:r>
        <w:rPr>
          <w:b w:val="1"/>
          <w:bCs w:val="1"/>
          <w:rtl w:val="0"/>
          <w:lang w:val="en-US"/>
        </w:rPr>
        <w:t xml:space="preserve">Approachability: </w:t>
      </w:r>
      <w:r>
        <w:rPr>
          <w:rtl w:val="0"/>
          <w:lang w:val="en-US"/>
        </w:rPr>
        <w:t>Make Acre</w:t>
      </w:r>
      <w:r>
        <w:rPr>
          <w:rtl w:val="1"/>
        </w:rPr>
        <w:t>’</w:t>
      </w:r>
      <w:r>
        <w:rPr>
          <w:rtl w:val="0"/>
          <w:lang w:val="en-US"/>
        </w:rPr>
        <w:t>s vault infrastructure understandable and accessible to participants across the full spectrum</w:t>
      </w:r>
      <w:r>
        <w:rPr>
          <w:rtl w:val="0"/>
          <w:lang w:val="en-US"/>
        </w:rPr>
        <w:t>—</w:t>
      </w:r>
      <w:r>
        <w:rPr>
          <w:rtl w:val="0"/>
          <w:lang w:val="en-US"/>
        </w:rPr>
        <w:t>from first-time institutional evaluators to experienced digital asset allocators.</w:t>
      </w:r>
    </w:p>
    <w:p>
      <w:pPr>
        <w:pStyle w:val="List Paragraph"/>
        <w:numPr>
          <w:ilvl w:val="0"/>
          <w:numId w:val="2"/>
        </w:numPr>
        <w:spacing w:after="60"/>
        <w:rPr>
          <w:lang w:val="it-IT"/>
        </w:rPr>
      </w:pPr>
      <w:r>
        <w:rPr>
          <w:b w:val="1"/>
          <w:bCs w:val="1"/>
          <w:rtl w:val="0"/>
          <w:lang w:val="it-IT"/>
        </w:rPr>
        <w:t xml:space="preserve">Professionalism: </w:t>
      </w:r>
      <w:r>
        <w:rPr>
          <w:rtl w:val="0"/>
          <w:lang w:val="en-US"/>
        </w:rPr>
        <w:t>Provide institutional-grade communication that matches the standards of Coinbase Prime, Fidelity Digital Assets, and Goldman Sachs digital asset teams.</w:t>
      </w:r>
    </w:p>
    <w:p>
      <w:pPr>
        <w:pStyle w:val="List Paragraph"/>
        <w:numPr>
          <w:ilvl w:val="0"/>
          <w:numId w:val="2"/>
        </w:numPr>
        <w:spacing w:after="60"/>
        <w:rPr>
          <w:lang w:val="en-US"/>
        </w:rPr>
      </w:pPr>
      <w:r>
        <w:rPr>
          <w:b w:val="1"/>
          <w:bCs w:val="1"/>
          <w:rtl w:val="0"/>
          <w:lang w:val="en-US"/>
        </w:rPr>
        <w:t xml:space="preserve">Trust: </w:t>
      </w:r>
      <w:r>
        <w:rPr>
          <w:rtl w:val="0"/>
          <w:lang w:val="en-US"/>
        </w:rPr>
        <w:t>Build durable relationships between Acre and institutional participants. Trust is the product</w:t>
      </w:r>
      <w:r>
        <w:rPr>
          <w:rtl w:val="0"/>
          <w:lang w:val="en-US"/>
        </w:rPr>
        <w:t>—</w:t>
      </w:r>
      <w:r>
        <w:rPr>
          <w:rtl w:val="0"/>
          <w:lang w:val="en-US"/>
        </w:rPr>
        <w:t>everything else is infrastructure.</w:t>
      </w:r>
    </w:p>
    <w:p>
      <w:pPr>
        <w:pStyle w:val="List Paragraph"/>
        <w:numPr>
          <w:ilvl w:val="0"/>
          <w:numId w:val="2"/>
        </w:numPr>
        <w:spacing w:after="60"/>
        <w:rPr>
          <w:lang w:val="en-US"/>
        </w:rPr>
      </w:pPr>
      <w:r>
        <w:rPr>
          <w:b w:val="1"/>
          <w:bCs w:val="1"/>
          <w:rtl w:val="0"/>
          <w:lang w:val="en-US"/>
        </w:rPr>
        <w:t xml:space="preserve">Transparency: </w:t>
      </w:r>
      <w:r>
        <w:rPr>
          <w:rtl w:val="0"/>
          <w:lang w:val="en-US"/>
        </w:rPr>
        <w:t>Maintain clear communication with institutional stakeholders while respecting necessary operational security.</w:t>
      </w:r>
    </w:p>
    <w:p>
      <w:pPr>
        <w:pStyle w:val="List Paragraph"/>
        <w:numPr>
          <w:ilvl w:val="0"/>
          <w:numId w:val="2"/>
        </w:numPr>
        <w:spacing w:after="60"/>
        <w:rPr>
          <w:lang w:val="fr-FR"/>
        </w:rPr>
      </w:pPr>
      <w:r>
        <w:rPr>
          <w:b w:val="1"/>
          <w:bCs w:val="1"/>
          <w:rtl w:val="0"/>
          <w:lang w:val="fr-FR"/>
        </w:rPr>
        <w:t xml:space="preserve">Intelligence: </w:t>
      </w:r>
      <w:r>
        <w:rPr>
          <w:rtl w:val="0"/>
          <w:lang w:val="en-US"/>
        </w:rPr>
        <w:t>Treat every institutional interaction as an opportunity to learn. Feed insights back to leadership to inform strategy, product, and risk decisions.</w:t>
      </w:r>
    </w:p>
    <w:p>
      <w:pPr>
        <w:pStyle w:val="List Paragraph"/>
        <w:numPr>
          <w:ilvl w:val="0"/>
          <w:numId w:val="2"/>
        </w:numPr>
        <w:spacing w:after="60"/>
        <w:rPr>
          <w:lang w:val="en-US"/>
        </w:rPr>
      </w:pPr>
      <w:r>
        <w:rPr>
          <w:b w:val="1"/>
          <w:bCs w:val="1"/>
          <w:rtl w:val="0"/>
          <w:lang w:val="en-US"/>
        </w:rPr>
        <w:t xml:space="preserve">Best-in-Class Systems: </w:t>
      </w:r>
      <w:r>
        <w:rPr>
          <w:rtl w:val="0"/>
          <w:lang w:val="en-US"/>
        </w:rPr>
        <w:t>Design systems and processes that support institutional adoption at scale</w:t>
      </w:r>
      <w:r>
        <w:rPr>
          <w:rtl w:val="0"/>
          <w:lang w:val="en-US"/>
        </w:rPr>
        <w:t>—</w:t>
      </w:r>
      <w:r>
        <w:rPr>
          <w:rtl w:val="0"/>
          <w:lang w:val="en-US"/>
        </w:rPr>
        <w:t>from documentation libraries to onboarding workflows to reporting frameworks.</w:t>
      </w:r>
    </w:p>
    <w:p>
      <w:pPr>
        <w:pStyle w:val="List Paragraph"/>
        <w:spacing w:after="60"/>
      </w:pPr>
    </w:p>
    <w:p>
      <w:pPr>
        <w:pStyle w:val="Heading"/>
      </w:pPr>
      <w:bookmarkStart w:name="_Toc52" w:id="52"/>
      <w:r>
        <w:rPr>
          <w:rFonts w:cs="Arial Unicode MS" w:eastAsia="Arial Unicode MS"/>
          <w:rtl w:val="0"/>
          <w:lang w:val="it-IT"/>
        </w:rPr>
        <w:t>Candidate Profile: Nico Marotta</w:t>
      </w:r>
      <w:bookmarkEnd w:id="52"/>
    </w:p>
    <w:p>
      <w:pPr>
        <w:pStyle w:val="Heading"/>
      </w:pPr>
      <w:bookmarkStart w:name="_Toc53" w:id="53"/>
      <w:r>
        <w:rPr>
          <w:rFonts w:cs="Arial Unicode MS" w:eastAsia="Arial Unicode MS"/>
          <w:outline w:val="0"/>
          <w:color w:val="000000"/>
          <w:u w:color="000000"/>
          <w:rtl w:val="0"/>
          <w:lang w:val="en-US"/>
          <w14:textFill>
            <w14:solidFill>
              <w14:srgbClr w14:val="000000"/>
            </w14:solidFill>
          </w14:textFill>
        </w:rPr>
        <w:t>This role has been designed around Nico Marotta</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s demonstrated capabilities, career trajectory, and existing institutional knowledge of the Acre protocol.</w:t>
      </w:r>
      <w:bookmarkEnd w:id="53"/>
    </w:p>
    <w:p>
      <w:pPr>
        <w:pStyle w:val="Heading 2"/>
      </w:pPr>
      <w:bookmarkStart w:name="_Toc54" w:id="54"/>
      <w:r>
        <w:rPr>
          <w:rFonts w:cs="Arial Unicode MS" w:eastAsia="Arial Unicode MS"/>
          <w:rtl w:val="0"/>
          <w:lang w:val="en-US"/>
        </w:rPr>
        <w:t>Career Trajectory</w:t>
      </w:r>
      <w:bookmarkEnd w:id="54"/>
    </w:p>
    <w:p>
      <w:pPr>
        <w:pStyle w:val="List Paragraph"/>
        <w:numPr>
          <w:ilvl w:val="0"/>
          <w:numId w:val="2"/>
        </w:numPr>
        <w:spacing w:after="60"/>
        <w:rPr>
          <w:lang w:val="en-US"/>
        </w:rPr>
      </w:pPr>
      <w:r>
        <w:rPr>
          <w:rtl w:val="0"/>
          <w:lang w:val="en-US"/>
        </w:rPr>
        <w:t>Keep Network: Early testnet participant and node operator; created community infrastructure documentation on GitHub</w:t>
      </w:r>
    </w:p>
    <w:p>
      <w:pPr>
        <w:pStyle w:val="List Paragraph"/>
        <w:numPr>
          <w:ilvl w:val="0"/>
          <w:numId w:val="2"/>
        </w:numPr>
        <w:spacing w:after="60"/>
        <w:rPr>
          <w:lang w:val="en-US"/>
        </w:rPr>
      </w:pPr>
      <w:r>
        <w:rPr>
          <w:rtl w:val="0"/>
          <w:lang w:val="en-US"/>
        </w:rPr>
        <w:t>Threshold Network DAO: Elected and paid governance contributor for 2.5 years; Marketing Guild Committee member; cross-DAO collaboration and security oversight</w:t>
      </w:r>
    </w:p>
    <w:p>
      <w:pPr>
        <w:pStyle w:val="List Paragraph"/>
        <w:numPr>
          <w:ilvl w:val="0"/>
          <w:numId w:val="2"/>
        </w:numPr>
        <w:spacing w:after="60"/>
        <w:rPr>
          <w:lang w:val="en-US"/>
        </w:rPr>
      </w:pPr>
      <w:r>
        <w:rPr>
          <w:rtl w:val="0"/>
          <w:lang w:val="en-US"/>
        </w:rPr>
        <w:t>Taho Wallet (Thesis): Bootstrap community contributor; community call host; ETHDenver ambassador and ecosystem delegate</w:t>
      </w:r>
    </w:p>
    <w:p>
      <w:pPr>
        <w:pStyle w:val="List Paragraph"/>
        <w:numPr>
          <w:ilvl w:val="0"/>
          <w:numId w:val="2"/>
        </w:numPr>
        <w:spacing w:after="60"/>
        <w:rPr>
          <w:lang w:val="en-US"/>
        </w:rPr>
      </w:pPr>
      <w:r>
        <w:rPr>
          <w:rtl w:val="0"/>
          <w:lang w:val="en-US"/>
        </w:rPr>
        <w:t>Thesis / Acre Project Launch: Hired as Community Manager to build Acre</w:t>
      </w:r>
      <w:r>
        <w:rPr>
          <w:rtl w:val="1"/>
        </w:rPr>
        <w:t>’</w:t>
      </w:r>
      <w:r>
        <w:rPr>
          <w:rtl w:val="0"/>
          <w:lang w:val="en-US"/>
        </w:rPr>
        <w:t>s community from zero; designed all initial onboarding, moderation, and engagement systems</w:t>
      </w:r>
    </w:p>
    <w:p>
      <w:pPr>
        <w:pStyle w:val="List Paragraph"/>
        <w:numPr>
          <w:ilvl w:val="0"/>
          <w:numId w:val="2"/>
        </w:numPr>
        <w:spacing w:after="60"/>
        <w:rPr>
          <w:lang w:val="en-US"/>
        </w:rPr>
      </w:pPr>
      <w:r>
        <w:rPr>
          <w:rtl w:val="0"/>
          <w:lang w:val="en-US"/>
        </w:rPr>
        <w:t>AcreBTC (Post Spin-Out): Promoted to Community Lead; owns end-to-end community strategy; founded the Acre Security Council; leads 10-person global moderation team; represents Acre at major global conferences</w:t>
      </w:r>
    </w:p>
    <w:p>
      <w:pPr>
        <w:pStyle w:val="Heading 2"/>
      </w:pPr>
      <w:bookmarkStart w:name="_Toc55" w:id="55"/>
      <w:r>
        <w:rPr>
          <w:rFonts w:cs="Arial Unicode MS" w:eastAsia="Arial Unicode MS"/>
          <w:rtl w:val="0"/>
          <w:lang w:val="en-US"/>
        </w:rPr>
        <w:t>Why Nico for Institutional Adoption</w:t>
      </w:r>
      <w:bookmarkEnd w:id="55"/>
    </w:p>
    <w:p>
      <w:pPr>
        <w:pStyle w:val="List Paragraph"/>
        <w:numPr>
          <w:ilvl w:val="0"/>
          <w:numId w:val="2"/>
        </w:numPr>
        <w:spacing w:after="60"/>
        <w:rPr>
          <w:lang w:val="en-US"/>
        </w:rPr>
      </w:pPr>
      <w:r>
        <w:rPr>
          <w:rtl w:val="0"/>
          <w:lang w:val="en-US"/>
        </w:rPr>
        <w:t>Built Acre</w:t>
      </w:r>
      <w:r>
        <w:rPr>
          <w:rtl w:val="1"/>
        </w:rPr>
        <w:t>’</w:t>
      </w:r>
      <w:r>
        <w:rPr>
          <w:rtl w:val="0"/>
          <w:lang w:val="en-US"/>
        </w:rPr>
        <w:t>s community from 0 to 36,000+ members with high trust and durable engagement</w:t>
      </w:r>
      <w:r>
        <w:rPr>
          <w:rtl w:val="0"/>
          <w:lang w:val="en-US"/>
        </w:rPr>
        <w:t>—</w:t>
      </w:r>
      <w:r>
        <w:rPr>
          <w:rtl w:val="0"/>
          <w:lang w:val="en-US"/>
        </w:rPr>
        <w:t>demonstrating the relationship-building skills institutional adoption demands</w:t>
      </w:r>
    </w:p>
    <w:p>
      <w:pPr>
        <w:pStyle w:val="List Paragraph"/>
        <w:numPr>
          <w:ilvl w:val="0"/>
          <w:numId w:val="2"/>
        </w:numPr>
        <w:spacing w:after="60"/>
        <w:rPr>
          <w:lang w:val="en-US"/>
        </w:rPr>
      </w:pPr>
      <w:r>
        <w:rPr>
          <w:rtl w:val="0"/>
          <w:lang w:val="en-US"/>
        </w:rPr>
        <w:t>Founded and operationalized the Acre Security Council</w:t>
      </w:r>
      <w:r>
        <w:rPr>
          <w:rtl w:val="0"/>
          <w:lang w:val="en-US"/>
        </w:rPr>
        <w:t>—</w:t>
      </w:r>
      <w:r>
        <w:rPr>
          <w:rtl w:val="0"/>
          <w:lang w:val="en-US"/>
        </w:rPr>
        <w:t>demonstrating governance leadership capability that directly maps to institutional trust infrastructure</w:t>
      </w:r>
    </w:p>
    <w:p>
      <w:pPr>
        <w:pStyle w:val="List Paragraph"/>
        <w:numPr>
          <w:ilvl w:val="0"/>
          <w:numId w:val="2"/>
        </w:numPr>
        <w:spacing w:after="60"/>
        <w:rPr>
          <w:lang w:val="en-US"/>
        </w:rPr>
      </w:pPr>
      <w:r>
        <w:rPr>
          <w:rtl w:val="0"/>
          <w:lang w:val="en-US"/>
        </w:rPr>
        <w:t>Core skill is translating complex systems into approachable narratives</w:t>
      </w:r>
      <w:r>
        <w:rPr>
          <w:rtl w:val="0"/>
          <w:lang w:val="en-US"/>
        </w:rPr>
        <w:t>—</w:t>
      </w:r>
      <w:r>
        <w:rPr>
          <w:rtl w:val="0"/>
          <w:lang w:val="en-US"/>
        </w:rPr>
        <w:t>this is exactly what institutional adoption at a vault infrastructure protocol requires</w:t>
      </w:r>
    </w:p>
    <w:p>
      <w:pPr>
        <w:pStyle w:val="List Paragraph"/>
        <w:numPr>
          <w:ilvl w:val="0"/>
          <w:numId w:val="2"/>
        </w:numPr>
        <w:spacing w:after="60"/>
        <w:rPr>
          <w:lang w:val="en-US"/>
        </w:rPr>
      </w:pPr>
      <w:r>
        <w:rPr>
          <w:rtl w:val="0"/>
          <w:lang w:val="en-US"/>
        </w:rPr>
        <w:t>Professional background in design, education, and client-facing services (Best Western project designer, 10-year design instructor, real estate professional) provides the high-touch interpersonal skills institutional engagement demands</w:t>
      </w:r>
    </w:p>
    <w:p>
      <w:pPr>
        <w:pStyle w:val="List Paragraph"/>
        <w:numPr>
          <w:ilvl w:val="0"/>
          <w:numId w:val="2"/>
        </w:numPr>
        <w:spacing w:after="60"/>
        <w:rPr>
          <w:lang w:val="en-US"/>
        </w:rPr>
      </w:pPr>
      <w:r>
        <w:rPr>
          <w:rtl w:val="0"/>
          <w:lang w:val="en-US"/>
        </w:rPr>
        <w:t>Master</w:t>
      </w:r>
      <w:r>
        <w:rPr>
          <w:rtl w:val="1"/>
        </w:rPr>
        <w:t>’</w:t>
      </w:r>
      <w:r>
        <w:rPr>
          <w:rtl w:val="0"/>
          <w:lang w:val="en-US"/>
        </w:rPr>
        <w:t>s degree (MSD) with experience as Assistant Professor of Practice</w:t>
      </w:r>
      <w:r>
        <w:rPr>
          <w:rtl w:val="0"/>
          <w:lang w:val="en-US"/>
        </w:rPr>
        <w:t>—</w:t>
      </w:r>
      <w:r>
        <w:rPr>
          <w:rtl w:val="0"/>
          <w:lang w:val="en-US"/>
        </w:rPr>
        <w:t>demonstrating the ability to make complex concepts accessible for diverse audiences</w:t>
      </w:r>
    </w:p>
    <w:p>
      <w:pPr>
        <w:pStyle w:val="List Paragraph"/>
        <w:numPr>
          <w:ilvl w:val="0"/>
          <w:numId w:val="2"/>
        </w:numPr>
        <w:spacing w:after="60"/>
        <w:rPr>
          <w:lang w:val="en-US"/>
        </w:rPr>
      </w:pPr>
      <w:r>
        <w:rPr>
          <w:rtl w:val="0"/>
          <w:lang w:val="en-US"/>
        </w:rPr>
        <w:t>Deep knowledge of the Thesis ecosystem (tBTC, Mezo, Threshold, Taho, Fold) provides comprehensive understanding of Acre</w:t>
      </w:r>
      <w:r>
        <w:rPr>
          <w:rtl w:val="1"/>
        </w:rPr>
        <w:t>’</w:t>
      </w:r>
      <w:r>
        <w:rPr>
          <w:rtl w:val="0"/>
          <w:lang w:val="en-US"/>
        </w:rPr>
        <w:t>s technical infrastructure and partnerships</w:t>
      </w:r>
    </w:p>
    <w:p>
      <w:pPr>
        <w:pStyle w:val="List Paragraph"/>
        <w:numPr>
          <w:ilvl w:val="0"/>
          <w:numId w:val="2"/>
        </w:numPr>
        <w:spacing w:after="60"/>
        <w:rPr>
          <w:lang w:val="en-US"/>
        </w:rPr>
      </w:pPr>
      <w:r>
        <w:rPr>
          <w:rtl w:val="0"/>
          <w:lang w:val="en-US"/>
        </w:rPr>
        <w:t>Currently deploying advanced AI-powered automation</w:t>
      </w:r>
      <w:r>
        <w:rPr>
          <w:rtl w:val="0"/>
          <w:lang w:val="en-US"/>
        </w:rPr>
        <w:t>—</w:t>
      </w:r>
      <w:r>
        <w:rPr>
          <w:rtl w:val="0"/>
          <w:lang w:val="en-US"/>
        </w:rPr>
        <w:t>freeing operational capacity for institutional adoption work</w:t>
      </w:r>
    </w:p>
    <w:p>
      <w:pPr>
        <w:pStyle w:val="Heading 2"/>
      </w:pPr>
      <w:bookmarkStart w:name="_Toc56" w:id="56"/>
      <w:r>
        <w:rPr>
          <w:rFonts w:cs="Arial Unicode MS" w:eastAsia="Arial Unicode MS"/>
          <w:rtl w:val="0"/>
          <w:lang w:val="en-US"/>
        </w:rPr>
        <w:t>Transition Plan</w:t>
      </w:r>
      <w:bookmarkEnd w:id="56"/>
    </w:p>
    <w:p>
      <w:pPr>
        <w:pStyle w:val="Heading 2"/>
      </w:pPr>
      <w:bookmarkStart w:name="_Toc57" w:id="57"/>
      <w:r>
        <w:rPr>
          <w:rFonts w:cs="Arial Unicode MS" w:eastAsia="Arial Unicode MS"/>
          <w:outline w:val="0"/>
          <w:color w:val="000000"/>
          <w:u w:color="000000"/>
          <w:rtl w:val="0"/>
          <w:lang w:val="en-US"/>
          <w14:textFill>
            <w14:solidFill>
              <w14:srgbClr w14:val="000000"/>
            </w14:solidFill>
          </w14:textFill>
        </w:rPr>
        <w:t>The promotion from Community Lead to Head of Institutional Adoption is structured to ensure continuity:</w:t>
      </w:r>
      <w:bookmarkEnd w:id="57"/>
    </w:p>
    <w:p>
      <w:pPr>
        <w:pStyle w:val="List Paragraph"/>
        <w:numPr>
          <w:ilvl w:val="0"/>
          <w:numId w:val="2"/>
        </w:numPr>
        <w:spacing w:after="60"/>
        <w:rPr>
          <w:lang w:val="en-US"/>
        </w:rPr>
      </w:pPr>
      <w:r>
        <w:rPr>
          <w:rtl w:val="0"/>
          <w:lang w:val="en-US"/>
        </w:rPr>
        <w:t>Community Operations Manager (new hire) absorbs day-to-day moderation coordination, support ticket triage, and contributor management</w:t>
      </w:r>
    </w:p>
    <w:p>
      <w:pPr>
        <w:pStyle w:val="List Paragraph"/>
        <w:numPr>
          <w:ilvl w:val="0"/>
          <w:numId w:val="2"/>
        </w:numPr>
        <w:spacing w:after="60"/>
        <w:rPr>
          <w:lang w:val="en-US"/>
        </w:rPr>
      </w:pPr>
      <w:r>
        <w:rPr>
          <w:rtl w:val="0"/>
          <w:lang w:val="en-US"/>
        </w:rPr>
        <w:t>Advanced Discord automation (FAQ bots, AI chat agents) reduces repetitive support burden across platforms</w:t>
      </w:r>
    </w:p>
    <w:p>
      <w:pPr>
        <w:pStyle w:val="List Paragraph"/>
        <w:numPr>
          <w:ilvl w:val="0"/>
          <w:numId w:val="2"/>
        </w:numPr>
        <w:spacing w:after="60"/>
        <w:rPr>
          <w:lang w:val="en-US"/>
        </w:rPr>
      </w:pPr>
      <w:r>
        <w:rPr>
          <w:rtl w:val="0"/>
          <w:lang w:val="en-US"/>
        </w:rPr>
        <w:t>Nico retains strategic influence on community functions while his primary mandate shifts to institutional adoption</w:t>
      </w:r>
    </w:p>
    <w:p>
      <w:pPr>
        <w:pStyle w:val="List Paragraph"/>
        <w:numPr>
          <w:ilvl w:val="0"/>
          <w:numId w:val="2"/>
        </w:numPr>
        <w:spacing w:after="60"/>
        <w:rPr>
          <w:lang w:val="en-US"/>
        </w:rPr>
      </w:pPr>
      <w:r>
        <w:rPr>
          <w:rtl w:val="0"/>
          <w:lang w:val="en-US"/>
        </w:rPr>
        <w:t>Institutional adoption capabilities are built incrementally</w:t>
      </w:r>
      <w:r>
        <w:rPr>
          <w:rtl w:val="0"/>
          <w:lang w:val="en-US"/>
        </w:rPr>
        <w:t>—</w:t>
      </w:r>
      <w:r>
        <w:rPr>
          <w:rtl w:val="0"/>
          <w:lang w:val="en-US"/>
        </w:rPr>
        <w:t>starting with investor documentation, LinkedIn engagement, and conference networking, then expanding to structured briefing programs and diligence facilitation</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58" w:id="58"/>
      <w:r>
        <w:rPr>
          <w:rFonts w:cs="Arial Unicode MS" w:eastAsia="Arial Unicode MS"/>
          <w:rtl w:val="0"/>
          <w:lang w:val="en-US"/>
        </w:rPr>
        <w:t>Strategic Outcomes</w:t>
      </w:r>
      <w:bookmarkEnd w:id="58"/>
    </w:p>
    <w:p>
      <w:pPr>
        <w:pStyle w:val="Heading"/>
      </w:pPr>
      <w:bookmarkStart w:name="_Toc59" w:id="59"/>
      <w:r>
        <w:rPr>
          <w:rFonts w:cs="Arial Unicode MS" w:eastAsia="Arial Unicode MS"/>
          <w:outline w:val="0"/>
          <w:color w:val="000000"/>
          <w:u w:color="000000"/>
          <w:rtl w:val="0"/>
          <w:lang w:val="en-US"/>
          <w14:textFill>
            <w14:solidFill>
              <w14:srgbClr w14:val="000000"/>
            </w14:solidFill>
          </w14:textFill>
        </w:rPr>
        <w:t>By formalizing the Head of Institutional Adoption role, Acre gains the following strategic capabilities:</w:t>
      </w:r>
      <w:bookmarkEnd w:id="59"/>
    </w:p>
    <w:p>
      <w:pPr>
        <w:pStyle w:val="List Paragraph"/>
        <w:numPr>
          <w:ilvl w:val="0"/>
          <w:numId w:val="2"/>
        </w:numPr>
        <w:spacing w:after="60"/>
        <w:rPr>
          <w:lang w:val="en-US"/>
        </w:rPr>
      </w:pPr>
      <w:r>
        <w:rPr>
          <w:b w:val="1"/>
          <w:bCs w:val="1"/>
          <w:rtl w:val="0"/>
          <w:lang w:val="en-US"/>
        </w:rPr>
        <w:t xml:space="preserve">First-mover advantage: </w:t>
      </w:r>
      <w:r>
        <w:rPr>
          <w:rtl w:val="0"/>
          <w:lang w:val="en-US"/>
        </w:rPr>
        <w:t>Acre becomes the first BTCFi protocol with a dedicated institutional adoption executive</w:t>
      </w:r>
      <w:r>
        <w:rPr>
          <w:rtl w:val="0"/>
          <w:lang w:val="en-US"/>
        </w:rPr>
        <w:t>—</w:t>
      </w:r>
      <w:r>
        <w:rPr>
          <w:rtl w:val="0"/>
          <w:lang w:val="en-US"/>
        </w:rPr>
        <w:t>the title itself signals that Acre doesn</w:t>
      </w:r>
      <w:r>
        <w:rPr>
          <w:rtl w:val="1"/>
        </w:rPr>
        <w:t>’</w:t>
      </w:r>
      <w:r>
        <w:rPr>
          <w:rtl w:val="0"/>
          <w:lang w:val="en-US"/>
        </w:rPr>
        <w:t>t just build infrastructure, it ensures institutions can adopt it.</w:t>
      </w:r>
    </w:p>
    <w:p>
      <w:pPr>
        <w:pStyle w:val="List Paragraph"/>
        <w:numPr>
          <w:ilvl w:val="0"/>
          <w:numId w:val="2"/>
        </w:numPr>
        <w:spacing w:after="60"/>
        <w:rPr>
          <w:lang w:val="en-US"/>
        </w:rPr>
      </w:pPr>
      <w:r>
        <w:rPr>
          <w:b w:val="1"/>
          <w:bCs w:val="1"/>
          <w:rtl w:val="0"/>
          <w:lang w:val="en-US"/>
        </w:rPr>
        <w:t xml:space="preserve">Institutional capital access: </w:t>
      </w:r>
      <w:r>
        <w:rPr>
          <w:rtl w:val="0"/>
          <w:lang w:val="en-US"/>
        </w:rPr>
        <w:t>Professional communication frameworks enable Acre to engage the institutional capital wave entering Bitcoin finance through ETFs, corporate treasuries, sovereign wealth, and direct allocation.</w:t>
      </w:r>
    </w:p>
    <w:p>
      <w:pPr>
        <w:pStyle w:val="List Paragraph"/>
        <w:numPr>
          <w:ilvl w:val="0"/>
          <w:numId w:val="2"/>
        </w:numPr>
        <w:spacing w:after="60"/>
        <w:rPr>
          <w:lang w:val="en-US"/>
        </w:rPr>
      </w:pPr>
      <w:r>
        <w:rPr>
          <w:b w:val="1"/>
          <w:bCs w:val="1"/>
          <w:rtl w:val="0"/>
          <w:lang w:val="en-US"/>
        </w:rPr>
        <w:t xml:space="preserve">Intelligence-driven product development: </w:t>
      </w:r>
      <w:r>
        <w:rPr>
          <w:rtl w:val="0"/>
          <w:lang w:val="en-US"/>
        </w:rPr>
        <w:t>Structured investor feedback loops provide actionable market intelligence that informs vault strategy, risk management, and product roadmap decisions.</w:t>
      </w:r>
    </w:p>
    <w:p>
      <w:pPr>
        <w:pStyle w:val="List Paragraph"/>
        <w:numPr>
          <w:ilvl w:val="0"/>
          <w:numId w:val="2"/>
        </w:numPr>
        <w:spacing w:after="60"/>
        <w:rPr>
          <w:lang w:val="en-US"/>
        </w:rPr>
      </w:pPr>
      <w:r>
        <w:rPr>
          <w:b w:val="1"/>
          <w:bCs w:val="1"/>
          <w:rtl w:val="0"/>
          <w:lang w:val="en-US"/>
        </w:rPr>
        <w:t xml:space="preserve">Best-in-class positioning: </w:t>
      </w:r>
      <w:r>
        <w:rPr>
          <w:rtl w:val="0"/>
          <w:lang w:val="en-US"/>
        </w:rPr>
        <w:t xml:space="preserve">The title </w:t>
      </w:r>
      <w:r>
        <w:rPr>
          <w:rtl w:val="1"/>
          <w:lang w:val="ar-SA" w:bidi="ar-SA"/>
        </w:rPr>
        <w:t>“</w:t>
      </w:r>
      <w:r>
        <w:rPr>
          <w:rtl w:val="0"/>
          <w:lang w:val="en-US"/>
        </w:rPr>
        <w:t>Adoption</w:t>
      </w:r>
      <w:r>
        <w:rPr>
          <w:rtl w:val="0"/>
        </w:rPr>
        <w:t xml:space="preserve">” </w:t>
      </w:r>
      <w:r>
        <w:rPr>
          <w:rtl w:val="0"/>
          <w:lang w:val="en-US"/>
        </w:rPr>
        <w:t>captures Acre</w:t>
      </w:r>
      <w:r>
        <w:rPr>
          <w:rtl w:val="1"/>
        </w:rPr>
        <w:t>’</w:t>
      </w:r>
      <w:r>
        <w:rPr>
          <w:rtl w:val="0"/>
          <w:lang w:val="en-US"/>
        </w:rPr>
        <w:t>s core differentiator. Every industry conversation about the role becomes a conversation about what Acre does differently</w:t>
      </w:r>
      <w:r>
        <w:rPr>
          <w:rtl w:val="0"/>
          <w:lang w:val="en-US"/>
        </w:rPr>
        <w:t>—</w:t>
      </w:r>
      <w:r>
        <w:rPr>
          <w:rtl w:val="0"/>
          <w:lang w:val="en-US"/>
        </w:rPr>
        <w:t>making complex vault infrastructure approachable.</w:t>
      </w:r>
    </w:p>
    <w:p>
      <w:pPr>
        <w:pStyle w:val="List Paragraph"/>
        <w:numPr>
          <w:ilvl w:val="0"/>
          <w:numId w:val="2"/>
        </w:numPr>
        <w:spacing w:after="60"/>
        <w:rPr>
          <w:lang w:val="en-US"/>
        </w:rPr>
      </w:pPr>
      <w:r>
        <w:rPr>
          <w:b w:val="1"/>
          <w:bCs w:val="1"/>
          <w:rtl w:val="0"/>
          <w:lang w:val="en-US"/>
        </w:rPr>
        <w:t xml:space="preserve">Governance credibility: </w:t>
      </w:r>
      <w:r>
        <w:rPr>
          <w:rtl w:val="0"/>
          <w:lang w:val="en-US"/>
        </w:rPr>
        <w:t>Continued Security Council coordination and transparent governance communication strengthens Acre</w:t>
      </w:r>
      <w:r>
        <w:rPr>
          <w:rtl w:val="1"/>
        </w:rPr>
        <w:t>’</w:t>
      </w:r>
      <w:r>
        <w:rPr>
          <w:rtl w:val="0"/>
          <w:lang w:val="en-US"/>
        </w:rPr>
        <w:t>s position as a trusted, institutional-grade Bitcoin financial infrastructure protocol.</w:t>
      </w:r>
    </w:p>
    <w:p>
      <w:pPr>
        <w:pStyle w:val="List Paragraph"/>
        <w:numPr>
          <w:ilvl w:val="0"/>
          <w:numId w:val="2"/>
        </w:numPr>
        <w:spacing w:after="60"/>
        <w:rPr>
          <w:lang w:val="en-US"/>
        </w:rPr>
      </w:pPr>
      <w:r>
        <w:rPr>
          <w:b w:val="1"/>
          <w:bCs w:val="1"/>
          <w:rtl w:val="0"/>
          <w:lang w:val="en-US"/>
        </w:rPr>
        <w:t xml:space="preserve">Talent retention and development: </w:t>
      </w:r>
      <w:r>
        <w:rPr>
          <w:rtl w:val="0"/>
          <w:lang w:val="en-US"/>
        </w:rPr>
        <w:t>Promoting from within rewards demonstrated performance and signals to the team and ecosystem that Acre invests in its people.</w:t>
      </w:r>
    </w:p>
    <w:p>
      <w:pPr>
        <w:pStyle w:val="List Paragraph"/>
        <w:spacing w:after="60"/>
      </w:pPr>
    </w:p>
    <w:p>
      <w:pPr>
        <w:pStyle w:val="Heading"/>
      </w:pPr>
      <w:bookmarkStart w:name="_Toc60" w:id="60"/>
      <w:r>
        <w:rPr>
          <w:rFonts w:cs="Arial Unicode MS" w:eastAsia="Arial Unicode MS"/>
          <w:rtl w:val="0"/>
          <w:lang w:val="it-IT"/>
        </w:rPr>
        <w:t>Conclusion</w:t>
      </w:r>
      <w:bookmarkEnd w:id="60"/>
    </w:p>
    <w:p>
      <w:pPr>
        <w:pStyle w:val="Heading"/>
      </w:pPr>
      <w:bookmarkStart w:name="_Toc61" w:id="61"/>
      <w:r>
        <w:rPr>
          <w:rFonts w:cs="Arial Unicode MS" w:eastAsia="Arial Unicode MS"/>
          <w:outline w:val="0"/>
          <w:color w:val="000000"/>
          <w:u w:color="000000"/>
          <w:rtl w:val="0"/>
          <w:lang w:val="en-US"/>
          <w14:textFill>
            <w14:solidFill>
              <w14:srgbClr w14:val="000000"/>
            </w14:solidFill>
          </w14:textFill>
        </w:rPr>
        <w:t>The creation of the Head of Institutional Adoption role reflects the broader evolution of the Bitcoin ecosystem. As Bitcoin finance matures and institutional capital enters at scale, successful protocols must build dedicated functions to drive adoption by professional stakeholders.</w:t>
      </w:r>
      <w:bookmarkEnd w:id="61"/>
    </w:p>
    <w:p>
      <w:pPr>
        <w:pStyle w:val="Heading"/>
      </w:pPr>
      <w:bookmarkStart w:name="_Toc62" w:id="62"/>
      <w:r>
        <w:rPr>
          <w:rFonts w:cs="Arial Unicode MS" w:eastAsia="Arial Unicode MS"/>
          <w:outline w:val="0"/>
          <w:color w:val="000000"/>
          <w:u w:color="000000"/>
          <w:rtl w:val="0"/>
          <w:lang w:val="en-US"/>
          <w14:textFill>
            <w14:solidFill>
              <w14:srgbClr w14:val="000000"/>
            </w14:solidFill>
          </w14:textFill>
        </w:rPr>
        <w:t>Acre has the product: chain-agnostic, protocol-agnostic vault infrastructure that can launch a variety of ERC-20 vaults. Acre has the technology partners: Re7 Labs for vault curation, Midas for infrastructure. Acre has the governance: a 9-member Security Council. Acre has the community: 36,000+ members. And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it-IT"/>
          <w14:textFill>
            <w14:solidFill>
              <w14:srgbClr w14:val="000000"/>
            </w14:solidFill>
          </w14:textFill>
        </w:rPr>
        <w:t>s core differentiator</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making complex systems approachable</w:t>
      </w:r>
      <w:r>
        <w:rPr>
          <w:rFonts w:cs="Arial Unicode MS" w:eastAsia="Arial Unicode MS" w:hint="default"/>
          <w:outline w:val="0"/>
          <w:color w:val="000000"/>
          <w:u w:color="000000"/>
          <w:rtl w:val="0"/>
          <w:lang w:val="en-US"/>
          <w14:textFill>
            <w14:solidFill>
              <w14:srgbClr w14:val="000000"/>
            </w14:solidFill>
          </w14:textFill>
        </w:rPr>
        <w:t>—</w:t>
      </w:r>
      <w:r>
        <w:rPr>
          <w:rFonts w:cs="Arial Unicode MS" w:eastAsia="Arial Unicode MS"/>
          <w:outline w:val="0"/>
          <w:color w:val="000000"/>
          <w:u w:color="000000"/>
          <w:rtl w:val="0"/>
          <w:lang w:val="en-US"/>
          <w14:textFill>
            <w14:solidFill>
              <w14:srgbClr w14:val="000000"/>
            </w14:solidFill>
          </w14:textFill>
        </w:rPr>
        <w:t>is precisely what institutional adoption demands.</w:t>
      </w:r>
      <w:bookmarkEnd w:id="62"/>
    </w:p>
    <w:p>
      <w:pPr>
        <w:pStyle w:val="Heading"/>
      </w:pPr>
      <w:bookmarkStart w:name="_Toc63" w:id="63"/>
      <w:r>
        <w:rPr>
          <w:rFonts w:cs="Arial Unicode MS" w:eastAsia="Arial Unicode MS"/>
          <w:outline w:val="0"/>
          <w:color w:val="000000"/>
          <w:u w:color="000000"/>
          <w:rtl w:val="0"/>
          <w:lang w:val="en-US"/>
          <w14:textFill>
            <w14:solidFill>
              <w14:srgbClr w14:val="000000"/>
            </w14:solidFill>
          </w14:textFill>
        </w:rPr>
        <w:t>This charter formalizes a function that Nico Marotta is uniquely positioned to build. His trajectory from community operator to community leader to governance architect, combined with his proven ability to translate complex systems into approachable experiences, makes him the natural owner of Acre</w:t>
      </w:r>
      <w:r>
        <w:rPr>
          <w:rFonts w:cs="Arial Unicode MS" w:eastAsia="Arial Unicode MS" w:hint="default"/>
          <w:outline w:val="0"/>
          <w:color w:val="000000"/>
          <w:u w:color="000000"/>
          <w:rtl w:val="1"/>
          <w14:textFill>
            <w14:solidFill>
              <w14:srgbClr w14:val="000000"/>
            </w14:solidFill>
          </w14:textFill>
        </w:rPr>
        <w:t>’</w:t>
      </w:r>
      <w:r>
        <w:rPr>
          <w:rFonts w:cs="Arial Unicode MS" w:eastAsia="Arial Unicode MS"/>
          <w:outline w:val="0"/>
          <w:color w:val="000000"/>
          <w:u w:color="000000"/>
          <w:rtl w:val="0"/>
          <w:lang w:val="fr-FR"/>
          <w14:textFill>
            <w14:solidFill>
              <w14:srgbClr w14:val="000000"/>
            </w14:solidFill>
          </w14:textFill>
        </w:rPr>
        <w:t>s institutional adoption mandate.</w:t>
      </w:r>
      <w:bookmarkEnd w:id="63"/>
    </w:p>
    <w:p>
      <w:pPr>
        <w:pStyle w:val="Heading"/>
      </w:pPr>
      <w:bookmarkStart w:name="_Toc64" w:id="64"/>
      <w:r>
        <w:rPr>
          <w:rFonts w:cs="Arial Unicode MS" w:eastAsia="Arial Unicode MS"/>
          <w:outline w:val="0"/>
          <w:color w:val="000000"/>
          <w:u w:color="000000"/>
          <w:rtl w:val="0"/>
          <w:lang w:val="en-US"/>
          <w14:textFill>
            <w14:solidFill>
              <w14:srgbClr w14:val="000000"/>
            </w14:solidFill>
          </w14:textFill>
        </w:rPr>
        <w:t>Acre has the product. This role ensures institutions can adopt it.</w:t>
      </w:r>
      <w:bookmarkEnd w:id="64"/>
    </w:p>
    <w:p>
      <w:pPr>
        <w:pStyle w:val="Heading"/>
      </w:pPr>
    </w:p>
    <w:p>
      <w:pPr>
        <w:pStyle w:val="Heading"/>
      </w:pPr>
      <w:bookmarkStart w:name="_Toc65" w:id="65"/>
      <w:r>
        <w:rPr>
          <w:rFonts w:cs="Arial Unicode MS" w:eastAsia="Arial Unicode MS"/>
          <w:outline w:val="0"/>
          <w:color w:val="666666"/>
          <w:sz w:val="20"/>
          <w:szCs w:val="20"/>
          <w:u w:color="666666"/>
          <w:rtl w:val="0"/>
          <w:lang w:val="en-US"/>
          <w14:textFill>
            <w14:solidFill>
              <w14:srgbClr w14:val="666666"/>
            </w14:solidFill>
          </w14:textFill>
        </w:rPr>
        <w:t xml:space="preserve">Submitted by: </w:t>
      </w:r>
      <w:r>
        <w:rPr>
          <w:rFonts w:ascii="Times New Roman" w:hAnsi="Times New Roman"/>
          <w:outline w:val="0"/>
          <w:color w:val="1b2a4a"/>
          <w:sz w:val="20"/>
          <w:szCs w:val="20"/>
          <w:u w:color="1b2a4a"/>
          <w:rtl w:val="0"/>
          <w:lang w:val="it-IT"/>
          <w14:textFill>
            <w14:solidFill>
              <w14:srgbClr w14:val="1B2A4A"/>
            </w14:solidFill>
          </w14:textFill>
        </w:rPr>
        <w:t>Nico Marotta</w:t>
      </w:r>
      <w:bookmarkEnd w:id="65"/>
    </w:p>
    <w:p>
      <w:pPr>
        <w:pStyle w:val="Heading"/>
      </w:pPr>
      <w:bookmarkStart w:name="_Toc66" w:id="66"/>
      <w:r>
        <w:rPr>
          <w:rFonts w:cs="Arial Unicode MS" w:eastAsia="Arial Unicode MS"/>
          <w:outline w:val="0"/>
          <w:color w:val="666666"/>
          <w:sz w:val="20"/>
          <w:szCs w:val="20"/>
          <w:u w:color="666666"/>
          <w:rtl w:val="0"/>
          <w:lang w:val="en-US"/>
          <w14:textFill>
            <w14:solidFill>
              <w14:srgbClr w14:val="666666"/>
            </w14:solidFill>
          </w14:textFill>
        </w:rPr>
        <w:t>Date: March 2026</w:t>
      </w:r>
      <w:bookmarkEnd w:id="66"/>
    </w:p>
    <w:p>
      <w:pPr>
        <w:pStyle w:val="Heading"/>
      </w:pPr>
      <w:bookmarkStart w:name="_Toc67" w:id="67"/>
      <w:r>
        <w:rPr>
          <w:rFonts w:ascii="Times New Roman" w:hAnsi="Times New Roman"/>
          <w:i w:val="1"/>
          <w:iCs w:val="1"/>
          <w:outline w:val="0"/>
          <w:color w:val="666666"/>
          <w:sz w:val="20"/>
          <w:szCs w:val="20"/>
          <w:u w:color="666666"/>
          <w:rtl w:val="0"/>
          <w:lang w:val="en-US"/>
          <w14:textFill>
            <w14:solidFill>
              <w14:srgbClr w14:val="666666"/>
            </w14:solidFill>
          </w14:textFill>
        </w:rPr>
        <w:t xml:space="preserve">Classification: Confidential </w:t>
      </w:r>
      <w:r>
        <w:rPr>
          <w:rFonts w:ascii="Times New Roman" w:hAnsi="Times New Roman" w:hint="default"/>
          <w:i w:val="1"/>
          <w:iCs w:val="1"/>
          <w:outline w:val="0"/>
          <w:color w:val="666666"/>
          <w:sz w:val="20"/>
          <w:szCs w:val="20"/>
          <w:u w:color="666666"/>
          <w:rtl w:val="0"/>
          <w14:textFill>
            <w14:solidFill>
              <w14:srgbClr w14:val="666666"/>
            </w14:solidFill>
          </w14:textFill>
        </w:rPr>
        <w:t xml:space="preserve">– </w:t>
      </w:r>
      <w:r>
        <w:rPr>
          <w:rFonts w:ascii="Times New Roman" w:hAnsi="Times New Roman"/>
          <w:i w:val="1"/>
          <w:iCs w:val="1"/>
          <w:outline w:val="0"/>
          <w:color w:val="666666"/>
          <w:sz w:val="20"/>
          <w:szCs w:val="20"/>
          <w:u w:color="666666"/>
          <w:rtl w:val="0"/>
          <w:lang w:val="en-US"/>
          <w14:textFill>
            <w14:solidFill>
              <w14:srgbClr w14:val="666666"/>
            </w14:solidFill>
          </w14:textFill>
        </w:rPr>
        <w:t>Acre Executive Leadership</w:t>
      </w:r>
      <w:bookmarkEnd w:id="67"/>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999999"/>
        <w:sz w:val="16"/>
        <w:szCs w:val="16"/>
        <w:u w:color="999999"/>
        <w:rtl w:val="0"/>
        <w:lang w:val="pt-PT"/>
        <w14:textFill>
          <w14:solidFill>
            <w14:srgbClr w14:val="999999"/>
          </w14:solidFill>
        </w14:textFill>
      </w:rPr>
      <w:t xml:space="preserve">Acre Protocol </w:t>
    </w:r>
    <w:r>
      <w:rPr>
        <w:outline w:val="0"/>
        <w:color w:val="999999"/>
        <w:sz w:val="16"/>
        <w:szCs w:val="16"/>
        <w:u w:color="999999"/>
        <w:rtl w:val="0"/>
        <w14:textFill>
          <w14:solidFill>
            <w14:srgbClr w14:val="999999"/>
          </w14:solidFill>
        </w14:textFill>
      </w:rPr>
      <w:t xml:space="preserve">– </w:t>
    </w:r>
    <w:r>
      <w:rPr>
        <w:outline w:val="0"/>
        <w:color w:val="999999"/>
        <w:sz w:val="16"/>
        <w:szCs w:val="16"/>
        <w:u w:color="999999"/>
        <w:rtl w:val="0"/>
        <w:lang w:val="en-US"/>
        <w14:textFill>
          <w14:solidFill>
            <w14:srgbClr w14:val="999999"/>
          </w14:solidFill>
        </w14:textFill>
      </w:rPr>
      <w:t>Head of Institutional Adoption Charter</w:t>
    </w:r>
    <w:r>
      <w:rPr>
        <w:rtl w:val="0"/>
        <w:lang w:val="da-DK"/>
      </w:rPr>
      <w:tab/>
      <w:t xml:space="preserve">Page </w:t>
    </w:r>
    <w:r>
      <w:rPr>
        <w:outline w:val="0"/>
        <w:color w:val="999999"/>
        <w:sz w:val="16"/>
        <w:szCs w:val="16"/>
        <w:u w:color="999999"/>
        <w14:textFill>
          <w14:solidFill>
            <w14:srgbClr w14:val="999999"/>
          </w14:solidFill>
        </w14:textFill>
      </w:rPr>
      <w:fldChar w:fldCharType="begin" w:fldLock="0"/>
    </w:r>
    <w:r>
      <w:rPr>
        <w:outline w:val="0"/>
        <w:color w:val="999999"/>
        <w:sz w:val="16"/>
        <w:szCs w:val="16"/>
        <w:u w:color="999999"/>
        <w14:textFill>
          <w14:solidFill>
            <w14:srgbClr w14:val="999999"/>
          </w14:solidFill>
        </w14:textFill>
      </w:rPr>
      <w:instrText xml:space="preserve"> PAGE </w:instrText>
    </w:r>
    <w:r>
      <w:rPr>
        <w:outline w:val="0"/>
        <w:color w:val="999999"/>
        <w:sz w:val="16"/>
        <w:szCs w:val="16"/>
        <w:u w:color="999999"/>
        <w14:textFill>
          <w14:solidFill>
            <w14:srgbClr w14:val="999999"/>
          </w14:solidFill>
        </w14:textFill>
      </w:rPr>
      <w:fldChar w:fldCharType="separate" w:fldLock="0"/>
    </w:r>
    <w:r>
      <w:rPr>
        <w:outline w:val="0"/>
        <w:color w:val="999999"/>
        <w:sz w:val="16"/>
        <w:szCs w:val="16"/>
        <w:u w:color="999999"/>
        <w14:textFill>
          <w14:solidFill>
            <w14:srgbClr w14:val="999999"/>
          </w14:solidFill>
        </w14:textFill>
      </w:rPr>
    </w:r>
    <w:r>
      <w:rPr>
        <w:outline w:val="0"/>
        <w:color w:val="999999"/>
        <w:sz w:val="16"/>
        <w:szCs w:val="16"/>
        <w:u w:color="999999"/>
        <w14:textFill>
          <w14:solidFill>
            <w14:srgbClr w14:val="99999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b2a4a"/>
        <w:sz w:val="18"/>
        <w:szCs w:val="18"/>
        <w:u w:color="1b2a4a"/>
        <w:rtl w:val="0"/>
        <w:lang w:val="pt-PT"/>
        <w14:textFill>
          <w14:solidFill>
            <w14:srgbClr w14:val="1B2A4A"/>
          </w14:solidFill>
        </w14:textFill>
      </w:rPr>
      <w:t>Acre Protocol</w:t>
    </w:r>
    <w:r>
      <w:rPr>
        <w:rtl w:val="0"/>
        <w:lang w:val="en-US"/>
      </w:rPr>
      <w:tab/>
      <w:t xml:space="preserve">Executive Charter </w:t>
    </w:r>
    <w:r>
      <w:rPr>
        <w:rtl w:val="0"/>
      </w:rPr>
      <w:t xml:space="preserve">– </w:t>
    </w:r>
    <w:r>
      <w:rPr>
        <w:rtl w:val="0"/>
        <w:lang w:val="en-US"/>
      </w:rPr>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60" w:line="240" w:lineRule="auto"/>
      <w:ind w:left="0" w:right="0" w:firstLine="0"/>
      <w:jc w:val="left"/>
      <w:outlineLvl w:val="0"/>
    </w:pPr>
    <w:rPr>
      <w:rFonts w:ascii="Arial" w:cs="Arial" w:hAnsi="Arial" w:eastAsia="Arial"/>
      <w:b w:val="1"/>
      <w:bCs w:val="1"/>
      <w:i w:val="0"/>
      <w:iCs w:val="0"/>
      <w:caps w:val="0"/>
      <w:smallCaps w:val="0"/>
      <w:strike w:val="0"/>
      <w:dstrike w:val="0"/>
      <w:outline w:val="0"/>
      <w:color w:val="1b2a4a"/>
      <w:spacing w:val="0"/>
      <w:kern w:val="0"/>
      <w:position w:val="0"/>
      <w:sz w:val="32"/>
      <w:szCs w:val="32"/>
      <w:u w:val="none" w:color="1b2a4a"/>
      <w:shd w:val="nil" w:color="auto" w:fill="auto"/>
      <w:vertAlign w:val="baseline"/>
      <w14:textOutline>
        <w14:noFill/>
      </w14:textOutline>
      <w14:textFill>
        <w14:solidFill>
          <w14:srgbClr w14:val="1B2A4A"/>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6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w:hAnsi="Arial" w:eastAsia="Arial"/>
      <w:b w:val="1"/>
      <w:bCs w:val="1"/>
      <w:i w:val="0"/>
      <w:iCs w:val="0"/>
      <w:caps w:val="0"/>
      <w:smallCaps w:val="0"/>
      <w:strike w:val="0"/>
      <w:dstrike w:val="0"/>
      <w:outline w:val="0"/>
      <w:color w:val="1b2a4a"/>
      <w:spacing w:val="0"/>
      <w:kern w:val="0"/>
      <w:position w:val="0"/>
      <w:sz w:val="26"/>
      <w:szCs w:val="26"/>
      <w:u w:val="none" w:color="1b2a4a"/>
      <w:shd w:val="nil" w:color="auto" w:fill="auto"/>
      <w:vertAlign w:val="baseline"/>
      <w14:textOutline>
        <w14:noFill/>
      </w14:textOutline>
      <w14:textFill>
        <w14:solidFill>
          <w14:srgbClr w14:val="1B2A4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