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Fonts w:ascii="Times New Roman" w:hAnsi="Times New Roman"/>
          <w:b w:val="1"/>
          <w:bCs w:val="1"/>
          <w:outline w:val="0"/>
          <w:color w:val="1b2a4a"/>
          <w:sz w:val="36"/>
          <w:szCs w:val="36"/>
          <w:u w:color="1b2a4a"/>
          <w:rtl w:val="0"/>
          <w:lang w:val="en-US"/>
          <w14:textFill>
            <w14:solidFill>
              <w14:srgbClr w14:val="1B2A4A"/>
            </w14:solidFill>
          </w14:textFill>
        </w:rPr>
        <w:t>Head of Institutional Adoption</w:t>
      </w:r>
    </w:p>
    <w:p>
      <w:pPr>
        <w:pStyle w:val="Body"/>
        <w:bidi w:val="0"/>
      </w:pPr>
      <w:r>
        <w:rPr>
          <w:outline w:val="0"/>
          <w:color w:val="666666"/>
          <w:u w:color="666666"/>
          <w:rtl w:val="0"/>
          <w:lang w:val="pt-PT"/>
          <w14:textFill>
            <w14:solidFill>
              <w14:srgbClr w14:val="666666"/>
            </w14:solidFill>
          </w14:textFill>
        </w:rPr>
        <w:t xml:space="preserve">AcreBTC </w:t>
      </w:r>
      <w:r>
        <w:rPr>
          <w:outline w:val="0"/>
          <w:color w:val="666666"/>
          <w:u w:color="666666"/>
          <w:rtl w:val="0"/>
          <w:lang w:val="de-DE"/>
          <w14:textFill>
            <w14:solidFill>
              <w14:srgbClr w14:val="666666"/>
            </w14:solidFill>
          </w14:textFill>
        </w:rPr>
        <w:t xml:space="preserve">· </w:t>
      </w:r>
      <w:r>
        <w:rPr>
          <w:outline w:val="0"/>
          <w:color w:val="666666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 xml:space="preserve">Full-time </w:t>
      </w:r>
      <w:r>
        <w:rPr>
          <w:outline w:val="0"/>
          <w:color w:val="666666"/>
          <w:u w:color="666666"/>
          <w:rtl w:val="0"/>
          <w:lang w:val="de-DE"/>
          <w14:textFill>
            <w14:solidFill>
              <w14:srgbClr w14:val="666666"/>
            </w14:solidFill>
          </w14:textFill>
        </w:rPr>
        <w:t xml:space="preserve">· </w:t>
      </w:r>
      <w:r>
        <w:rPr>
          <w:outline w:val="0"/>
          <w:color w:val="666666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>Remote</w:t>
      </w:r>
    </w:p>
    <w:p>
      <w:pPr>
        <w:pStyle w:val="Body"/>
        <w:bidi w:val="0"/>
      </w:pPr>
      <w:r>
        <w:rPr>
          <w:outline w:val="0"/>
          <w:color w:val="666666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>Reports to: CEO</w:t>
      </w:r>
    </w:p>
    <w:p>
      <w:pPr>
        <w:pStyle w:val="Body"/>
        <w:bidi w:val="0"/>
      </w:pPr>
    </w:p>
    <w:p>
      <w:pPr>
        <w:pStyle w:val="Heading"/>
      </w:pPr>
      <w:r>
        <w:rPr>
          <w:rtl w:val="0"/>
          <w:lang w:val="en-US"/>
        </w:rPr>
        <w:t>Position Summary</w:t>
      </w:r>
    </w:p>
    <w:p>
      <w:pPr>
        <w:pStyle w:val="Heading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Head of Institutional Adoption will serve as Acre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executive-level bridge between its protocol infrastructure and the growing universe of institutional investors, family offices, funds, and financial professionals entering Bitcoin finance. This role owns the full institutional adoption journey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from first contact through active vault engagement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ensuring that Acre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complex vault infrastructure is approachable, understandable, and trusted by professional capital allocators.</w:t>
      </w:r>
    </w:p>
    <w:p>
      <w:pPr>
        <w:pStyle w:val="Heading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successful candidate will combine deep Bitcoin and DeFi protocol knowledge with the communication sophistication required to engage institutional stakeholders through LinkedIn, structured briefings, direct email, and one-on-one meetings. This role reports directly to the CEO and is a member of Acre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executive leadership team, contributing to protocol adoption strategy, governance coordination, and ecosystem expansion. Acre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differentiator is making complex systems easy to understand and integrate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this role ensures institutions experience that differentiator firsthand.</w:t>
      </w:r>
    </w:p>
    <w:p>
      <w:pPr>
        <w:pStyle w:val="Heading"/>
      </w:pPr>
      <w:r>
        <w:rPr>
          <w:rtl w:val="0"/>
          <w:lang w:val="en-US"/>
        </w:rPr>
        <w:t>Key Responsibilities</w:t>
      </w:r>
    </w:p>
    <w:p>
      <w:pPr>
        <w:pStyle w:val="Heading 2"/>
      </w:pPr>
      <w:r>
        <w:rPr>
          <w:rtl w:val="0"/>
          <w:lang w:val="fr-FR"/>
        </w:rPr>
        <w:t>Institutional Adoption &amp; Investor Engagement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Serve as the primary point of contact for institutional investors, family offices, funds, and professional allocators evaluating Acre</w:t>
      </w:r>
      <w:r>
        <w:rPr>
          <w:rtl w:val="1"/>
        </w:rPr>
        <w:t>’</w:t>
      </w:r>
      <w:r>
        <w:rPr>
          <w:rtl w:val="0"/>
          <w:lang w:val="en-US"/>
        </w:rPr>
        <w:t>s Bitcoin vault products and yield strategies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Own the full institutional adoption journey: from initial introduction through diligence, onboarding, vault engagement, and ongoing relationship management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Facilitate one-on-one discussions, scheduled briefings, and structured diligence processes tailored to the expectations of professional capital allocators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Develop and maintain investor-facing materials including vault architecture overviews, risk framework documentation, yield strategy summaries, and Security Council governance explainers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Establish and operate professional communication channels via LinkedIn, direct messaging, email, and investor briefing programs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Design and implement institutional onboarding workflows that make Acre</w:t>
      </w:r>
      <w:r>
        <w:rPr>
          <w:rtl w:val="1"/>
        </w:rPr>
        <w:t>’</w:t>
      </w:r>
      <w:r>
        <w:rPr>
          <w:rtl w:val="0"/>
          <w:lang w:val="en-US"/>
        </w:rPr>
        <w:t>s complex infrastructure approachable</w:t>
      </w:r>
      <w:r>
        <w:rPr>
          <w:rtl w:val="0"/>
          <w:lang w:val="en-US"/>
        </w:rPr>
        <w:t>—</w:t>
      </w:r>
      <w:r>
        <w:rPr>
          <w:rtl w:val="0"/>
          <w:lang w:val="en-US"/>
        </w:rPr>
        <w:t>translating ERC-4626 vaults, tBTC bridges, and self-custody models into clear, institutional-grade narratives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Support business development efforts by identifying institutional prospects and facilitating introductions through ecosystem connections and conference networking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Track institutional adoption trends across TradFi, Bitcoin ETFs, and competing BTCFi protocols to inform Acre</w:t>
      </w:r>
      <w:r>
        <w:rPr>
          <w:rtl w:val="1"/>
        </w:rPr>
        <w:t>’</w:t>
      </w:r>
      <w:r>
        <w:rPr>
          <w:rtl w:val="0"/>
          <w:lang w:val="en-US"/>
        </w:rPr>
        <w:t>s positioning and product roadmap</w:t>
      </w:r>
    </w:p>
    <w:p>
      <w:pPr>
        <w:pStyle w:val="Heading 2"/>
      </w:pPr>
      <w:r>
        <w:rPr>
          <w:rtl w:val="0"/>
          <w:lang w:val="en-US"/>
        </w:rPr>
        <w:t>Governance &amp; Trust Infrastructure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Coordinate with Acre</w:t>
      </w:r>
      <w:r>
        <w:rPr>
          <w:rtl w:val="1"/>
        </w:rPr>
        <w:t>’</w:t>
      </w:r>
      <w:r>
        <w:rPr>
          <w:rtl w:val="0"/>
          <w:lang w:val="en-US"/>
        </w:rPr>
        <w:t>s Security Council and risk curators to provide institutional stakeholders with accurate, timely information about vault operations and performance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Maintain and strengthen governance communication frameworks that support institutional trust</w:t>
      </w:r>
      <w:r>
        <w:rPr>
          <w:rtl w:val="0"/>
          <w:lang w:val="en-US"/>
        </w:rPr>
        <w:t>—</w:t>
      </w:r>
      <w:r>
        <w:rPr>
          <w:rtl w:val="0"/>
          <w:lang w:val="en-US"/>
        </w:rPr>
        <w:t>ensuring audit reports, risk disclosures, and council decisions are accessible to professional audiences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Serve as a trusted steward between institutional stakeholders and Acre</w:t>
      </w:r>
      <w:r>
        <w:rPr>
          <w:rtl w:val="1"/>
        </w:rPr>
        <w:t>’</w:t>
      </w:r>
      <w:r>
        <w:rPr>
          <w:rtl w:val="0"/>
          <w:lang w:val="en-US"/>
        </w:rPr>
        <w:t>s executive, product, and risk leadership teams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Provide regulatory alignment context</w:t>
      </w:r>
      <w:r>
        <w:rPr>
          <w:rtl w:val="0"/>
          <w:lang w:val="en-US"/>
        </w:rPr>
        <w:t>—</w:t>
      </w:r>
      <w:r>
        <w:rPr>
          <w:rtl w:val="0"/>
          <w:lang w:val="en-US"/>
        </w:rPr>
        <w:t>communicating how Acre</w:t>
      </w:r>
      <w:r>
        <w:rPr>
          <w:rtl w:val="1"/>
        </w:rPr>
        <w:t>’</w:t>
      </w:r>
      <w:r>
        <w:rPr>
          <w:rtl w:val="0"/>
          <w:lang w:val="en-US"/>
        </w:rPr>
        <w:t>s self-custody model, Security Council governance, and vault operations align with the GENIUS Act, MiCA, and OCC custody guidance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Build communication frameworks that maintain transparency and trust during periods of rapid protocol growth and change</w:t>
      </w:r>
    </w:p>
    <w:p>
      <w:pPr>
        <w:pStyle w:val="Heading 2"/>
      </w:pPr>
      <w:r>
        <w:rPr>
          <w:rtl w:val="0"/>
          <w:lang w:val="en-US"/>
        </w:rPr>
        <w:t>Market Intelligence &amp; Competitive Analysis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Capture investor questions, diligence requests, objections, and market sentiment and deliver structured intelligence reports to the CEO, product team, and risk leadership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Generate regular intelligence reports synthesizing institutional feedback themes, competitive positioning insights, and market trend analysis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Conduct competitive analysis of institutional engagement strategies at Babylon, Lombard, SOLV, Morpho, Pendle, Coinbase Prime, Fidelity Digital Assets, and other relevant platforms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Track regulatory developments (GENIUS Act implementation, OCC guidance, MiCA enforcement, 401(k) crypto access) and communicate implications for Acre</w:t>
      </w:r>
      <w:r>
        <w:rPr>
          <w:rtl w:val="1"/>
        </w:rPr>
        <w:t>’</w:t>
      </w:r>
      <w:r>
        <w:rPr>
          <w:rtl w:val="0"/>
          <w:lang w:val="en-US"/>
        </w:rPr>
        <w:t>s institutional positioning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Identify emerging institutional needs and opportunities</w:t>
      </w:r>
      <w:r>
        <w:rPr>
          <w:rtl w:val="0"/>
          <w:lang w:val="en-US"/>
        </w:rPr>
        <w:t>—</w:t>
      </w:r>
      <w:r>
        <w:rPr>
          <w:rtl w:val="0"/>
          <w:lang w:val="en-US"/>
        </w:rPr>
        <w:t>including from banks, insurance companies, pension funds, sovereign wealth funds, state treasuries, and corporate balance sheets</w:t>
      </w:r>
      <w:r>
        <w:rPr>
          <w:rtl w:val="0"/>
          <w:lang w:val="en-US"/>
        </w:rPr>
        <w:t>—</w:t>
      </w:r>
      <w:r>
        <w:rPr>
          <w:rtl w:val="0"/>
          <w:lang w:val="en-US"/>
        </w:rPr>
        <w:t>and provide actionable recommendations</w:t>
      </w:r>
    </w:p>
    <w:p>
      <w:pPr>
        <w:pStyle w:val="Heading 2"/>
      </w:pPr>
      <w:r>
        <w:rPr>
          <w:rtl w:val="0"/>
          <w:lang w:val="en-US"/>
        </w:rPr>
        <w:t>Ecosystem Growth &amp; Public Representation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Represent Acre at global conferences, institutional finance events, and ecosystem activations as the protocol</w:t>
      </w:r>
      <w:r>
        <w:rPr>
          <w:rtl w:val="1"/>
        </w:rPr>
        <w:t>’</w:t>
      </w:r>
      <w:r>
        <w:rPr>
          <w:rtl w:val="0"/>
          <w:lang w:val="en-US"/>
        </w:rPr>
        <w:t>s primary institutional-facing representative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Host institutional roundtables, investor briefings, and structured discussions connecting capital allocators with Acre</w:t>
      </w:r>
      <w:r>
        <w:rPr>
          <w:rtl w:val="1"/>
        </w:rPr>
        <w:t>’</w:t>
      </w:r>
      <w:r>
        <w:rPr>
          <w:rtl w:val="0"/>
          <w:lang w:val="en-US"/>
        </w:rPr>
        <w:t>s product and risk leadership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Build and maintain relationships with ecosystem partners, vault managers (RE7 Labs), infrastructure providers (Midas), and custody platforms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Coordinate with Acre</w:t>
      </w:r>
      <w:r>
        <w:rPr>
          <w:rtl w:val="1"/>
        </w:rPr>
        <w:t>’</w:t>
      </w:r>
      <w:r>
        <w:rPr>
          <w:rtl w:val="0"/>
          <w:lang w:val="en-US"/>
        </w:rPr>
        <w:t>s community team to ensure consistent messaging across retail and institutional audiences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Experiment with new engagement tools, platforms, and strategies to maintain Acre</w:t>
      </w:r>
      <w:r>
        <w:rPr>
          <w:rtl w:val="1"/>
        </w:rPr>
        <w:t>’</w:t>
      </w:r>
      <w:r>
        <w:rPr>
          <w:rtl w:val="0"/>
          <w:lang w:val="en-US"/>
        </w:rPr>
        <w:t>s position as a leader in BTCFi institutional adoption</w:t>
      </w:r>
    </w:p>
    <w:p>
      <w:pPr>
        <w:pStyle w:val="List Paragraph"/>
        <w:spacing w:after="6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</w:pPr>
      <w:r>
        <w:rPr>
          <w:rtl w:val="0"/>
          <w:lang w:val="en-US"/>
        </w:rPr>
        <w:t>Required Qualifications</w:t>
      </w:r>
    </w:p>
    <w:p>
      <w:pPr>
        <w:pStyle w:val="Heading 2"/>
      </w:pPr>
      <w:r>
        <w:rPr>
          <w:rtl w:val="0"/>
          <w:lang w:val="en-US"/>
        </w:rPr>
        <w:t>Experience &amp; Background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3+ years of institutional relations, business development, or investor engagement experience in crypto, DeFi, or Bitcoin-native protocols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Deep understanding of Bitcoin finance, DeFi yield strategies, vault architecture, custody models, and self-custody infrastructure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Demonstrated experience engaging with institutional investors, professional allocators, family offices, or financial services clients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Experience translating complex technical infrastructure into approachable, institutional-grade narratives and documentation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Track record of building trust-based relationships with professional stakeholders across multiple communication channels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Experience with protocol governance, Security Council operations, or multisig coordination</w:t>
      </w:r>
    </w:p>
    <w:p>
      <w:pPr>
        <w:pStyle w:val="Heading 2"/>
      </w:pPr>
      <w:r>
        <w:rPr>
          <w:rtl w:val="0"/>
          <w:lang w:val="en-US"/>
        </w:rPr>
        <w:t>Technical Knowledge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Understanding of smart contracts, ERC-4626 vaults, Bitcoin bridges (tBTC), and self-custody wallet infrastructure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Familiarity with institutional communication tools including CRM systems, investor relations platforms, and professional email marketing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Experience with analytics and reporting tools for tracking institutional engagement pipeline and adoption metrics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Understanding of regulatory frameworks affecting institutional crypto participation (GENIUS Act, MiCA, OCC custody guidance, 401(k) crypto rules)</w:t>
      </w:r>
    </w:p>
    <w:p>
      <w:pPr>
        <w:pStyle w:val="Heading 2"/>
      </w:pPr>
      <w:r>
        <w:rPr>
          <w:rtl w:val="0"/>
          <w:lang w:val="en-US"/>
        </w:rPr>
        <w:t>Communication &amp; Leadership Skills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Exceptional written and verbal communication with the ability to engage institutional stakeholders through professional, structured dialogue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High emotional intelligence with the ability to build trust across cultural, professional, and technical boundaries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Strategic thinking with the ability to connect institutional engagement to protocol adoption metrics and product roadmap decisions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Comfort representing a protocol publicly at major global conferences and in one-on-one institutional meetings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Strong organizational skills with the ability to manage multiple stakeholder relationships and diligence processes simultaneously</w:t>
      </w:r>
    </w:p>
    <w:p>
      <w:pPr>
        <w:pStyle w:val="Heading"/>
      </w:pPr>
      <w:r>
        <w:rPr>
          <w:rtl w:val="0"/>
          <w:lang w:val="en-US"/>
        </w:rPr>
        <w:t>Preferred Qualifications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Active participation in Bitcoin and DeFi communities with established on-chain reputation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Experience at a Bitcoin-native protocol or venture studio (e.g., Thesis, Mezo, Threshold Network ecosystem)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Previous experience creating investor-facing documentation or managing investor communications programs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Background in education, design, consulting, or client-service roles that demonstrate high-touch stakeholder management and the ability to make complex systems approachable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Understanding of tokenomics, governance frameworks, and Security Council operations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Experience with community building that can inform institutional engagement strategy</w:t>
      </w:r>
      <w:r>
        <w:rPr>
          <w:rtl w:val="0"/>
          <w:lang w:val="en-US"/>
        </w:rPr>
        <w:t>—</w:t>
      </w:r>
      <w:r>
        <w:rPr>
          <w:rtl w:val="0"/>
          <w:lang w:val="en-US"/>
        </w:rPr>
        <w:t>understanding both retail and professional audiences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Knowledge of regulatory considerations for digital asset marketing and institutional communications (MiCA, GENIUS Act, OCC guidance, CARF)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Multi-lingual capabilities for international institutional engagement</w:t>
      </w:r>
    </w:p>
    <w:p>
      <w:pPr>
        <w:pStyle w:val="Heading"/>
      </w:pPr>
      <w:r>
        <w:rPr>
          <w:rtl w:val="0"/>
          <w:lang w:val="en-US"/>
        </w:rPr>
        <w:t>Key Performance Indicators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Institutional adoption pipeline: number of qualified institutional conversations initiated, advanced, and converted to active vault engagement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Institutional onboarding completion rate: percentage of institutional prospects that complete the full adoption journey from first contact to vault participation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Investor materials library: creation and maintenance of comprehensive, institutional-grade documentation suite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Institutional intelligence reports: frequency, quality, and actionability of investor feedback and market analysis delivered to leadership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Conference and event representation: speaking engagements, institutional networking outcomes, and follow-up conversion rate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Institutional TVL contribution: measurable increase in vault participation attributable to institutional engagement efforts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Governance communication effectiveness: institutional stakeholder satisfaction with Acre</w:t>
      </w:r>
      <w:r>
        <w:rPr>
          <w:rtl w:val="1"/>
        </w:rPr>
        <w:t>’</w:t>
      </w:r>
      <w:r>
        <w:rPr>
          <w:rtl w:val="0"/>
          <w:lang w:val="en-US"/>
        </w:rPr>
        <w:t>s transparency and governance reporting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Diligence response time: average time to provide structured, professional responses to institutional due diligence requests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Competitive positioning: maintenance of Acre</w:t>
      </w:r>
      <w:r>
        <w:rPr>
          <w:rtl w:val="1"/>
        </w:rPr>
        <w:t>’</w:t>
      </w:r>
      <w:r>
        <w:rPr>
          <w:rtl w:val="0"/>
          <w:lang w:val="en-US"/>
        </w:rPr>
        <w:t>s first-mover advantage in BTCFi institutional adoption as competitors build similar functions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Regulatory awareness: proactive identification and communication of regulatory developments that affect institutional participation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w:rPr>
        <w:outline w:val="0"/>
        <w:color w:val="999999"/>
        <w:sz w:val="16"/>
        <w:szCs w:val="16"/>
        <w:u w:color="999999"/>
        <w:rtl w:val="0"/>
        <w:lang w:val="pt-PT"/>
        <w14:textFill>
          <w14:solidFill>
            <w14:srgbClr w14:val="999999"/>
          </w14:solidFill>
        </w14:textFill>
      </w:rPr>
      <w:t xml:space="preserve">Acre Protocol </w:t>
    </w:r>
    <w:r>
      <w:rPr>
        <w:outline w:val="0"/>
        <w:color w:val="999999"/>
        <w:sz w:val="16"/>
        <w:szCs w:val="16"/>
        <w:u w:color="999999"/>
        <w:rtl w:val="0"/>
        <w14:textFill>
          <w14:solidFill>
            <w14:srgbClr w14:val="999999"/>
          </w14:solidFill>
        </w14:textFill>
      </w:rPr>
      <w:t xml:space="preserve">– </w:t>
    </w:r>
    <w:r>
      <w:rPr>
        <w:outline w:val="0"/>
        <w:color w:val="999999"/>
        <w:sz w:val="16"/>
        <w:szCs w:val="16"/>
        <w:u w:color="999999"/>
        <w:rtl w:val="0"/>
        <w:lang w:val="en-US"/>
        <w14:textFill>
          <w14:solidFill>
            <w14:srgbClr w14:val="999999"/>
          </w14:solidFill>
        </w14:textFill>
      </w:rPr>
      <w:t xml:space="preserve">Confidential </w:t>
    </w:r>
    <w:r>
      <w:rPr>
        <w:outline w:val="0"/>
        <w:color w:val="999999"/>
        <w:sz w:val="16"/>
        <w:szCs w:val="16"/>
        <w:u w:color="999999"/>
        <w:rtl w:val="0"/>
        <w14:textFill>
          <w14:solidFill>
            <w14:srgbClr w14:val="999999"/>
          </w14:solidFill>
        </w14:textFill>
      </w:rPr>
      <w:t xml:space="preserve">– </w:t>
    </w:r>
    <w:r>
      <w:rPr>
        <w:outline w:val="0"/>
        <w:color w:val="999999"/>
        <w:sz w:val="16"/>
        <w:szCs w:val="16"/>
        <w:u w:color="999999"/>
        <w:rtl w:val="0"/>
        <w:lang w:val="en-US"/>
        <w14:textFill>
          <w14:solidFill>
            <w14:srgbClr w14:val="999999"/>
          </w14:solidFill>
        </w14:textFill>
      </w:rPr>
      <w:t>March 2026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w:rPr>
        <w:rFonts w:ascii="Arial" w:hAnsi="Arial"/>
        <w:b w:val="1"/>
        <w:bCs w:val="1"/>
        <w:outline w:val="0"/>
        <w:color w:val="1b2a4a"/>
        <w:sz w:val="18"/>
        <w:szCs w:val="18"/>
        <w:u w:color="1b2a4a"/>
        <w:rtl w:val="0"/>
        <w:lang w:val="pt-PT"/>
        <w14:textFill>
          <w14:solidFill>
            <w14:srgbClr w14:val="1B2A4A"/>
          </w14:solidFill>
        </w14:textFill>
      </w:rPr>
      <w:t>Acre Protocol</w:t>
    </w:r>
    <w:r>
      <w:rPr>
        <w:rtl w:val="0"/>
        <w:lang w:val="fr-FR"/>
      </w:rPr>
      <w:tab/>
      <w:t>Job Description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00" w:after="140" w:line="240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b2a4a"/>
      <w:spacing w:val="0"/>
      <w:kern w:val="0"/>
      <w:position w:val="0"/>
      <w:sz w:val="30"/>
      <w:szCs w:val="30"/>
      <w:u w:val="none" w:color="1b2a4a"/>
      <w:shd w:val="nil" w:color="auto" w:fill="auto"/>
      <w:vertAlign w:val="baseline"/>
      <w:lang w:val="en-US"/>
      <w14:textOutline>
        <w14:noFill/>
      </w14:textOutline>
      <w14:textFill>
        <w14:solidFill>
          <w14:srgbClr w14:val="1B2A4A"/>
        </w14:solidFill>
      </w14:textFill>
    </w:rPr>
  </w:style>
  <w:style w:type="paragraph" w:styleId="Heading 2">
    <w:name w:val="Heading 2"/>
    <w:next w:val="Heading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40" w:after="100" w:line="240" w:lineRule="auto"/>
      <w:ind w:left="0" w:right="0" w:firstLine="0"/>
      <w:jc w:val="left"/>
      <w:outlineLvl w:val="1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b2a4a"/>
      <w:spacing w:val="0"/>
      <w:kern w:val="0"/>
      <w:position w:val="0"/>
      <w:sz w:val="24"/>
      <w:szCs w:val="24"/>
      <w:u w:val="none" w:color="1b2a4a"/>
      <w:shd w:val="nil" w:color="auto" w:fill="auto"/>
      <w:vertAlign w:val="baseline"/>
      <w:lang w:val="fr-FR"/>
      <w14:textOutline>
        <w14:noFill/>
      </w14:textOutline>
      <w14:textFill>
        <w14:solidFill>
          <w14:srgbClr w14:val="1B2A4A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