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ascii="Arial" w:hAnsi="Arial"/>
          <w:b w:val="1"/>
          <w:bCs w:val="1"/>
          <w:outline w:val="0"/>
          <w:color w:val="d4a843"/>
          <w:spacing w:val="300"/>
          <w:sz w:val="24"/>
          <w:szCs w:val="24"/>
          <w:u w:color="d4a843"/>
          <w:rtl w:val="0"/>
          <w:lang w:val="de-DE"/>
          <w14:textFill>
            <w14:solidFill>
              <w14:srgbClr w14:val="D4A843"/>
            </w14:solidFill>
          </w14:textFill>
        </w:rPr>
        <w:t>ACRE PROTOCOL</w:t>
      </w:r>
    </w:p>
    <w:p>
      <w:pPr>
        <w:pStyle w:val="Body"/>
        <w:bidi w:val="0"/>
      </w:pPr>
    </w:p>
    <w:p>
      <w:pPr>
        <w:pStyle w:val="Body"/>
        <w:bidi w:val="0"/>
      </w:pPr>
    </w:p>
    <w:p>
      <w:pPr>
        <w:pStyle w:val="Body"/>
        <w:bidi w:val="0"/>
      </w:pPr>
      <w:r>
        <w:rPr>
          <w:rFonts w:ascii="Arial" w:hAnsi="Arial"/>
          <w:b w:val="1"/>
          <w:bCs w:val="1"/>
          <w:outline w:val="0"/>
          <w:color w:val="1b2a4a"/>
          <w:sz w:val="52"/>
          <w:szCs w:val="52"/>
          <w:u w:color="1b2a4a"/>
          <w:rtl w:val="0"/>
          <w:lang w:val="en-US"/>
          <w14:textFill>
            <w14:solidFill>
              <w14:srgbClr w14:val="1B2A4A"/>
            </w14:solidFill>
          </w14:textFill>
        </w:rPr>
        <w:t>Everyone Wants to Be a Bank</w:t>
      </w:r>
    </w:p>
    <w:p>
      <w:pPr>
        <w:pStyle w:val="Body"/>
        <w:bidi w:val="0"/>
      </w:pPr>
      <w:r>
        <w:rPr>
          <w:rFonts w:ascii="Arial" w:hAnsi="Arial"/>
          <w:i w:val="1"/>
          <w:iCs w:val="1"/>
          <w:outline w:val="0"/>
          <w:color w:val="666666"/>
          <w:sz w:val="26"/>
          <w:szCs w:val="26"/>
          <w:u w:color="666666"/>
          <w:rtl w:val="0"/>
          <w:lang w:val="en-US"/>
          <w14:textFill>
            <w14:solidFill>
              <w14:srgbClr w14:val="666666"/>
            </w14:solidFill>
          </w14:textFill>
        </w:rPr>
        <w:t>Institutional Research Report &amp; 4-Week Content Strategy</w:t>
      </w:r>
    </w:p>
    <w:p>
      <w:pPr>
        <w:pStyle w:val="Body"/>
        <w:bidi w:val="0"/>
      </w:pPr>
    </w:p>
    <w:p>
      <w:pPr>
        <w:pStyle w:val="Body"/>
        <w:bidi w:val="0"/>
      </w:pPr>
    </w:p>
    <w:p>
      <w:pPr>
        <w:pStyle w:val="Body"/>
        <w:bidi w:val="0"/>
      </w:pPr>
      <w:r>
        <w:rPr>
          <w:rFonts w:ascii="Arial" w:hAnsi="Arial"/>
          <w:outline w:val="0"/>
          <w:color w:val="2c2c2c"/>
          <w:sz w:val="24"/>
          <w:szCs w:val="24"/>
          <w:u w:color="2c2c2c"/>
          <w:rtl w:val="0"/>
          <w:lang w:val="en-US"/>
          <w14:textFill>
            <w14:solidFill>
              <w14:srgbClr w14:val="2C2C2C"/>
            </w14:solidFill>
          </w14:textFill>
        </w:rPr>
        <w:t>Positioning Acre as Best-in-Class Infrastructure for</w:t>
      </w:r>
    </w:p>
    <w:p>
      <w:pPr>
        <w:pStyle w:val="Body"/>
        <w:bidi w:val="0"/>
      </w:pPr>
      <w:r>
        <w:rPr>
          <w:rFonts w:ascii="Arial" w:hAnsi="Arial"/>
          <w:outline w:val="0"/>
          <w:color w:val="2c2c2c"/>
          <w:sz w:val="24"/>
          <w:szCs w:val="24"/>
          <w:u w:color="2c2c2c"/>
          <w:rtl w:val="0"/>
          <w:lang w:val="en-US"/>
          <w14:textFill>
            <w14:solidFill>
              <w14:srgbClr w14:val="2C2C2C"/>
            </w14:solidFill>
          </w14:textFill>
        </w:rPr>
        <w:t>Institutional Digital Asset Onboarding</w:t>
      </w:r>
    </w:p>
    <w:p>
      <w:pPr>
        <w:pStyle w:val="Body"/>
        <w:bidi w:val="0"/>
      </w:pPr>
    </w:p>
    <w:p>
      <w:pPr>
        <w:pStyle w:val="Body"/>
        <w:bidi w:val="0"/>
      </w:pPr>
    </w:p>
    <w:p>
      <w:pPr>
        <w:pStyle w:val="Body"/>
        <w:bidi w:val="0"/>
      </w:pPr>
    </w:p>
    <w:p>
      <w:pPr>
        <w:pStyle w:val="Body"/>
        <w:bidi w:val="0"/>
      </w:pPr>
    </w:p>
    <w:p>
      <w:pPr>
        <w:pStyle w:val="Body"/>
        <w:bidi w:val="0"/>
      </w:pPr>
      <w:r>
        <w:rPr>
          <w:rFonts w:ascii="Arial" w:hAnsi="Arial"/>
          <w:outline w:val="0"/>
          <w:color w:val="999999"/>
          <w:u w:color="999999"/>
          <w:rtl w:val="0"/>
          <w:lang w:val="en-US"/>
          <w14:textFill>
            <w14:solidFill>
              <w14:srgbClr w14:val="999999"/>
            </w14:solidFill>
          </w14:textFill>
        </w:rPr>
        <w:t>March 2026</w:t>
      </w:r>
    </w:p>
    <w:p>
      <w:pPr>
        <w:pStyle w:val="Body"/>
        <w:bidi w:val="0"/>
      </w:pPr>
      <w:r>
        <w:rPr>
          <w:rFonts w:ascii="Arial" w:hAnsi="Arial"/>
          <w:i w:val="1"/>
          <w:iCs w:val="1"/>
          <w:outline w:val="0"/>
          <w:color w:val="999999"/>
          <w:sz w:val="20"/>
          <w:szCs w:val="20"/>
          <w:u w:color="999999"/>
          <w:rtl w:val="0"/>
          <w:lang w:val="en-US"/>
          <w14:textFill>
            <w14:solidFill>
              <w14:srgbClr w14:val="999999"/>
            </w14:solidFill>
          </w14:textFill>
        </w:rPr>
        <w:t>Confidential</w:t>
      </w:r>
    </w:p>
    <w:p>
      <w:pPr>
        <w:pStyle w:val="Body"/>
        <w:bidi w:val="0"/>
        <w:sectPr>
          <w:headerReference w:type="default" r:id="rId4"/>
          <w:footerReference w:type="default" r:id="rId5"/>
          <w:pgSz w:w="12240" w:h="15840" w:orient="portrait"/>
          <w:pgMar w:top="1440" w:right="1440" w:bottom="1440" w:left="1440" w:header="708" w:footer="708"/>
          <w:bidi w:val="0"/>
        </w:sectPr>
      </w:pPr>
    </w:p>
    <w:p>
      <w:pPr>
        <w:pStyle w:val="Body"/>
        <w:bidi w:val="0"/>
      </w:pPr>
      <w:r>
        <w:rPr>
          <w:rFonts w:ascii="Arial" w:hAnsi="Arial"/>
          <w:b w:val="1"/>
          <w:bCs w:val="1"/>
          <w:outline w:val="0"/>
          <w:color w:val="1b2a4a"/>
          <w:spacing w:val="200"/>
          <w:sz w:val="28"/>
          <w:szCs w:val="28"/>
          <w:u w:color="1b2a4a"/>
          <w:rtl w:val="0"/>
          <w:lang w:val="en-US"/>
          <w14:textFill>
            <w14:solidFill>
              <w14:srgbClr w14:val="1B2A4A"/>
            </w14:solidFill>
          </w14:textFill>
        </w:rPr>
        <w:t>TABLE OF CONTENTS</w:t>
      </w:r>
    </w:p>
    <w:p>
      <w:pPr>
        <w:pStyle w:val="Body"/>
        <w:bidi w:val="0"/>
      </w:pPr>
    </w:p>
    <w:p>
      <w:pPr>
        <w:pStyle w:val="Body"/>
        <w:bidi w:val="0"/>
      </w:pPr>
      <w:r>
        <w:rPr>
          <w:rFonts w:ascii="Arial" w:hAnsi="Arial"/>
          <w:b w:val="1"/>
          <w:bCs w:val="1"/>
          <w:outline w:val="0"/>
          <w:color w:val="d4a843"/>
          <w:u w:color="d4a843"/>
          <w:rtl w:val="0"/>
          <w14:textFill>
            <w14:solidFill>
              <w14:srgbClr w14:val="D4A843"/>
            </w14:solidFill>
          </w14:textFill>
        </w:rPr>
        <w:t xml:space="preserve">1.  </w:t>
      </w:r>
      <w:r>
        <w:rPr>
          <w:rFonts w:ascii="Arial" w:hAnsi="Arial"/>
          <w:outline w:val="0"/>
          <w:color w:val="2c2c2c"/>
          <w:u w:color="2c2c2c"/>
          <w:rtl w:val="0"/>
          <w:lang w:val="en-US"/>
          <w14:textFill>
            <w14:solidFill>
              <w14:srgbClr w14:val="2C2C2C"/>
            </w14:solidFill>
          </w14:textFill>
        </w:rPr>
        <w:t>Executive Summary</w:t>
      </w:r>
    </w:p>
    <w:p>
      <w:pPr>
        <w:pStyle w:val="Body"/>
        <w:bidi w:val="0"/>
      </w:pPr>
      <w:r>
        <w:rPr>
          <w:rFonts w:ascii="Arial" w:hAnsi="Arial"/>
          <w:b w:val="1"/>
          <w:bCs w:val="1"/>
          <w:outline w:val="0"/>
          <w:color w:val="d4a843"/>
          <w:u w:color="d4a843"/>
          <w:rtl w:val="0"/>
          <w14:textFill>
            <w14:solidFill>
              <w14:srgbClr w14:val="D4A843"/>
            </w14:solidFill>
          </w14:textFill>
        </w:rPr>
        <w:t xml:space="preserve">2.  </w:t>
      </w:r>
      <w:r>
        <w:rPr>
          <w:rFonts w:ascii="Arial" w:hAnsi="Arial"/>
          <w:outline w:val="0"/>
          <w:color w:val="2c2c2c"/>
          <w:u w:color="2c2c2c"/>
          <w:rtl w:val="0"/>
          <w:lang w:val="en-US"/>
          <w14:textFill>
            <w14:solidFill>
              <w14:srgbClr w14:val="2C2C2C"/>
            </w14:solidFill>
          </w14:textFill>
        </w:rPr>
        <w:t>The Macro Landscape: Everyone Wants to Be a Bank</w:t>
      </w:r>
    </w:p>
    <w:p>
      <w:pPr>
        <w:pStyle w:val="Body"/>
        <w:bidi w:val="0"/>
      </w:pPr>
      <w:r>
        <w:rPr>
          <w:rFonts w:ascii="Arial" w:hAnsi="Arial"/>
          <w:b w:val="1"/>
          <w:bCs w:val="1"/>
          <w:outline w:val="0"/>
          <w:color w:val="d4a843"/>
          <w:u w:color="d4a843"/>
          <w:rtl w:val="0"/>
          <w14:textFill>
            <w14:solidFill>
              <w14:srgbClr w14:val="D4A843"/>
            </w14:solidFill>
          </w14:textFill>
        </w:rPr>
        <w:t xml:space="preserve">3.  </w:t>
      </w:r>
      <w:r>
        <w:rPr>
          <w:rFonts w:ascii="Arial" w:hAnsi="Arial"/>
          <w:outline w:val="0"/>
          <w:color w:val="2c2c2c"/>
          <w:u w:color="2c2c2c"/>
          <w:rtl w:val="0"/>
          <w:lang w:val="en-US"/>
          <w14:textFill>
            <w14:solidFill>
              <w14:srgbClr w14:val="2C2C2C"/>
            </w14:solidFill>
          </w14:textFill>
        </w:rPr>
        <w:t>What Actually Defines a Bank in 2026</w:t>
      </w:r>
    </w:p>
    <w:p>
      <w:pPr>
        <w:pStyle w:val="Body"/>
        <w:bidi w:val="0"/>
      </w:pPr>
      <w:r>
        <w:rPr>
          <w:rFonts w:ascii="Arial" w:hAnsi="Arial"/>
          <w:b w:val="1"/>
          <w:bCs w:val="1"/>
          <w:outline w:val="0"/>
          <w:color w:val="d4a843"/>
          <w:u w:color="d4a843"/>
          <w:rtl w:val="0"/>
          <w14:textFill>
            <w14:solidFill>
              <w14:srgbClr w14:val="D4A843"/>
            </w14:solidFill>
          </w14:textFill>
        </w:rPr>
        <w:t xml:space="preserve">4.  </w:t>
      </w:r>
      <w:r>
        <w:rPr>
          <w:rFonts w:ascii="Arial" w:hAnsi="Arial"/>
          <w:outline w:val="0"/>
          <w:color w:val="2c2c2c"/>
          <w:u w:color="2c2c2c"/>
          <w:rtl w:val="0"/>
          <w:lang w:val="en-US"/>
          <w14:textFill>
            <w14:solidFill>
              <w14:srgbClr w14:val="2C2C2C"/>
            </w14:solidFill>
          </w14:textFill>
        </w:rPr>
        <w:t>The Institutional Bitcoin Adoption Wave</w:t>
      </w:r>
    </w:p>
    <w:p>
      <w:pPr>
        <w:pStyle w:val="Body"/>
        <w:bidi w:val="0"/>
      </w:pPr>
      <w:r>
        <w:rPr>
          <w:rFonts w:ascii="Arial" w:hAnsi="Arial"/>
          <w:b w:val="1"/>
          <w:bCs w:val="1"/>
          <w:outline w:val="0"/>
          <w:color w:val="d4a843"/>
          <w:u w:color="d4a843"/>
          <w:rtl w:val="0"/>
          <w14:textFill>
            <w14:solidFill>
              <w14:srgbClr w14:val="D4A843"/>
            </w14:solidFill>
          </w14:textFill>
        </w:rPr>
        <w:t xml:space="preserve">5.  </w:t>
      </w:r>
      <w:r>
        <w:rPr>
          <w:rFonts w:ascii="Arial" w:hAnsi="Arial"/>
          <w:outline w:val="0"/>
          <w:color w:val="2c2c2c"/>
          <w:u w:color="2c2c2c"/>
          <w:rtl w:val="0"/>
          <w:lang w:val="en-US"/>
          <w14:textFill>
            <w14:solidFill>
              <w14:srgbClr w14:val="2C2C2C"/>
            </w14:solidFill>
          </w14:textFill>
        </w:rPr>
        <w:t>The Infrastructure Gap: Why Institutions Need Vault Infrastructure</w:t>
      </w:r>
    </w:p>
    <w:p>
      <w:pPr>
        <w:pStyle w:val="Body"/>
        <w:bidi w:val="0"/>
      </w:pPr>
      <w:r>
        <w:rPr>
          <w:rFonts w:ascii="Arial" w:hAnsi="Arial"/>
          <w:b w:val="1"/>
          <w:bCs w:val="1"/>
          <w:outline w:val="0"/>
          <w:color w:val="d4a843"/>
          <w:u w:color="d4a843"/>
          <w:rtl w:val="0"/>
          <w14:textFill>
            <w14:solidFill>
              <w14:srgbClr w14:val="D4A843"/>
            </w14:solidFill>
          </w14:textFill>
        </w:rPr>
        <w:t xml:space="preserve">6.  </w:t>
      </w:r>
      <w:r>
        <w:rPr>
          <w:rFonts w:ascii="Arial" w:hAnsi="Arial"/>
          <w:outline w:val="0"/>
          <w:color w:val="2c2c2c"/>
          <w:u w:color="2c2c2c"/>
          <w:rtl w:val="0"/>
          <w:lang w:val="en-US"/>
          <w14:textFill>
            <w14:solidFill>
              <w14:srgbClr w14:val="2C2C2C"/>
            </w14:solidFill>
          </w14:textFill>
        </w:rPr>
        <w:t>Where Acre Fits: Protocol-Agnostic Vault Infrastructure</w:t>
      </w:r>
    </w:p>
    <w:p>
      <w:pPr>
        <w:pStyle w:val="Body"/>
        <w:bidi w:val="0"/>
      </w:pPr>
      <w:r>
        <w:rPr>
          <w:rFonts w:ascii="Arial" w:hAnsi="Arial"/>
          <w:b w:val="1"/>
          <w:bCs w:val="1"/>
          <w:outline w:val="0"/>
          <w:color w:val="d4a843"/>
          <w:u w:color="d4a843"/>
          <w:rtl w:val="0"/>
          <w14:textFill>
            <w14:solidFill>
              <w14:srgbClr w14:val="D4A843"/>
            </w14:solidFill>
          </w14:textFill>
        </w:rPr>
        <w:t xml:space="preserve">7.  </w:t>
      </w:r>
      <w:r>
        <w:rPr>
          <w:rFonts w:ascii="Arial" w:hAnsi="Arial"/>
          <w:outline w:val="0"/>
          <w:color w:val="2c2c2c"/>
          <w:u w:color="2c2c2c"/>
          <w:rtl w:val="0"/>
          <w:lang w:val="en-US"/>
          <w14:textFill>
            <w14:solidFill>
              <w14:srgbClr w14:val="2C2C2C"/>
            </w14:solidFill>
          </w14:textFill>
        </w:rPr>
        <w:t>Competitive Positioning &amp; Market Opportunity</w:t>
      </w:r>
    </w:p>
    <w:p>
      <w:pPr>
        <w:pStyle w:val="Body"/>
        <w:bidi w:val="0"/>
      </w:pPr>
      <w:r>
        <w:rPr>
          <w:rFonts w:ascii="Arial" w:hAnsi="Arial"/>
          <w:b w:val="1"/>
          <w:bCs w:val="1"/>
          <w:outline w:val="0"/>
          <w:color w:val="d4a843"/>
          <w:u w:color="d4a843"/>
          <w:rtl w:val="0"/>
          <w14:textFill>
            <w14:solidFill>
              <w14:srgbClr w14:val="D4A843"/>
            </w14:solidFill>
          </w14:textFill>
        </w:rPr>
        <w:t xml:space="preserve">8.  </w:t>
      </w:r>
      <w:r>
        <w:rPr>
          <w:rFonts w:ascii="Arial" w:hAnsi="Arial"/>
          <w:outline w:val="0"/>
          <w:color w:val="2c2c2c"/>
          <w:u w:color="2c2c2c"/>
          <w:rtl w:val="0"/>
          <w:lang w:val="en-US"/>
          <w14:textFill>
            <w14:solidFill>
              <w14:srgbClr w14:val="2C2C2C"/>
            </w14:solidFill>
          </w14:textFill>
        </w:rPr>
        <w:t>4-Week Content Strategy: Narrative Arc</w:t>
      </w:r>
    </w:p>
    <w:p>
      <w:pPr>
        <w:pStyle w:val="Body"/>
        <w:bidi w:val="0"/>
      </w:pPr>
      <w:r>
        <w:rPr>
          <w:rFonts w:ascii="Arial" w:hAnsi="Arial"/>
          <w:b w:val="1"/>
          <w:bCs w:val="1"/>
          <w:outline w:val="0"/>
          <w:color w:val="d4a843"/>
          <w:u w:color="d4a843"/>
          <w:rtl w:val="0"/>
          <w14:textFill>
            <w14:solidFill>
              <w14:srgbClr w14:val="D4A843"/>
            </w14:solidFill>
          </w14:textFill>
        </w:rPr>
        <w:t xml:space="preserve">9.  </w:t>
      </w:r>
      <w:r>
        <w:rPr>
          <w:rFonts w:ascii="Arial" w:hAnsi="Arial"/>
          <w:outline w:val="0"/>
          <w:color w:val="2c2c2c"/>
          <w:u w:color="2c2c2c"/>
          <w:rtl w:val="0"/>
          <w:lang w:val="en-US"/>
          <w14:textFill>
            <w14:solidFill>
              <w14:srgbClr w14:val="2C2C2C"/>
            </w14:solidFill>
          </w14:textFill>
        </w:rPr>
        <w:t>Strategic Messaging Framework</w:t>
      </w:r>
    </w:p>
    <w:p>
      <w:pPr>
        <w:pStyle w:val="Body"/>
        <w:bidi w:val="0"/>
      </w:pPr>
      <w:r>
        <w:rPr>
          <w:rFonts w:ascii="Arial" w:hAnsi="Arial"/>
          <w:b w:val="1"/>
          <w:bCs w:val="1"/>
          <w:outline w:val="0"/>
          <w:color w:val="d4a843"/>
          <w:u w:color="d4a843"/>
          <w:rtl w:val="0"/>
          <w14:textFill>
            <w14:solidFill>
              <w14:srgbClr w14:val="D4A843"/>
            </w14:solidFill>
          </w14:textFill>
        </w:rPr>
        <w:t xml:space="preserve">10.  </w:t>
      </w:r>
      <w:r>
        <w:rPr>
          <w:rFonts w:ascii="Arial" w:hAnsi="Arial"/>
          <w:outline w:val="0"/>
          <w:color w:val="2c2c2c"/>
          <w:u w:color="2c2c2c"/>
          <w:rtl w:val="0"/>
          <w:lang w:val="en-US"/>
          <w14:textFill>
            <w14:solidFill>
              <w14:srgbClr w14:val="2C2C2C"/>
            </w14:solidFill>
          </w14:textFill>
        </w:rPr>
        <w:t>Sources &amp; Citations</w:t>
      </w:r>
    </w:p>
    <w:p>
      <w:pPr>
        <w:pStyle w:val="Body"/>
        <w:bidi w:val="0"/>
      </w:pPr>
      <w:r>
        <w:rPr>
          <w:rFonts w:ascii="Arial Unicode MS" w:cs="Arial Unicode MS" w:hAnsi="Arial Unicode MS" w:eastAsia="Arial Unicode MS"/>
          <w:b w:val="0"/>
          <w:bCs w:val="0"/>
          <w:i w:val="0"/>
          <w:iCs w:val="0"/>
        </w:rPr>
        <w:br w:type="page"/>
      </w:r>
    </w:p>
    <w:p>
      <w:pPr>
        <w:pStyle w:val="Heading"/>
      </w:pPr>
      <w:r>
        <w:rPr>
          <w:outline w:val="0"/>
          <w:color w:val="1b2a4a"/>
          <w:u w:color="1b2a4a"/>
          <w:rtl w:val="0"/>
          <w:lang w:val="en-US"/>
          <w14:textFill>
            <w14:solidFill>
              <w14:srgbClr w14:val="1B2A4A"/>
            </w14:solidFill>
          </w14:textFill>
        </w:rPr>
        <w:t>1. Executive Summary</w:t>
      </w:r>
    </w:p>
    <w:p>
      <w:pPr>
        <w:pStyle w:val="Heading"/>
      </w:pPr>
    </w:p>
    <w:p>
      <w:pPr>
        <w:pStyle w:val="Heading"/>
      </w:pPr>
      <w:r>
        <w:rPr>
          <w:outline w:val="0"/>
          <w:color w:val="2c2c2c"/>
          <w:sz w:val="22"/>
          <w:szCs w:val="22"/>
          <w:u w:color="2c2c2c"/>
          <w:rtl w:val="0"/>
          <w:lang w:val="en-US"/>
          <w14:textFill>
            <w14:solidFill>
              <w14:srgbClr w14:val="2C2C2C"/>
            </w14:solidFill>
          </w14:textFill>
        </w:rPr>
        <w:t>A structural transformation is reshaping global finance. The boundaries between banks, technology platforms, and financial infrastructure providers are dissolving as institutions, fintech platforms, and crypto-native companies each attempt to build or acquire banking capabilities. Simultaneously, institutional adoption of Bitcoin and digital assets is accelerating at an unprecedented pace, with 86% of surveyed institutional investors either already holding digital-asset exposure or planning allocations.</w:t>
      </w:r>
    </w:p>
    <w:p>
      <w:pPr>
        <w:pStyle w:val="Heading"/>
      </w:pPr>
      <w:r>
        <w:rPr>
          <w:outline w:val="0"/>
          <w:color w:val="2c2c2c"/>
          <w:sz w:val="22"/>
          <w:szCs w:val="22"/>
          <w:u w:color="2c2c2c"/>
          <w:rtl w:val="0"/>
          <w:lang w:val="en-US"/>
          <w14:textFill>
            <w14:solidFill>
              <w14:srgbClr w14:val="2C2C2C"/>
            </w14:solidFill>
          </w14:textFill>
        </w:rPr>
        <w:t>This convergence creates a defining question for the industry: if everyone wants to be a bank, what does that actually require? At its core, banking has always been defined by six foundational functions: deposits, balance sheet and treasury management, lending and investments, payments infrastructure, customer interface, and risk management and compliance. Historically, only regulated financial institutions could operate across all of these layers. Today, new players are rebuilding these functions using digital infrastructure, blockchain rails, and programmable vaults.</w:t>
      </w:r>
    </w:p>
    <w:p>
      <w:pPr>
        <w:pStyle w:val="Heading"/>
      </w:pPr>
      <w:r>
        <w:rPr>
          <w:outline w:val="0"/>
          <w:color w:val="2c2c2c"/>
          <w:sz w:val="22"/>
          <w:szCs w:val="22"/>
          <w:u w:color="2c2c2c"/>
          <w:rtl w:val="0"/>
          <w:lang w:val="en-US"/>
          <w14:textFill>
            <w14:solidFill>
              <w14:srgbClr w14:val="2C2C2C"/>
            </w14:solidFill>
          </w14:textFill>
        </w:rPr>
        <w:t>Acre sits at the center of this transformation. The protocol provides chain and protocol-agnostic vault infrastructure that removes the complexity of digital asset yield while delivering institution-grade capital management. By enabling Bitcoin holders to deposit BTC and access automated yield strategies through a simple interface, Acre effectively becomes the balance sheet and investment layer for digital asset capital.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985"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b2a4a"/>
                <w:sz w:val="28"/>
                <w:szCs w:val="28"/>
                <w:u w:color="1b2a4a"/>
                <w:shd w:val="nil" w:color="auto" w:fill="auto"/>
                <w:rtl w:val="0"/>
                <w:lang w:val="en-US"/>
                <w14:textFill>
                  <w14:solidFill>
                    <w14:srgbClr w14:val="1B2A4A"/>
                  </w14:solidFill>
                </w14:textFill>
              </w:rPr>
              <w:t>$115B+</w:t>
            </w:r>
          </w:p>
          <w:p>
            <w:pPr>
              <w:pStyle w:val="Default"/>
              <w:tabs>
                <w:tab w:val="left" w:pos="720"/>
                <w:tab w:val="left" w:pos="1440"/>
                <w:tab w:val="left" w:pos="2160"/>
                <w:tab w:val="left" w:pos="2880"/>
              </w:tabs>
            </w:pPr>
            <w:r>
              <w:rPr>
                <w:rFonts w:ascii="Arial" w:hAnsi="Arial"/>
                <w:outline w:val="0"/>
                <w:color w:val="666666"/>
                <w:sz w:val="18"/>
                <w:szCs w:val="18"/>
                <w:u w:color="666666"/>
                <w:shd w:val="nil" w:color="auto" w:fill="auto"/>
                <w:rtl w:val="0"/>
                <w:lang w:val="en-US"/>
                <w14:textFill>
                  <w14:solidFill>
                    <w14:srgbClr w14:val="666666"/>
                  </w14:solidFill>
                </w14:textFill>
              </w:rPr>
              <w:t>Spot Bitcoin ETF AUM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b2a4a"/>
                <w:sz w:val="28"/>
                <w:szCs w:val="28"/>
                <w:u w:color="1b2a4a"/>
                <w:shd w:val="nil" w:color="auto" w:fill="auto"/>
                <w:rtl w:val="0"/>
                <w14:textFill>
                  <w14:solidFill>
                    <w14:srgbClr w14:val="1B2A4A"/>
                  </w14:solidFill>
                </w14:textFill>
              </w:rPr>
              <w:t>86%</w:t>
            </w:r>
          </w:p>
          <w:p>
            <w:pPr>
              <w:pStyle w:val="Default"/>
              <w:tabs>
                <w:tab w:val="left" w:pos="720"/>
                <w:tab w:val="left" w:pos="1440"/>
                <w:tab w:val="left" w:pos="2160"/>
                <w:tab w:val="left" w:pos="2880"/>
              </w:tabs>
            </w:pPr>
            <w:r>
              <w:rPr>
                <w:rFonts w:ascii="Arial" w:hAnsi="Arial"/>
                <w:outline w:val="0"/>
                <w:color w:val="666666"/>
                <w:sz w:val="18"/>
                <w:szCs w:val="18"/>
                <w:u w:color="666666"/>
                <w:shd w:val="nil" w:color="auto" w:fill="auto"/>
                <w:rtl w:val="0"/>
                <w:lang w:val="en-US"/>
                <w14:textFill>
                  <w14:solidFill>
                    <w14:srgbClr w14:val="666666"/>
                  </w14:solidFill>
                </w14:textFill>
              </w:rPr>
              <w:t>Institutional Investors Planning Allocation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b2a4a"/>
                <w:sz w:val="28"/>
                <w:szCs w:val="28"/>
                <w:u w:color="1b2a4a"/>
                <w:shd w:val="nil" w:color="auto" w:fill="auto"/>
                <w:rtl w:val="0"/>
                <w14:textFill>
                  <w14:solidFill>
                    <w14:srgbClr w14:val="1B2A4A"/>
                  </w14:solidFill>
                </w14:textFill>
              </w:rPr>
              <w:t>200+</w:t>
            </w:r>
          </w:p>
          <w:p>
            <w:pPr>
              <w:pStyle w:val="Default"/>
              <w:tabs>
                <w:tab w:val="left" w:pos="720"/>
                <w:tab w:val="left" w:pos="1440"/>
                <w:tab w:val="left" w:pos="2160"/>
                <w:tab w:val="left" w:pos="2880"/>
              </w:tabs>
            </w:pPr>
            <w:r>
              <w:rPr>
                <w:rFonts w:ascii="Arial" w:hAnsi="Arial"/>
                <w:outline w:val="0"/>
                <w:color w:val="666666"/>
                <w:sz w:val="18"/>
                <w:szCs w:val="18"/>
                <w:u w:color="666666"/>
                <w:shd w:val="nil" w:color="auto" w:fill="auto"/>
                <w:rtl w:val="0"/>
                <w:lang w:val="en-US"/>
                <w14:textFill>
                  <w14:solidFill>
                    <w14:srgbClr w14:val="666666"/>
                  </w14:solidFill>
                </w14:textFill>
              </w:rPr>
              <w:t>Public Companies with BTC Treasury</w:t>
            </w:r>
          </w:p>
        </w:tc>
      </w:tr>
    </w:tbl>
    <w:p>
      <w:pPr>
        <w:pStyle w:val="Heading"/>
        <w:widowControl w:val="0"/>
      </w:pPr>
    </w:p>
    <w:p>
      <w:pPr>
        <w:pStyle w:val="Heading"/>
        <w:widowControl w:val="0"/>
      </w:pPr>
    </w:p>
    <w:p>
      <w:pPr>
        <w:pStyle w:val="Heading"/>
        <w:widowControl w:val="0"/>
      </w:pPr>
      <w:r>
        <w:rPr>
          <w:outline w:val="0"/>
          <w:color w:val="2c2c2c"/>
          <w:sz w:val="22"/>
          <w:szCs w:val="22"/>
          <w:u w:color="2c2c2c"/>
          <w:rtl w:val="0"/>
          <w:lang w:val="en-US"/>
          <w14:textFill>
            <w14:solidFill>
              <w14:srgbClr w14:val="2C2C2C"/>
            </w14:solidFill>
          </w14:textFill>
        </w:rPr>
        <w:t>This report provides a comprehensive research foundation and 4-week content strategy to position Acre as the definitive infrastructure layer for institutional Bitcoin capital allocation. The content arc will explore why institutions are entering Bitcoin, what traditional finance professionals actually do when evaluating digital assets, how financial infrastructure is evolving, and why vault infrastructure will become a foundational layer of digital finance.</w:t>
      </w: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2a4a"/>
          <w:u w:color="1b2a4a"/>
          <w:rtl w:val="0"/>
          <w:lang w:val="en-US"/>
          <w14:textFill>
            <w14:solidFill>
              <w14:srgbClr w14:val="1B2A4A"/>
            </w14:solidFill>
          </w14:textFill>
        </w:rPr>
        <w:t>2. The Macro Landscape: Everyone Wants to Be a Bank</w:t>
      </w:r>
    </w:p>
    <w:p>
      <w:pPr>
        <w:pStyle w:val="Heading"/>
      </w:pPr>
    </w:p>
    <w:p>
      <w:pPr>
        <w:pStyle w:val="Heading"/>
      </w:pPr>
      <w:r>
        <w:rPr>
          <w:outline w:val="0"/>
          <w:color w:val="2c2c2c"/>
          <w:sz w:val="22"/>
          <w:szCs w:val="22"/>
          <w:u w:color="2c2c2c"/>
          <w:rtl w:val="0"/>
          <w:lang w:val="en-US"/>
          <w14:textFill>
            <w14:solidFill>
              <w14:srgbClr w14:val="2C2C2C"/>
            </w14:solidFill>
          </w14:textFill>
        </w:rPr>
        <w:t>Across financial markets, a convergence is taking place that would have been unimaginable five years ago. Multiple categories of organizations, from consumer payment apps to crypto protocols to sovereign wealth funds, are expanding into banking functions. The result is a wholesale redefinition of what it means to be a financial institution.</w:t>
      </w:r>
    </w:p>
    <w:p>
      <w:pPr>
        <w:pStyle w:val="Heading 2"/>
      </w:pPr>
      <w:r>
        <w:rPr>
          <w:outline w:val="0"/>
          <w:color w:val="1b2a4a"/>
          <w:u w:color="1b2a4a"/>
          <w:rtl w:val="0"/>
          <w:lang w:val="en-US"/>
          <w14:textFill>
            <w14:solidFill>
              <w14:srgbClr w14:val="1B2A4A"/>
            </w14:solidFill>
          </w14:textFill>
        </w:rPr>
        <w:t>2.1 Fintech Platforms Becoming Banks</w:t>
      </w:r>
    </w:p>
    <w:p>
      <w:pPr>
        <w:pStyle w:val="Heading 2"/>
      </w:pPr>
      <w:r>
        <w:rPr>
          <w:outline w:val="0"/>
          <w:color w:val="2c2c2c"/>
          <w:sz w:val="22"/>
          <w:szCs w:val="22"/>
          <w:u w:color="2c2c2c"/>
          <w:rtl w:val="0"/>
          <w:lang w:val="en-US"/>
          <w14:textFill>
            <w14:solidFill>
              <w14:srgbClr w14:val="2C2C2C"/>
            </w14:solidFill>
          </w14:textFill>
        </w:rPr>
        <w:t>Consumer fintech platforms have evolved far beyond their original payment processing roots. PayPal and Venmo collectively process over $1.5 trillion in annual payment volume, with Venmo reaching approximately 90 million active accounts. These platforms now offer payments, custody, investing, savings products, and direct crypto exposure, effectively operating as consumer-facing digital banks.</w:t>
      </w:r>
    </w:p>
    <w:p>
      <w:pPr>
        <w:pStyle w:val="Heading 2"/>
      </w:pPr>
      <w:r>
        <w:rPr>
          <w:outline w:val="0"/>
          <w:color w:val="2c2c2c"/>
          <w:sz w:val="22"/>
          <w:szCs w:val="22"/>
          <w:u w:color="2c2c2c"/>
          <w:rtl w:val="0"/>
          <w:lang w:val="en-US"/>
          <w14:textFill>
            <w14:solidFill>
              <w14:srgbClr w14:val="2C2C2C"/>
            </w14:solidFill>
          </w14:textFill>
        </w:rPr>
        <w:t>Robinhood has assembled a vertically integrated financial stack spanning trading, crypto infrastructure, deposits, and credit. In the first nine months of 2025, the platform saw crypto transaction revenues surge 154% year over year to $680 million. The platform now offers stock and options trading, cryptocurrency trading for over 15 digital assets, retirement accounts, cash management, and credit card services.</w:t>
      </w:r>
    </w:p>
    <w:p>
      <w:pPr>
        <w:pStyle w:val="Heading 2"/>
      </w:pPr>
      <w:r>
        <w:rPr>
          <w:outline w:val="0"/>
          <w:color w:val="2c2c2c"/>
          <w:sz w:val="22"/>
          <w:szCs w:val="22"/>
          <w:u w:color="2c2c2c"/>
          <w:rtl w:val="0"/>
          <w:lang w:val="en-US"/>
          <w14:textFill>
            <w14:solidFill>
              <w14:srgbClr w14:val="2C2C2C"/>
            </w14:solidFill>
          </w14:textFill>
        </w:rPr>
        <w:t>When measured against U.S. standards, fintech giants like Revolut, SoFi, and Nubank would each rank in the top 1.5% of American banks, each approaching $30 billion in deposits. In payments, Stripe and Adyen were tied for fifth among global merchant acquirers, each processing around $1.4 trillion in total payment volume.</w:t>
      </w:r>
    </w:p>
    <w:p>
      <w:pPr>
        <w:pStyle w:val="Heading 2"/>
      </w:pPr>
      <w:r>
        <w:rPr>
          <w:outline w:val="0"/>
          <w:color w:val="1b2a4a"/>
          <w:u w:color="1b2a4a"/>
          <w:rtl w:val="0"/>
          <w:lang w:val="en-US"/>
          <w14:textFill>
            <w14:solidFill>
              <w14:srgbClr w14:val="1B2A4A"/>
            </w14:solidFill>
          </w14:textFill>
        </w:rPr>
        <w:t>2.2 Crypto Infrastructure Companies Entering Traditional Finance</w:t>
      </w:r>
    </w:p>
    <w:p>
      <w:pPr>
        <w:pStyle w:val="Heading 2"/>
      </w:pPr>
      <w:r>
        <w:rPr>
          <w:outline w:val="0"/>
          <w:color w:val="2c2c2c"/>
          <w:sz w:val="22"/>
          <w:szCs w:val="22"/>
          <w:u w:color="2c2c2c"/>
          <w:rtl w:val="0"/>
          <w:lang w:val="en-US"/>
          <w14:textFill>
            <w14:solidFill>
              <w14:srgbClr w14:val="2C2C2C"/>
            </w14:solidFill>
          </w14:textFill>
        </w:rPr>
        <w:t>In a landmark development, eleven crypto and fintech companies filed for federal bank charters with the OCC within just 83 days. In December 2025, the OCC granted conditional approvals to five companies simultaneously: Ripple, Circle (filing as First National Digital Currency Bank), BitGo, Fidelity Digital Assets, and Paxos. This was the first time the OCC had approved multiple crypto-native firms at once.</w:t>
      </w:r>
    </w:p>
    <w:p>
      <w:pPr>
        <w:pStyle w:val="Heading 2"/>
      </w:pPr>
      <w:r>
        <w:rPr>
          <w:outline w:val="0"/>
          <w:color w:val="2c2c2c"/>
          <w:sz w:val="22"/>
          <w:szCs w:val="22"/>
          <w:u w:color="2c2c2c"/>
          <w:rtl w:val="0"/>
          <w:lang w:val="en-US"/>
          <w14:textFill>
            <w14:solidFill>
              <w14:srgbClr w14:val="2C2C2C"/>
            </w14:solidFill>
          </w14:textFill>
        </w:rPr>
        <w:t>By February 2026, three additional conditional approvals followed: Bridge (Stripe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stablecoin subsidiary), Protego, and Crypto.com. This wave represents a critical moment where crypto-native companies are no longer providing alternatives to traditional banking but are building its next phase. A federal trust charter gives these companies direct access to infrastructure they previously rented, with a regulatory relationship they own directly.</w:t>
      </w:r>
    </w:p>
    <w:p>
      <w:pPr>
        <w:pStyle w:val="Heading 2"/>
      </w:pPr>
      <w:r>
        <w:rPr>
          <w:outline w:val="0"/>
          <w:color w:val="1b2a4a"/>
          <w:u w:color="1b2a4a"/>
          <w:rtl w:val="0"/>
          <w:lang w:val="de-DE"/>
          <w14:textFill>
            <w14:solidFill>
              <w14:srgbClr w14:val="1B2A4A"/>
            </w14:solidFill>
          </w14:textFill>
        </w:rPr>
        <w:t>2.3 Traditional Banks Entering Digital Assets</w:t>
      </w:r>
    </w:p>
    <w:p>
      <w:pPr>
        <w:pStyle w:val="Heading 2"/>
      </w:pPr>
      <w:r>
        <w:rPr>
          <w:outline w:val="0"/>
          <w:color w:val="2c2c2c"/>
          <w:sz w:val="22"/>
          <w:szCs w:val="22"/>
          <w:u w:color="2c2c2c"/>
          <w:rtl w:val="0"/>
          <w:lang w:val="en-US"/>
          <w14:textFill>
            <w14:solidFill>
              <w14:srgbClr w14:val="2C2C2C"/>
            </w14:solidFill>
          </w14:textFill>
        </w:rPr>
        <w:t>The movement is bidirectional. Over 120 banks worldwide now offer live crypto banking services, with crypto-related partnerships growing more than 50% since 2022. Major institutions are leading the charge:</w:t>
      </w:r>
    </w:p>
    <w:p>
      <w:pPr>
        <w:pStyle w:val="List Paragraph"/>
        <w:numPr>
          <w:ilvl w:val="0"/>
          <w:numId w:val="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Citigroup plans to launch institutional bitcoin custody later in 2026, integrating crypto into the same custody, reporting, and tax frameworks used for traditional assets.</w:t>
      </w:r>
    </w:p>
    <w:p>
      <w:pPr>
        <w:pStyle w:val="List Paragraph"/>
        <w:numPr>
          <w:ilvl w:val="0"/>
          <w:numId w:val="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BlackRock expanded its European digital-asset offering in 2025 and continues developing tokenized bond strategies under its BUIDL framework. Its IBIT Bitcoin ETF manages approximately $75 billion.</w:t>
      </w:r>
    </w:p>
    <w:p>
      <w:pPr>
        <w:pStyle w:val="List Paragraph"/>
        <w:numPr>
          <w:ilvl w:val="0"/>
          <w:numId w:val="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JPMorgan runs its Onyx platform for tokenized payments and securities, using JPM Coin for intraday settlement among institutional clients.</w:t>
      </w:r>
    </w:p>
    <w:p>
      <w:pPr>
        <w:pStyle w:val="List Paragraph"/>
        <w:numPr>
          <w:ilvl w:val="0"/>
          <w:numId w:val="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Mastercard supports crypto and stablecoin payments at over 150 million merchants via more than 100 crypto-focused card programs.</w:t>
      </w:r>
    </w:p>
    <w:p>
      <w:pPr>
        <w:pStyle w:val="Heading 2"/>
      </w:pPr>
      <w:r>
        <w:rPr>
          <w:outline w:val="0"/>
          <w:color w:val="1b2a4a"/>
          <w:u w:color="1b2a4a"/>
          <w:rtl w:val="0"/>
          <w:lang w:val="en-US"/>
          <w14:textFill>
            <w14:solidFill>
              <w14:srgbClr w14:val="1B2A4A"/>
            </w14:solidFill>
          </w14:textFill>
        </w:rPr>
        <w:t>2.4 Corporate Bitcoin Treasury Adoption</w:t>
      </w:r>
    </w:p>
    <w:p>
      <w:pPr>
        <w:pStyle w:val="Heading 2"/>
      </w:pPr>
      <w:r>
        <w:rPr>
          <w:outline w:val="0"/>
          <w:color w:val="2c2c2c"/>
          <w:sz w:val="22"/>
          <w:szCs w:val="22"/>
          <w:u w:color="2c2c2c"/>
          <w:rtl w:val="0"/>
          <w:lang w:val="en-US"/>
          <w14:textFill>
            <w14:solidFill>
              <w14:srgbClr w14:val="2C2C2C"/>
            </w14:solidFill>
          </w14:textFill>
        </w:rPr>
        <w:t>Corporate treasury strategies involving Bitcoin have expanded dramatically. As of early 2026, approximately 200 publicly listed companies hold Bitcoin on their balance sheets, nearly tripling from the prior year. Strategy (formerly MicroStrategy) holds 738,731 bitcoins with a total cost basis of $33.1 billion, making it the largest corporate holder. The company raised $25.3 billion in capital in 2025 alone to advance its Bitcoin treasury strategy.</w:t>
      </w:r>
    </w:p>
    <w:p>
      <w:pPr>
        <w:pStyle w:val="Heading 2"/>
      </w:pPr>
      <w:r>
        <w:rPr>
          <w:outline w:val="0"/>
          <w:color w:val="2c2c2c"/>
          <w:sz w:val="22"/>
          <w:szCs w:val="22"/>
          <w:u w:color="2c2c2c"/>
          <w:rtl w:val="0"/>
          <w:lang w:val="en-US"/>
          <w14:textFill>
            <w14:solidFill>
              <w14:srgbClr w14:val="2C2C2C"/>
            </w14:solidFill>
          </w14:textFill>
        </w:rPr>
        <w:t>GameStop issued $1.75 billion in convertible notes to purchase bitcoin, becoming the 13th-largest corporate holder with 4,710 BTC. Across the market, 61 publicly listed companies have adopted bitcoin treasury strategies with collective holdings of 848,100 BTC in the first half of 2025, representing approximately 4% of total bitcoin supply.</w:t>
      </w:r>
    </w:p>
    <w:p>
      <w:pPr>
        <w:pStyle w:val="Heading 2"/>
      </w:pPr>
      <w:r>
        <w:rPr>
          <w:outline w:val="0"/>
          <w:color w:val="2c2c2c"/>
          <w:sz w:val="22"/>
          <w:szCs w:val="22"/>
          <w:u w:color="2c2c2c"/>
          <w:rtl w:val="0"/>
          <w:lang w:val="en-US"/>
          <w14:textFill>
            <w14:solidFill>
              <w14:srgbClr w14:val="2C2C2C"/>
            </w14:solidFill>
          </w14:textFill>
        </w:rPr>
        <w:t>The Bitcoin for Corporations network, hosted by Strategy Inc., now represents 38 member companies that collectively hold 69% of all corporate Bitcoin holdings. The movement hosts four global symposiums per year, providing institutional-grade education and operational frameworks for corporate Bitcoin strategy.</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2a4a"/>
          <w:u w:color="1b2a4a"/>
          <w:rtl w:val="0"/>
          <w:lang w:val="en-US"/>
          <w14:textFill>
            <w14:solidFill>
              <w14:srgbClr w14:val="1B2A4A"/>
            </w14:solidFill>
          </w14:textFill>
        </w:rPr>
        <w:t>3. What Actually Defines a Bank in 2026</w:t>
      </w:r>
    </w:p>
    <w:p>
      <w:pPr>
        <w:pStyle w:val="Heading"/>
      </w:pPr>
    </w:p>
    <w:p>
      <w:pPr>
        <w:pStyle w:val="Heading"/>
      </w:pPr>
      <w:r>
        <w:rPr>
          <w:outline w:val="0"/>
          <w:color w:val="2c2c2c"/>
          <w:sz w:val="22"/>
          <w:szCs w:val="22"/>
          <w:u w:color="2c2c2c"/>
          <w:rtl w:val="0"/>
          <w:lang w:val="en-US"/>
          <w14:textFill>
            <w14:solidFill>
              <w14:srgbClr w14:val="2C2C2C"/>
            </w14:solidFill>
          </w14:textFill>
        </w:rPr>
        <w:t>A bank is fundamentally a financial intermediary that collects deposits and reallocates capital into loans and investments. While the form factor is changing, from physical branches to apps to protocols, the core functions remain constant. Understanding these functions is essential to understanding where 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vault infrastructure fits in the emerging financial architecture.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Core Function</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Definition &amp; Digital Asset Parallel</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Deposits (Funding)</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Customers deposit capital for safekeeping and liquidity. In digital assets, this maps to vault deposits and staking mechanisms.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Balance Sheet / Treasury</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Banks manage deposited capital and allocate it into assets. Acre</w:t>
            </w:r>
            <w:r>
              <w:rPr>
                <w:rFonts w:ascii="Arial" w:hAnsi="Arial" w:hint="default"/>
                <w:outline w:val="0"/>
                <w:color w:val="2c2c2c"/>
                <w:sz w:val="20"/>
                <w:szCs w:val="20"/>
                <w:u w:color="2c2c2c"/>
                <w:shd w:val="nil" w:color="auto" w:fill="auto"/>
                <w:rtl w:val="1"/>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s vault infrastructure serves this function for Bitcoin capital.</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Lending &amp; Investments</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Banks lend funds or invest in financial assets to generate returns. DeFi protocols enable automated yield strategies across lending and liquidity provision.</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Payments Infrastructure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Banks operate or connect to payment systems. Stablecoins and blockchain rails are rebuilding this layer, with the stablecoin market surpassing $300B.</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Customer Interface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Banks provide tools for customers to access services. Protocol frontends and wallet integrations serve this role in digital finance.</w:t>
            </w:r>
          </w:p>
        </w:tc>
      </w:tr>
      <w:tr>
        <w:tblPrEx>
          <w:shd w:val="clear" w:color="auto" w:fill="ced7e7"/>
        </w:tblPrEx>
        <w:trPr>
          <w:trHeight w:val="741"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Risk &amp; Compliance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Regulation and risk management protect depositors. On-chain security councils, curator vetting, and exposure limits provide analogous protections.</w:t>
            </w:r>
          </w:p>
        </w:tc>
      </w:tr>
    </w:tbl>
    <w:p>
      <w:pPr>
        <w:pStyle w:val="Heading"/>
        <w:widowControl w:val="0"/>
      </w:pPr>
    </w:p>
    <w:p>
      <w:pPr>
        <w:pStyle w:val="Heading"/>
        <w:widowControl w:val="0"/>
      </w:pPr>
    </w:p>
    <w:p>
      <w:pPr>
        <w:pStyle w:val="Heading"/>
        <w:widowControl w:val="0"/>
      </w:pPr>
      <w:r>
        <w:rPr>
          <w:outline w:val="0"/>
          <w:color w:val="2c2c2c"/>
          <w:sz w:val="22"/>
          <w:szCs w:val="22"/>
          <w:u w:color="2c2c2c"/>
          <w:rtl w:val="0"/>
          <w:lang w:val="en-US"/>
          <w14:textFill>
            <w14:solidFill>
              <w14:srgbClr w14:val="2C2C2C"/>
            </w14:solidFill>
          </w14:textFill>
        </w:rPr>
        <w:t>The critical insight is that these layers are now being rebuilt across digital infrastructure. No single entity needs to own all six functions. Instead, specialized protocols and platforms can own individual layers, composing together to create a full financial stack. This modular architecture is where 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vault infrastructure becomes foundational.</w:t>
      </w: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2a4a"/>
          <w:u w:color="1b2a4a"/>
          <w:rtl w:val="0"/>
          <w:lang w:val="en-US"/>
          <w14:textFill>
            <w14:solidFill>
              <w14:srgbClr w14:val="1B2A4A"/>
            </w14:solidFill>
          </w14:textFill>
        </w:rPr>
        <w:t>4. The Institutional Bitcoin Adoption Wave</w:t>
      </w:r>
    </w:p>
    <w:p>
      <w:pPr>
        <w:pStyle w:val="Heading"/>
      </w:pPr>
    </w:p>
    <w:p>
      <w:pPr>
        <w:pStyle w:val="Heading 2"/>
      </w:pPr>
      <w:r>
        <w:rPr>
          <w:outline w:val="0"/>
          <w:color w:val="1b2a4a"/>
          <w:u w:color="1b2a4a"/>
          <w:rtl w:val="0"/>
          <w:lang w:val="en-US"/>
          <w14:textFill>
            <w14:solidFill>
              <w14:srgbClr w14:val="1B2A4A"/>
            </w14:solidFill>
          </w14:textFill>
        </w:rPr>
        <w:t>4.1 The Scale of Institutional Demand</w:t>
      </w:r>
    </w:p>
    <w:p>
      <w:pPr>
        <w:pStyle w:val="Heading 2"/>
      </w:pPr>
      <w:r>
        <w:rPr>
          <w:outline w:val="0"/>
          <w:color w:val="2c2c2c"/>
          <w:sz w:val="22"/>
          <w:szCs w:val="22"/>
          <w:u w:color="2c2c2c"/>
          <w:rtl w:val="0"/>
          <w:lang w:val="en-US"/>
          <w14:textFill>
            <w14:solidFill>
              <w14:srgbClr w14:val="2C2C2C"/>
            </w14:solidFill>
          </w14:textFill>
        </w:rPr>
        <w:t>Institutional Bitcoin adoption has reached an inflection point. According to multiple industry surveys, 86% of institutional investors either already have digital-asset exposure or are planning allocations, while 96% believe in the long-term value of blockchain and digital assets. Spot Bitcoin ETFs have emerged as the primary vehicle for institutional access, managing over $115 billion in combined assets by late 2025.</w:t>
      </w:r>
    </w:p>
    <w:p>
      <w:pPr>
        <w:pStyle w:val="Heading 2"/>
      </w:pPr>
      <w:r>
        <w:rPr>
          <w:outline w:val="0"/>
          <w:color w:val="2c2c2c"/>
          <w:sz w:val="22"/>
          <w:szCs w:val="22"/>
          <w:u w:color="2c2c2c"/>
          <w:rtl w:val="0"/>
          <w:lang w:val="en-US"/>
          <w14:textFill>
            <w14:solidFill>
              <w14:srgbClr w14:val="2C2C2C"/>
            </w14:solidFill>
          </w14:textFill>
        </w:rPr>
        <w:t>BlackRock</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IBIT fund alone manages approximately $75 billion, with Fidelity</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FBTC exceeding $20 billion. On a single day in October 2025, spot Bitcoin ETF inflows reached $1.21 billion, propelling the price to a then-record $126,000. Grayscale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2026 outlook describes this as the beginning of a structural shift where Bitcoin increasingly resembles a strategic reserve asset rather than a speculative trade.</w:t>
      </w:r>
    </w:p>
    <w:p>
      <w:pPr>
        <w:pStyle w:val="Heading 2"/>
      </w:pPr>
      <w:r>
        <w:rPr>
          <w:outline w:val="0"/>
          <w:color w:val="1b2a4a"/>
          <w:u w:color="1b2a4a"/>
          <w:rtl w:val="0"/>
          <w:lang w:val="en-US"/>
          <w14:textFill>
            <w14:solidFill>
              <w14:srgbClr w14:val="1B2A4A"/>
            </w14:solidFill>
          </w14:textFill>
        </w:rPr>
        <w:t>4.2 Regulatory Catalysts Accelerating Adoption</w:t>
      </w:r>
    </w:p>
    <w:p>
      <w:pPr>
        <w:pStyle w:val="Heading 2"/>
      </w:pPr>
      <w:r>
        <w:rPr>
          <w:outline w:val="0"/>
          <w:color w:val="2c2c2c"/>
          <w:sz w:val="22"/>
          <w:szCs w:val="22"/>
          <w:u w:color="2c2c2c"/>
          <w:rtl w:val="0"/>
          <w:lang w:val="en-US"/>
          <w14:textFill>
            <w14:solidFill>
              <w14:srgbClr w14:val="2C2C2C"/>
            </w14:solidFill>
          </w14:textFill>
        </w:rPr>
        <w:t>Regulatory clarity has been a significant accelerator. In 2025, the U.S. passed the GENIUS Act governing stablecoins, rescinded SEC Staff Accounting Bulletin 121 on custody requirements, introduced Generic Listing Standards for crypto ETPs, and began addressing traditional banking access for the crypto industry. The EU</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Markets in Crypto-Assets (MiCA) regulation, fully implemented in 2025, provided a harmonized framework for crypto-asset service providers across Europe.</w:t>
      </w:r>
    </w:p>
    <w:p>
      <w:pPr>
        <w:pStyle w:val="Heading 2"/>
      </w:pPr>
      <w:r>
        <w:rPr>
          <w:outline w:val="0"/>
          <w:color w:val="2c2c2c"/>
          <w:sz w:val="22"/>
          <w:szCs w:val="22"/>
          <w:u w:color="2c2c2c"/>
          <w:rtl w:val="0"/>
          <w:lang w:val="en-US"/>
          <w14:textFill>
            <w14:solidFill>
              <w14:srgbClr w14:val="2C2C2C"/>
            </w14:solidFill>
          </w14:textFill>
        </w:rPr>
        <w:t>Looking ahead to 2026, Grayscale expects Congress to pass bipartisan crypto market structure legislation, which would further cement blockchain-based finance in U.S. capital markets. The regulatory environment has shifted from adversarial to constructive, removing one of the largest barriers to institutional participation.</w:t>
      </w:r>
    </w:p>
    <w:p>
      <w:pPr>
        <w:pStyle w:val="Heading 2"/>
      </w:pPr>
      <w:r>
        <w:rPr>
          <w:outline w:val="0"/>
          <w:color w:val="1b2a4a"/>
          <w:u w:color="1b2a4a"/>
          <w:rtl w:val="0"/>
          <w:lang w:val="en-US"/>
          <w14:textFill>
            <w14:solidFill>
              <w14:srgbClr w14:val="1B2A4A"/>
            </w14:solidFill>
          </w14:textFill>
        </w:rPr>
        <w:t>4.3 The Infrastructure Gap</w:t>
      </w:r>
    </w:p>
    <w:p>
      <w:pPr>
        <w:pStyle w:val="Heading 2"/>
      </w:pPr>
      <w:r>
        <w:rPr>
          <w:outline w:val="0"/>
          <w:color w:val="2c2c2c"/>
          <w:sz w:val="22"/>
          <w:szCs w:val="22"/>
          <w:u w:color="2c2c2c"/>
          <w:rtl w:val="0"/>
          <w:lang w:val="en-US"/>
          <w14:textFill>
            <w14:solidFill>
              <w14:srgbClr w14:val="2C2C2C"/>
            </w14:solidFill>
          </w14:textFill>
        </w:rPr>
        <w:t>Despite the massive demand, a critical infrastructure gap persists. Institutions want exposure to digital assets, but the operational complexity of custody, yield generation, and multi-chain management remains a significant barrier. The IMF notes that institutional custody failures often stem not from blockchain vulnerabilities but from insufficient internal controls, unclear authorization structures, and inconsistent incident-response planning.</w:t>
      </w:r>
    </w:p>
    <w:p>
      <w:pPr>
        <w:pStyle w:val="Heading 2"/>
      </w:pPr>
      <w:r>
        <w:rPr>
          <w:outline w:val="0"/>
          <w:color w:val="2c2c2c"/>
          <w:sz w:val="22"/>
          <w:szCs w:val="22"/>
          <w:u w:color="2c2c2c"/>
          <w:rtl w:val="0"/>
          <w:lang w:val="en-US"/>
          <w14:textFill>
            <w14:solidFill>
              <w14:srgbClr w14:val="2C2C2C"/>
            </w14:solidFill>
          </w14:textFill>
        </w:rPr>
        <w:t>Institutions must implement advanced custody architectures where keys cannot be held by individuals, approvals require multi-layer governance, and every action must comply with regulatory mandates and audit trails. This complexity is precisely what 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vault infrastructure is designed to abstract away.</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2a4a"/>
          <w:u w:color="1b2a4a"/>
          <w:rtl w:val="0"/>
          <w:lang w:val="en-US"/>
          <w14:textFill>
            <w14:solidFill>
              <w14:srgbClr w14:val="1B2A4A"/>
            </w14:solidFill>
          </w14:textFill>
        </w:rPr>
        <w:t>5. The Infrastructure Gap: Why Institutions Need Vault Infrastructure</w:t>
      </w:r>
    </w:p>
    <w:p>
      <w:pPr>
        <w:pStyle w:val="Heading"/>
      </w:pPr>
    </w:p>
    <w:p>
      <w:pPr>
        <w:pStyle w:val="Heading"/>
      </w:pPr>
      <w:r>
        <w:rPr>
          <w:outline w:val="0"/>
          <w:color w:val="2c2c2c"/>
          <w:sz w:val="22"/>
          <w:szCs w:val="22"/>
          <w:u w:color="2c2c2c"/>
          <w:rtl w:val="0"/>
          <w:lang w:val="en-US"/>
          <w14:textFill>
            <w14:solidFill>
              <w14:srgbClr w14:val="2C2C2C"/>
            </w14:solidFill>
          </w14:textFill>
        </w:rPr>
        <w:t>The gap between institutional demand for digital assets and the infrastructure available to serve that demand represents one of the largest opportunities in financial technology. While capital wants to flow into Bitcoin and digital assets, the tooling, custody solutions, and yield infrastructure required for professional capital management are still maturing.</w:t>
      </w:r>
    </w:p>
    <w:p>
      <w:pPr>
        <w:pStyle w:val="Heading 2"/>
      </w:pPr>
      <w:r>
        <w:rPr>
          <w:outline w:val="0"/>
          <w:color w:val="1b2a4a"/>
          <w:u w:color="1b2a4a"/>
          <w:rtl w:val="0"/>
          <w:lang w:val="en-US"/>
          <w14:textFill>
            <w14:solidFill>
              <w14:srgbClr w14:val="1B2A4A"/>
            </w14:solidFill>
          </w14:textFill>
        </w:rPr>
        <w:t>5.1 Current Custody Landscape</w:t>
      </w:r>
    </w:p>
    <w:p>
      <w:pPr>
        <w:pStyle w:val="Heading 2"/>
      </w:pPr>
      <w:r>
        <w:rPr>
          <w:outline w:val="0"/>
          <w:color w:val="2c2c2c"/>
          <w:sz w:val="22"/>
          <w:szCs w:val="22"/>
          <w:u w:color="2c2c2c"/>
          <w:rtl w:val="0"/>
          <w:lang w:val="en-US"/>
          <w14:textFill>
            <w14:solidFill>
              <w14:srgbClr w14:val="2C2C2C"/>
            </w14:solidFill>
          </w14:textFill>
        </w:rPr>
        <w:t>The institutional custody market is evolving rapidly but remains fragmented. Citigroup is building institutional bitcoin custody for a 2026 rollout, aiming to integrate crypto into the same frameworks used for traditional assets. Fidelity provides direct custody and execution, while newer entrants like BitGo and Anchorage serve the crypto-native market. Hybrid custody models, blending centralized oversight with distributed key management, are emerging as the institutional middle ground.</w:t>
      </w:r>
    </w:p>
    <w:p>
      <w:pPr>
        <w:pStyle w:val="Heading 2"/>
      </w:pPr>
      <w:r>
        <w:rPr>
          <w:outline w:val="0"/>
          <w:color w:val="1b2a4a"/>
          <w:u w:color="1b2a4a"/>
          <w:rtl w:val="0"/>
          <w:lang w:val="en-US"/>
          <w14:textFill>
            <w14:solidFill>
              <w14:srgbClr w14:val="1B2A4A"/>
            </w14:solidFill>
          </w14:textFill>
        </w:rPr>
        <w:t>5.2 The Yield Infrastructure Challenge</w:t>
      </w:r>
    </w:p>
    <w:p>
      <w:pPr>
        <w:pStyle w:val="Heading 2"/>
      </w:pPr>
      <w:r>
        <w:rPr>
          <w:outline w:val="0"/>
          <w:color w:val="2c2c2c"/>
          <w:sz w:val="22"/>
          <w:szCs w:val="22"/>
          <w:u w:color="2c2c2c"/>
          <w:rtl w:val="0"/>
          <w:lang w:val="en-US"/>
          <w14:textFill>
            <w14:solidFill>
              <w14:srgbClr w14:val="2C2C2C"/>
            </w14:solidFill>
          </w14:textFill>
        </w:rPr>
        <w:t>Custody alone is insufficient. Institutions that hold Bitcoin face a fundamental challenge: BTC is a non-yielding asset in its native form. Unlike bonds or equities, simply holding Bitcoin generates no income. For institutional allocators, family offices, and treasury managers, this creates a tension between conviction in Bitcoin</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long-term value and the practical requirement to generate returns on deployed capital.</w:t>
      </w:r>
    </w:p>
    <w:p>
      <w:pPr>
        <w:pStyle w:val="Heading 2"/>
      </w:pPr>
      <w:r>
        <w:rPr>
          <w:outline w:val="0"/>
          <w:color w:val="2c2c2c"/>
          <w:sz w:val="22"/>
          <w:szCs w:val="22"/>
          <w:u w:color="2c2c2c"/>
          <w:rtl w:val="0"/>
          <w:lang w:val="en-US"/>
          <w14:textFill>
            <w14:solidFill>
              <w14:srgbClr w14:val="2C2C2C"/>
            </w14:solidFill>
          </w14:textFill>
        </w:rPr>
        <w:t>Current yield solutions are fragmented across chains, protocols, and strategies. Each requires specialized knowledge of DeFi mechanics, bridge security, smart contract risk, and liquidity management. For an institution accustomed to traditional fixed-income or equity mandates, navigating this complexity is a non-starter without purpose-built infrastructure.</w:t>
      </w:r>
    </w:p>
    <w:p>
      <w:pPr>
        <w:pStyle w:val="Heading 2"/>
      </w:pPr>
      <w:r>
        <w:rPr>
          <w:outline w:val="0"/>
          <w:color w:val="1b2a4a"/>
          <w:u w:color="1b2a4a"/>
          <w:rtl w:val="0"/>
          <w:lang w:val="en-US"/>
          <w14:textFill>
            <w14:solidFill>
              <w14:srgbClr w14:val="1B2A4A"/>
            </w14:solidFill>
          </w14:textFill>
        </w:rPr>
        <w:t>5.3 What Vault Infrastructure Solves</w:t>
      </w:r>
    </w:p>
    <w:p>
      <w:pPr>
        <w:pStyle w:val="Heading 2"/>
      </w:pPr>
      <w:r>
        <w:rPr>
          <w:outline w:val="0"/>
          <w:color w:val="2c2c2c"/>
          <w:sz w:val="22"/>
          <w:szCs w:val="22"/>
          <w:u w:color="2c2c2c"/>
          <w:rtl w:val="0"/>
          <w:lang w:val="en-US"/>
          <w14:textFill>
            <w14:solidFill>
              <w14:srgbClr w14:val="2C2C2C"/>
            </w14:solidFill>
          </w14:textFill>
        </w:rPr>
        <w:t>Vault infrastructure addresses this gap by providing a unified abstraction layer between capital and yield strategies. Rather than requiring institutions to directly interact with multiple protocols, bridges, and chains, vault infrastructure aggregates these functions into a single deposit interface with professional-grade risk management.</w:t>
      </w:r>
    </w:p>
    <w:p>
      <w:pPr>
        <w:pStyle w:val="List Paragraph"/>
        <w:numPr>
          <w:ilvl w:val="0"/>
          <w:numId w:val="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Simplified onboarding: Bitcoin in, Bitcoin out. No chain-switching, wallet management, or DeFi expertise required.</w:t>
      </w:r>
    </w:p>
    <w:p>
      <w:pPr>
        <w:pStyle w:val="List Paragraph"/>
        <w:numPr>
          <w:ilvl w:val="0"/>
          <w:numId w:val="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Automated strategy execution: Bridging, rebalancing, and reinvestment handled programmatically on-chain.</w:t>
      </w:r>
    </w:p>
    <w:p>
      <w:pPr>
        <w:pStyle w:val="List Paragraph"/>
        <w:numPr>
          <w:ilvl w:val="0"/>
          <w:numId w:val="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Professional risk controls: Exposure limits, curator vetting, security council oversight, and reserve requirements.</w:t>
      </w:r>
    </w:p>
    <w:p>
      <w:pPr>
        <w:pStyle w:val="List Paragraph"/>
        <w:numPr>
          <w:ilvl w:val="0"/>
          <w:numId w:val="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Chain and protocol agnosticism: Infrastructure that can deploy across ecosystems as opportunities evolve.</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outline w:val="0"/>
          <w:color w:val="1b2a4a"/>
          <w:u w:color="1b2a4a"/>
          <w:rtl w:val="0"/>
          <w:lang w:val="en-US"/>
          <w14:textFill>
            <w14:solidFill>
              <w14:srgbClr w14:val="1B2A4A"/>
            </w14:solidFill>
          </w14:textFill>
        </w:rPr>
        <w:t>6. Where Acre Fits: Protocol-Agnostic Vault Infrastructure</w:t>
      </w:r>
    </w:p>
    <w:p>
      <w:pPr>
        <w:pStyle w:val="Heading"/>
      </w:pPr>
    </w:p>
    <w:p>
      <w:pPr>
        <w:pStyle w:val="Heading"/>
      </w:pPr>
      <w:r>
        <w:rPr>
          <w:outline w:val="0"/>
          <w:color w:val="2c2c2c"/>
          <w:sz w:val="22"/>
          <w:szCs w:val="22"/>
          <w:u w:color="2c2c2c"/>
          <w:rtl w:val="0"/>
          <w:lang w:val="en-US"/>
          <w14:textFill>
            <w14:solidFill>
              <w14:srgbClr w14:val="2C2C2C"/>
            </w14:solidFill>
          </w14:textFill>
        </w:rPr>
        <w:t>Acre is not trying to become a bank. Instead, Acre is building the infrastructure layer that enables the new financial system. Specifically, Acre focuses on the balance sheet and investment layer of digital assets, providing the vault infrastructure through which Bitcoin capital is deposited, managed, and compounded.</w:t>
      </w:r>
    </w:p>
    <w:p>
      <w:pPr>
        <w:pStyle w:val="Heading 2"/>
      </w:pPr>
      <w:r>
        <w:rPr>
          <w:outline w:val="0"/>
          <w:color w:val="1b2a4a"/>
          <w:u w:color="1b2a4a"/>
          <w:rtl w:val="0"/>
          <w14:textFill>
            <w14:solidFill>
              <w14:srgbClr w14:val="1B2A4A"/>
            </w14:solidFill>
          </w14:textFill>
        </w:rPr>
        <w:t>6.1 Core Protocol Architecture</w:t>
      </w:r>
    </w:p>
    <w:p>
      <w:pPr>
        <w:pStyle w:val="Heading 2"/>
      </w:pPr>
      <w:r>
        <w:rPr>
          <w:outline w:val="0"/>
          <w:color w:val="2c2c2c"/>
          <w:sz w:val="22"/>
          <w:szCs w:val="22"/>
          <w:u w:color="2c2c2c"/>
          <w:rtl w:val="0"/>
          <w:lang w:val="en-US"/>
          <w14:textFill>
            <w14:solidFill>
              <w14:srgbClr w14:val="2C2C2C"/>
            </w14:solidFill>
          </w14:textFill>
        </w:rPr>
        <w:t>Acre provides a Bitcoin-first platform that enables BTC holders to compound their bitcoin while maintaining full control of their assets. The protocol connects bitcoin to decentralized protocols including lending, insurance, and Bitcoin layer 2 networks, creating a seamless experience for users to grow their holdings without complexity or centralized custodian risk.</w:t>
      </w:r>
    </w:p>
    <w:p>
      <w:pPr>
        <w:pStyle w:val="Heading 2"/>
      </w:pPr>
      <w:r>
        <w:rPr>
          <w:outline w:val="0"/>
          <w:color w:val="2c2c2c"/>
          <w:sz w:val="22"/>
          <w:szCs w:val="22"/>
          <w:u w:color="2c2c2c"/>
          <w:rtl w:val="0"/>
          <w:lang w:val="en-US"/>
          <w14:textFill>
            <w14:solidFill>
              <w14:srgbClr w14:val="2C2C2C"/>
            </w14:solidFill>
          </w14:textFill>
        </w:rPr>
        <w:t>The current vault strategy, curated by Re7 Labs with infrastructure provided by Midas, bridges BTC to Ethereum via Threshold Network</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tBTC and deploys capital into DeFi activities such as lending and liquidity provision. BTC deposits are secured by tBTC/Threshold network nodes operating a 51-of-100 multisig until the user redeems.</w:t>
      </w:r>
    </w:p>
    <w:p>
      <w:pPr>
        <w:pStyle w:val="Heading 2"/>
      </w:pPr>
      <w:r>
        <w:rPr>
          <w:outline w:val="0"/>
          <w:color w:val="1b2a4a"/>
          <w:u w:color="1b2a4a"/>
          <w:rtl w:val="0"/>
          <w:lang w:val="en-US"/>
          <w14:textFill>
            <w14:solidFill>
              <w14:srgbClr w14:val="1B2A4A"/>
            </w14:solidFill>
          </w14:textFill>
        </w:rPr>
        <w:t>6.2 Risk Management Framework</w:t>
      </w:r>
    </w:p>
    <w:p>
      <w:pPr>
        <w:pStyle w:val="Heading 2"/>
      </w:pPr>
      <w:r>
        <w:rPr>
          <w:outline w:val="0"/>
          <w:color w:val="2c2c2c"/>
          <w:sz w:val="22"/>
          <w:szCs w:val="22"/>
          <w:u w:color="2c2c2c"/>
          <w:rtl w:val="0"/>
          <w:lang w:val="pt-PT"/>
          <w14:textFill>
            <w14:solidFill>
              <w14:srgbClr w14:val="2C2C2C"/>
            </w14:solidFill>
          </w14:textFill>
        </w:rPr>
        <w:t>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risk management is institutional in its design. The protocol enforces strict exposure controls:</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Maximum exposure limits: No more than 50% of deposits in a single vetted protocol, and no more than 25% in a single product.</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Liquidity reserves: Minimum 2% held in reserve as BTC or tBTC, remaining liquid and redeemable within 48 hours.</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Security council: Nine independent members oversee strategy deployment and curator vetting.</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Managed withdrawals: Two-week redemption timeline allows curators to responsibly unwind DeFi positions.</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Fee transparency: 0.45% withdrawal fee covering bridging and gas costs, plus 20% protocol fee on earned rewards.</w:t>
      </w:r>
    </w:p>
    <w:p>
      <w:pPr>
        <w:pStyle w:val="Heading 2"/>
      </w:pPr>
      <w:r>
        <w:rPr>
          <w:outline w:val="0"/>
          <w:color w:val="1b2a4a"/>
          <w:u w:color="1b2a4a"/>
          <w:rtl w:val="0"/>
          <w:lang w:val="en-US"/>
          <w14:textFill>
            <w14:solidFill>
              <w14:srgbClr w14:val="1B2A4A"/>
            </w14:solidFill>
          </w14:textFill>
        </w:rPr>
        <w:t>6.3 Chain and Protocol Agnostic Vision</w:t>
      </w:r>
    </w:p>
    <w:p>
      <w:pPr>
        <w:pStyle w:val="Heading 2"/>
      </w:pPr>
      <w:r>
        <w:rPr>
          <w:outline w:val="0"/>
          <w:color w:val="2c2c2c"/>
          <w:sz w:val="22"/>
          <w:szCs w:val="22"/>
          <w:u w:color="2c2c2c"/>
          <w:rtl w:val="0"/>
          <w:lang w:val="en-US"/>
          <w14:textFill>
            <w14:solidFill>
              <w14:srgbClr w14:val="2C2C2C"/>
            </w14:solidFill>
          </w14:textFill>
        </w:rPr>
        <w:t>While 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current vault operates on Ethereum mainnet, the protocol</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architecture is designed to be chain and protocol agnostic. In principle, Acre could deploy vaults across any chain where yield opportunities exist, including Bitcoin layer 2 networks, Lightning Network liquidity provision, and emerging DeFi ecosystems. This agnostic approach means 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vault infrastructure can adapt as the digital asset landscape evolves, providing a durable foundation regardless of which chains or protocols gain dominance.</w:t>
      </w:r>
    </w:p>
    <w:p>
      <w:pPr>
        <w:pStyle w:val="Heading 2"/>
      </w:pPr>
      <w:r>
        <w:rPr>
          <w:outline w:val="0"/>
          <w:color w:val="1b2a4a"/>
          <w:u w:color="1b2a4a"/>
          <w:rtl w:val="0"/>
          <w:lang w:val="fr-FR"/>
          <w14:textFill>
            <w14:solidFill>
              <w14:srgbClr w14:val="1B2A4A"/>
            </w14:solidFill>
          </w14:textFill>
        </w:rPr>
        <w:t>6.4 Institutional Value Proposition</w:t>
      </w:r>
    </w:p>
    <w:p>
      <w:pPr>
        <w:pStyle w:val="Heading 2"/>
      </w:pPr>
      <w:r>
        <w:rPr>
          <w:outline w:val="0"/>
          <w:color w:val="2c2c2c"/>
          <w:sz w:val="22"/>
          <w:szCs w:val="22"/>
          <w:u w:color="2c2c2c"/>
          <w:rtl w:val="0"/>
          <w:lang w:val="en-US"/>
          <w14:textFill>
            <w14:solidFill>
              <w14:srgbClr w14:val="2C2C2C"/>
            </w14:solidFill>
          </w14:textFill>
        </w:rPr>
        <w:t>For institutional allocators, Acre offers a fundamentally different value proposition than existing solutions: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Traditional Approach</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Current DeFi</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Acre Vault Infrastructure</w:t>
            </w:r>
          </w:p>
        </w:tc>
      </w:tr>
      <w:tr>
        <w:tblPrEx>
          <w:shd w:val="clear" w:color="auto" w:fill="ced7e7"/>
        </w:tblPrEx>
        <w:trPr>
          <w:trHeight w:val="4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Centralized custody risk</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fr-FR"/>
                <w14:textFill>
                  <w14:solidFill>
                    <w14:srgbClr w14:val="2C2C2C"/>
                  </w14:solidFill>
                </w14:textFill>
              </w:rPr>
              <w:t>Multi-chain complexity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2a4a"/>
                <w:sz w:val="18"/>
                <w:szCs w:val="18"/>
                <w:u w:color="1b2a4a"/>
                <w:shd w:val="nil" w:color="auto" w:fill="auto"/>
                <w:rtl w:val="0"/>
                <w:lang w:val="en-US"/>
                <w14:textFill>
                  <w14:solidFill>
                    <w14:srgbClr w14:val="1B2A4A"/>
                  </w14:solidFill>
                </w14:textFill>
              </w:rPr>
              <w:t>Self-custody with automated management</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No native BTC yield</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Requires DeFi expertise</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2a4a"/>
                <w:sz w:val="18"/>
                <w:szCs w:val="18"/>
                <w:u w:color="1b2a4a"/>
                <w:shd w:val="nil" w:color="auto" w:fill="auto"/>
                <w:rtl w:val="0"/>
                <w:lang w:val="en-US"/>
                <w14:textFill>
                  <w14:solidFill>
                    <w14:srgbClr w14:val="1B2A4A"/>
                  </w14:solidFill>
                </w14:textFill>
              </w:rPr>
              <w:t>Bitcoin in, Bitcoin out simplicity</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Single-chain locked</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Protocol-specific</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2a4a"/>
                <w:sz w:val="18"/>
                <w:szCs w:val="18"/>
                <w:u w:color="1b2a4a"/>
                <w:shd w:val="nil" w:color="auto" w:fill="auto"/>
                <w:rtl w:val="0"/>
                <w:lang w:val="en-US"/>
                <w14:textFill>
                  <w14:solidFill>
                    <w14:srgbClr w14:val="1B2A4A"/>
                  </w14:solidFill>
                </w14:textFill>
              </w:rPr>
              <w:t>Chain and protocol agnostic</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Opaque fee structures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Gas cost volatility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2a4a"/>
                <w:sz w:val="18"/>
                <w:szCs w:val="18"/>
                <w:u w:color="1b2a4a"/>
                <w:shd w:val="nil" w:color="auto" w:fill="auto"/>
                <w:rtl w:val="0"/>
                <w:lang w:val="en-US"/>
                <w14:textFill>
                  <w14:solidFill>
                    <w14:srgbClr w14:val="1B2A4A"/>
                  </w14:solidFill>
                </w14:textFill>
              </w:rPr>
              <w:t>Transparent fee model</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Manual rebalancing</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Active management needed</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2a4a"/>
                <w:sz w:val="18"/>
                <w:szCs w:val="18"/>
                <w:u w:color="1b2a4a"/>
                <w:shd w:val="nil" w:color="auto" w:fill="auto"/>
                <w:rtl w:val="0"/>
                <w:lang w:val="en-US"/>
                <w14:textFill>
                  <w14:solidFill>
                    <w14:srgbClr w14:val="1B2A4A"/>
                  </w14:solidFill>
                </w14:textFill>
              </w:rPr>
              <w:t>Automated compounding</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2a4a"/>
          <w:u w:color="1b2a4a"/>
          <w:rtl w:val="0"/>
          <w:lang w:val="en-US"/>
          <w14:textFill>
            <w14:solidFill>
              <w14:srgbClr w14:val="1B2A4A"/>
            </w14:solidFill>
          </w14:textFill>
        </w:rPr>
        <w:t>7. Competitive Positioning &amp; Market Opportunity</w:t>
      </w:r>
    </w:p>
    <w:p>
      <w:pPr>
        <w:pStyle w:val="Heading"/>
      </w:pPr>
    </w:p>
    <w:p>
      <w:pPr>
        <w:pStyle w:val="Heading 2"/>
      </w:pPr>
      <w:r>
        <w:rPr>
          <w:outline w:val="0"/>
          <w:color w:val="1b2a4a"/>
          <w:u w:color="1b2a4a"/>
          <w:rtl w:val="0"/>
          <w:lang w:val="en-US"/>
          <w14:textFill>
            <w14:solidFill>
              <w14:srgbClr w14:val="1B2A4A"/>
            </w14:solidFill>
          </w14:textFill>
        </w:rPr>
        <w:t>7.1 Market Sizing</w:t>
      </w:r>
    </w:p>
    <w:p>
      <w:pPr>
        <w:pStyle w:val="Heading 2"/>
      </w:pPr>
      <w:r>
        <w:rPr>
          <w:outline w:val="0"/>
          <w:color w:val="2c2c2c"/>
          <w:sz w:val="22"/>
          <w:szCs w:val="22"/>
          <w:u w:color="2c2c2c"/>
          <w:rtl w:val="0"/>
          <w:lang w:val="en-US"/>
          <w14:textFill>
            <w14:solidFill>
              <w14:srgbClr w14:val="2C2C2C"/>
            </w14:solidFill>
          </w14:textFill>
        </w:rPr>
        <w:t>The addressable market for institutional Bitcoin yield infrastructure is substantial and growing. Institutional investors are expected to allocate 2</w:t>
      </w:r>
      <w:r>
        <w:rPr>
          <w:outline w:val="0"/>
          <w:color w:val="2c2c2c"/>
          <w:sz w:val="22"/>
          <w:szCs w:val="22"/>
          <w:u w:color="2c2c2c"/>
          <w:rtl w:val="0"/>
          <w14:textFill>
            <w14:solidFill>
              <w14:srgbClr w14:val="2C2C2C"/>
            </w14:solidFill>
          </w14:textFill>
        </w:rPr>
        <w:t>–</w:t>
      </w:r>
      <w:r>
        <w:rPr>
          <w:outline w:val="0"/>
          <w:color w:val="2c2c2c"/>
          <w:sz w:val="22"/>
          <w:szCs w:val="22"/>
          <w:u w:color="2c2c2c"/>
          <w:rtl w:val="0"/>
          <w:lang w:val="en-US"/>
          <w14:textFill>
            <w14:solidFill>
              <w14:srgbClr w14:val="2C2C2C"/>
            </w14:solidFill>
          </w14:textFill>
        </w:rPr>
        <w:t>3% of global assets to Bitcoin by 2026, potentially generating $3</w:t>
      </w:r>
      <w:r>
        <w:rPr>
          <w:outline w:val="0"/>
          <w:color w:val="2c2c2c"/>
          <w:sz w:val="22"/>
          <w:szCs w:val="22"/>
          <w:u w:color="2c2c2c"/>
          <w:rtl w:val="0"/>
          <w14:textFill>
            <w14:solidFill>
              <w14:srgbClr w14:val="2C2C2C"/>
            </w14:solidFill>
          </w14:textFill>
        </w:rPr>
        <w:t>–</w:t>
      </w:r>
      <w:r>
        <w:rPr>
          <w:outline w:val="0"/>
          <w:color w:val="2c2c2c"/>
          <w:sz w:val="22"/>
          <w:szCs w:val="22"/>
          <w:u w:color="2c2c2c"/>
          <w:rtl w:val="0"/>
          <w:lang w:val="en-US"/>
          <w14:textFill>
            <w14:solidFill>
              <w14:srgbClr w14:val="2C2C2C"/>
            </w14:solidFill>
          </w14:textFill>
        </w:rPr>
        <w:t>4 trillion in aggregate demand. With over $115 billion already in spot Bitcoin ETFs alone, and corporate treasuries holding 848,100 BTC, the capital seeking productive deployment is enormous.</w:t>
      </w:r>
    </w:p>
    <w:p>
      <w:pPr>
        <w:pStyle w:val="Heading 2"/>
      </w:pPr>
      <w:r>
        <w:rPr>
          <w:outline w:val="0"/>
          <w:color w:val="2c2c2c"/>
          <w:sz w:val="22"/>
          <w:szCs w:val="22"/>
          <w:u w:color="2c2c2c"/>
          <w:rtl w:val="0"/>
          <w:lang w:val="en-US"/>
          <w14:textFill>
            <w14:solidFill>
              <w14:srgbClr w14:val="2C2C2C"/>
            </w14:solidFill>
          </w14:textFill>
        </w:rPr>
        <w:t>The global digital asset custody market is projected to grow significantly as institutions move from passive holding to active capital management. Vault infrastructure that can bridge the gap between custody and yield represents a foundational layer in this evolution.</w:t>
      </w:r>
    </w:p>
    <w:p>
      <w:pPr>
        <w:pStyle w:val="Heading 2"/>
      </w:pPr>
      <w:r>
        <w:rPr>
          <w:outline w:val="0"/>
          <w:color w:val="1b2a4a"/>
          <w:u w:color="1b2a4a"/>
          <w:rtl w:val="0"/>
          <w:lang w:val="en-US"/>
          <w14:textFill>
            <w14:solidFill>
              <w14:srgbClr w14:val="1B2A4A"/>
            </w14:solidFill>
          </w14:textFill>
        </w:rPr>
        <w:t>7.2 Competitive Landscape</w:t>
      </w:r>
    </w:p>
    <w:p>
      <w:pPr>
        <w:pStyle w:val="Heading 2"/>
      </w:pPr>
      <w:r>
        <w:rPr>
          <w:outline w:val="0"/>
          <w:color w:val="2c2c2c"/>
          <w:sz w:val="22"/>
          <w:szCs w:val="22"/>
          <w:u w:color="2c2c2c"/>
          <w:rtl w:val="0"/>
          <w:lang w:val="pt-PT"/>
          <w14:textFill>
            <w14:solidFill>
              <w14:srgbClr w14:val="2C2C2C"/>
            </w14:solidFill>
          </w14:textFill>
        </w:rPr>
        <w:t>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positioning is distinct from both centralized yield platforms and fragmented DeFi protocols. Centralized platforms like BlockFi and Celsius demonstrated the risks of opaque, centralized yield generation. Pure DeFi protocols require technical sophistication that excludes most institutional participants. Acre occupies the middle ground: decentralized infrastructure with institutional-grade risk management and a simplified user experience.</w:t>
      </w:r>
    </w:p>
    <w:p>
      <w:pPr>
        <w:pStyle w:val="Heading 2"/>
      </w:pPr>
      <w:r>
        <w:rPr>
          <w:outline w:val="0"/>
          <w:color w:val="2c2c2c"/>
          <w:sz w:val="22"/>
          <w:szCs w:val="22"/>
          <w:u w:color="2c2c2c"/>
          <w:rtl w:val="0"/>
          <w:lang w:val="en-US"/>
          <w14:textFill>
            <w14:solidFill>
              <w14:srgbClr w14:val="2C2C2C"/>
            </w14:solidFill>
          </w14:textFill>
        </w:rPr>
        <w:t>Key differentiators include 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Bitcoin-native design (rewards denominated in BTC, not synthetic tokens), its chain-agnostic architecture, its professional security council governance, and its curator-based strategy management through established partners like Re7 Labs and Midas.</w:t>
      </w:r>
    </w:p>
    <w:p>
      <w:pPr>
        <w:pStyle w:val="Heading 2"/>
      </w:pPr>
      <w:r>
        <w:rPr>
          <w:outline w:val="0"/>
          <w:color w:val="1b2a4a"/>
          <w:u w:color="1b2a4a"/>
          <w:rtl w:val="0"/>
          <w:lang w:val="en-US"/>
          <w14:textFill>
            <w14:solidFill>
              <w14:srgbClr w14:val="1B2A4A"/>
            </w14:solidFill>
          </w14:textFill>
        </w:rPr>
        <w:t>7.3 Growth Vectors</w:t>
      </w:r>
    </w:p>
    <w:p>
      <w:pPr>
        <w:pStyle w:val="List Paragraph"/>
        <w:numPr>
          <w:ilvl w:val="0"/>
          <w:numId w:val="8"/>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Institutional onboarding: Family offices, hedge funds, and corporate treasuries seeking BTC yield without DeFi complexity.</w:t>
      </w:r>
    </w:p>
    <w:p>
      <w:pPr>
        <w:pStyle w:val="List Paragraph"/>
        <w:numPr>
          <w:ilvl w:val="0"/>
          <w:numId w:val="8"/>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Fintech platform integration: As fintech companies become banks, they will need backend vault infrastructure for digital asset products.</w:t>
      </w:r>
    </w:p>
    <w:p>
      <w:pPr>
        <w:pStyle w:val="List Paragraph"/>
        <w:numPr>
          <w:ilvl w:val="0"/>
          <w:numId w:val="8"/>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Multi-chain expansion: Deploying vaults across emerging Bitcoin L2s, Lightning Network, and other ecosystems.</w:t>
      </w:r>
    </w:p>
    <w:p>
      <w:pPr>
        <w:pStyle w:val="List Paragraph"/>
        <w:numPr>
          <w:ilvl w:val="0"/>
          <w:numId w:val="8"/>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White-label infrastructure: Providing vault technology to wealth managers and advisory platforms.</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outline w:val="0"/>
          <w:color w:val="1b2a4a"/>
          <w:u w:color="1b2a4a"/>
          <w:rtl w:val="0"/>
          <w:lang w:val="en-US"/>
          <w14:textFill>
            <w14:solidFill>
              <w14:srgbClr w14:val="1B2A4A"/>
            </w14:solidFill>
          </w14:textFill>
        </w:rPr>
        <w:t>8. 4-Week Content Strategy: Narrative Arc</w:t>
      </w:r>
    </w:p>
    <w:p>
      <w:pPr>
        <w:pStyle w:val="Heading"/>
      </w:pPr>
    </w:p>
    <w:p>
      <w:pPr>
        <w:pStyle w:val="Heading"/>
      </w:pPr>
      <w:r>
        <w:rPr>
          <w:outline w:val="0"/>
          <w:color w:val="2c2c2c"/>
          <w:sz w:val="22"/>
          <w:szCs w:val="22"/>
          <w:u w:color="2c2c2c"/>
          <w:rtl w:val="0"/>
          <w:lang w:val="en-US"/>
          <w14:textFill>
            <w14:solidFill>
              <w14:srgbClr w14:val="2C2C2C"/>
            </w14:solidFill>
          </w14:textFill>
        </w:rPr>
        <w:t>The following content strategy positions Acre at the intersection of institutional finance and digital asset infrastructure. Each week builds on the previous, creating a cohesive narrative that establishes Acre as the definitive voice on vault infrastructure and institutional Bitcoin onboarding.</w:t>
      </w:r>
    </w:p>
    <w:p>
      <w:pPr>
        <w:pStyle w:val="Heading 2"/>
      </w:pPr>
      <w:r>
        <w:rPr>
          <w:outline w:val="0"/>
          <w:color w:val="1b2a4a"/>
          <w:u w:color="1b2a4a"/>
          <w:rtl w:val="0"/>
          <w:lang w:val="nl-NL"/>
          <w14:textFill>
            <w14:solidFill>
              <w14:srgbClr w14:val="1B2A4A"/>
            </w14:solidFill>
          </w14:textFill>
        </w:rPr>
        <w:t xml:space="preserve">Week 1 </w:t>
      </w:r>
      <w:r>
        <w:rPr>
          <w:outline w:val="0"/>
          <w:color w:val="1b2a4a"/>
          <w:u w:color="1b2a4a"/>
          <w:rtl w:val="0"/>
          <w:lang w:val="en-US"/>
          <w14:textFill>
            <w14:solidFill>
              <w14:srgbClr w14:val="1B2A4A"/>
            </w14:solidFill>
          </w14:textFill>
        </w:rPr>
        <w:t xml:space="preserve">— </w:t>
      </w:r>
      <w:r>
        <w:rPr>
          <w:outline w:val="0"/>
          <w:color w:val="1b2a4a"/>
          <w:u w:color="1b2a4a"/>
          <w:rtl w:val="0"/>
          <w:lang w:val="en-US"/>
          <w14:textFill>
            <w14:solidFill>
              <w14:srgbClr w14:val="1B2A4A"/>
            </w14:solidFill>
          </w14:textFill>
        </w:rPr>
        <w:t>March 16: Everyone Wants to Be a Bank</w:t>
      </w:r>
    </w:p>
    <w:p>
      <w:pPr>
        <w:pStyle w:val="Heading 2"/>
      </w:pPr>
      <w:r>
        <w:rPr>
          <w:outline w:val="0"/>
          <w:color w:val="1b2a4a"/>
          <w:sz w:val="24"/>
          <w:szCs w:val="24"/>
          <w:u w:color="1b2a4a"/>
          <w:rtl w:val="0"/>
          <w:lang w:val="en-US"/>
          <w14:textFill>
            <w14:solidFill>
              <w14:srgbClr w14:val="1B2A4A"/>
            </w14:solidFill>
          </w14:textFill>
        </w:rPr>
        <w:t>Theme &amp; Purpose</w:t>
      </w:r>
    </w:p>
    <w:p>
      <w:pPr>
        <w:pStyle w:val="Heading 2"/>
      </w:pPr>
      <w:r>
        <w:rPr>
          <w:outline w:val="0"/>
          <w:color w:val="2c2c2c"/>
          <w:sz w:val="22"/>
          <w:szCs w:val="22"/>
          <w:u w:color="2c2c2c"/>
          <w:rtl w:val="0"/>
          <w:lang w:val="en-US"/>
          <w14:textFill>
            <w14:solidFill>
              <w14:srgbClr w14:val="2C2C2C"/>
            </w14:solidFill>
          </w14:textFill>
        </w:rPr>
        <w:t>Introduce the overarching narrative arc. Frame the discussion around the convergence of fintech, crypto, and traditional finance, all competing to become banking infrastructure. Establish 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perspective as a builder of foundational infrastructure rather than another competitor trying to become a bank.</w:t>
      </w:r>
    </w:p>
    <w:p>
      <w:pPr>
        <w:pStyle w:val="Heading 2"/>
      </w:pPr>
      <w:r>
        <w:rPr>
          <w:outline w:val="0"/>
          <w:color w:val="1b2a4a"/>
          <w:sz w:val="24"/>
          <w:szCs w:val="24"/>
          <w:u w:color="1b2a4a"/>
          <w:rtl w:val="0"/>
          <w:lang w:val="en-US"/>
          <w14:textFill>
            <w14:solidFill>
              <w14:srgbClr w14:val="1B2A4A"/>
            </w14:solidFill>
          </w14:textFill>
        </w:rPr>
        <w:t>Key Arguments (Backed by Research)</w:t>
      </w:r>
    </w:p>
    <w:p>
      <w:pPr>
        <w:pStyle w:val="List Paragraph"/>
        <w:numPr>
          <w:ilvl w:val="0"/>
          <w:numId w:val="10"/>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Eleven crypto companies filed for federal bank charters in 83 days. The OCC granted conditional approvals to five simultaneously in December 2025. The line between crypto company and bank is dissolving.</w:t>
      </w:r>
    </w:p>
    <w:p>
      <w:pPr>
        <w:pStyle w:val="List Paragraph"/>
        <w:numPr>
          <w:ilvl w:val="0"/>
          <w:numId w:val="10"/>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Fintech platforms like Revolut, SoFi, and Nubank now rival top-tier U.S. banks in deposits. PayPal/Venmo process $1.5T+ annually. These are no longer payment apps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they are financial institutions.</w:t>
      </w:r>
    </w:p>
    <w:p>
      <w:pPr>
        <w:pStyle w:val="List Paragraph"/>
        <w:numPr>
          <w:ilvl w:val="0"/>
          <w:numId w:val="10"/>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86% of institutional investors plan digital asset allocations. Over 120 banks offer live crypto services. The question is no longer if institutions will enter Bitcoin, but what infrastructure they will use.</w:t>
      </w:r>
    </w:p>
    <w:p>
      <w:pPr>
        <w:pStyle w:val="List Paragraph"/>
        <w:numPr>
          <w:ilvl w:val="0"/>
          <w:numId w:val="10"/>
        </w:numPr>
        <w:spacing w:after="80"/>
        <w:rPr>
          <w:sz w:val="22"/>
          <w:szCs w:val="22"/>
          <w:lang w:val="pt-PT"/>
        </w:rPr>
      </w:pPr>
      <w:r>
        <w:rPr>
          <w:rFonts w:ascii="Arial" w:hAnsi="Arial"/>
          <w:outline w:val="0"/>
          <w:color w:val="2c2c2c"/>
          <w:sz w:val="22"/>
          <w:szCs w:val="22"/>
          <w:u w:color="2c2c2c"/>
          <w:rtl w:val="0"/>
          <w:lang w:val="pt-PT"/>
          <w14:textFill>
            <w14:solidFill>
              <w14:srgbClr w14:val="2C2C2C"/>
            </w14:solidFill>
          </w14:textFill>
        </w:rPr>
        <w:t>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position: We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re not trying to be a bank. We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re building the vault infrastructure that makes institutional Bitcoin capital allocation possible.</w:t>
      </w:r>
    </w:p>
    <w:p>
      <w:pPr>
        <w:pStyle w:val="List Paragraph"/>
        <w:spacing w:after="80"/>
      </w:pPr>
      <w:r>
        <w:rPr>
          <w:rFonts w:ascii="Arial" w:hAnsi="Arial"/>
          <w:b w:val="1"/>
          <w:bCs w:val="1"/>
          <w:outline w:val="0"/>
          <w:color w:val="1b2a4a"/>
          <w:sz w:val="24"/>
          <w:szCs w:val="24"/>
          <w:u w:color="1b2a4a"/>
          <w:rtl w:val="0"/>
          <w:lang w:val="de-DE"/>
          <w14:textFill>
            <w14:solidFill>
              <w14:srgbClr w14:val="1B2A4A"/>
            </w14:solidFill>
          </w14:textFill>
        </w:rPr>
        <w:t>Blog Post</w:t>
      </w:r>
    </w:p>
    <w:p>
      <w:pPr>
        <w:pStyle w:val="List Paragraph"/>
        <w:spacing w:after="80"/>
      </w:pPr>
      <w:r>
        <w:rPr>
          <w:rFonts w:ascii="Arial" w:hAnsi="Arial"/>
          <w:b w:val="1"/>
          <w:bCs w:val="1"/>
          <w:outline w:val="0"/>
          <w:color w:val="2c2c2c"/>
          <w:sz w:val="22"/>
          <w:szCs w:val="22"/>
          <w:u w:color="2c2c2c"/>
          <w:rtl w:val="0"/>
          <w:lang w:val="en-US"/>
          <w14:textFill>
            <w14:solidFill>
              <w14:srgbClr w14:val="2C2C2C"/>
            </w14:solidFill>
          </w14:textFill>
        </w:rPr>
        <w:t xml:space="preserve">Everyone Wants to Be a Bank </w:t>
      </w:r>
      <w:r>
        <w:rPr>
          <w:rFonts w:ascii="Arial" w:hAnsi="Arial" w:hint="default"/>
          <w:b w:val="1"/>
          <w:bCs w:val="1"/>
          <w:outline w:val="0"/>
          <w:color w:val="2c2c2c"/>
          <w:sz w:val="22"/>
          <w:szCs w:val="22"/>
          <w:u w:color="2c2c2c"/>
          <w:rtl w:val="0"/>
          <w:lang w:val="en-US"/>
          <w14:textFill>
            <w14:solidFill>
              <w14:srgbClr w14:val="2C2C2C"/>
            </w14:solidFill>
          </w14:textFill>
        </w:rPr>
        <w:t xml:space="preserve">— </w:t>
      </w:r>
      <w:r>
        <w:rPr>
          <w:rFonts w:ascii="Arial" w:hAnsi="Arial"/>
          <w:b w:val="1"/>
          <w:bCs w:val="1"/>
          <w:outline w:val="0"/>
          <w:color w:val="2c2c2c"/>
          <w:sz w:val="22"/>
          <w:szCs w:val="22"/>
          <w:u w:color="2c2c2c"/>
          <w:rtl w:val="0"/>
          <w:lang w:val="en-US"/>
          <w14:textFill>
            <w14:solidFill>
              <w14:srgbClr w14:val="2C2C2C"/>
            </w14:solidFill>
          </w14:textFill>
        </w:rPr>
        <w:t>But Few Understand What That Actually Requires</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A long-form piece (1,500</w:t>
      </w:r>
      <w:r>
        <w:rPr>
          <w:rFonts w:ascii="Arial" w:hAnsi="Arial" w:hint="default"/>
          <w:outline w:val="0"/>
          <w:color w:val="2c2c2c"/>
          <w:sz w:val="22"/>
          <w:szCs w:val="22"/>
          <w:u w:color="2c2c2c"/>
          <w:rtl w:val="0"/>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2,000 words) exploring the convergence of fintech, crypto, and traditional banking. Structure: the evolution of banking functions, how each player type is rebuilding these functions, the infrastructure gap for institutional Bitcoin, and why vault infrastructure becomes the foundational layer. Close with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vision and a preview of the month-long content arc.</w:t>
      </w:r>
    </w:p>
    <w:p>
      <w:pPr>
        <w:pStyle w:val="List Paragraph"/>
        <w:spacing w:after="80"/>
      </w:pPr>
      <w:r>
        <w:rPr>
          <w:rFonts w:ascii="Arial" w:hAnsi="Arial"/>
          <w:b w:val="1"/>
          <w:bCs w:val="1"/>
          <w:outline w:val="0"/>
          <w:color w:val="1b2a4a"/>
          <w:sz w:val="24"/>
          <w:szCs w:val="24"/>
          <w:u w:color="1b2a4a"/>
          <w:rtl w:val="0"/>
          <w:lang w:val="nl-NL"/>
          <w14:textFill>
            <w14:solidFill>
              <w14:srgbClr w14:val="1B2A4A"/>
            </w14:solidFill>
          </w14:textFill>
        </w:rPr>
        <w:t>LinkedIn Post</w:t>
      </w:r>
    </w:p>
    <w:p>
      <w:pPr>
        <w:pStyle w:val="List Paragraph"/>
        <w:spacing w:after="80"/>
      </w:pPr>
      <w:r>
        <w:rPr>
          <w:rFonts w:ascii="Arial" w:hAnsi="Arial"/>
          <w:i w:val="1"/>
          <w:iCs w:val="1"/>
          <w:outline w:val="0"/>
          <w:color w:val="2c2c2c"/>
          <w:sz w:val="22"/>
          <w:szCs w:val="22"/>
          <w:u w:color="2c2c2c"/>
          <w:rtl w:val="0"/>
          <w:lang w:val="en-US"/>
          <w14:textFill>
            <w14:solidFill>
              <w14:srgbClr w14:val="2C2C2C"/>
            </w14:solidFill>
          </w14:textFill>
        </w:rPr>
        <w:t>Banks used to be buildings. Then they became apps. Now they</w:t>
      </w:r>
      <w:r>
        <w:rPr>
          <w:rFonts w:ascii="Arial" w:hAnsi="Arial" w:hint="default"/>
          <w:i w:val="1"/>
          <w:iCs w:val="1"/>
          <w:outline w:val="0"/>
          <w:color w:val="2c2c2c"/>
          <w:sz w:val="22"/>
          <w:szCs w:val="22"/>
          <w:u w:color="2c2c2c"/>
          <w:rtl w:val="1"/>
          <w14:textFill>
            <w14:solidFill>
              <w14:srgbClr w14:val="2C2C2C"/>
            </w14:solidFill>
          </w14:textFill>
        </w:rPr>
        <w:t>’</w:t>
      </w:r>
      <w:r>
        <w:rPr>
          <w:rFonts w:ascii="Arial" w:hAnsi="Arial"/>
          <w:i w:val="1"/>
          <w:iCs w:val="1"/>
          <w:outline w:val="0"/>
          <w:color w:val="2c2c2c"/>
          <w:sz w:val="22"/>
          <w:szCs w:val="22"/>
          <w:u w:color="2c2c2c"/>
          <w:rtl w:val="0"/>
          <w:lang w:val="pt-PT"/>
          <w14:textFill>
            <w14:solidFill>
              <w14:srgbClr w14:val="2C2C2C"/>
            </w14:solidFill>
          </w14:textFill>
        </w:rPr>
        <w:t>re protocols.</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Open with this hook, then briefly outline the macro trend: eleven companies racing for federal crypto bank charters, fintech platforms rivaling top-tier banks in deposits, and 86% of institutional investors planning digital asset allocations. Announce the 4-week content series. Close with a teaser for Week 2</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guest conversation with Bitcoin for Corporations.</w:t>
      </w:r>
    </w:p>
    <w:p>
      <w:pPr>
        <w:pStyle w:val="List Paragraph"/>
        <w:spacing w:after="80"/>
      </w:pPr>
      <w:r>
        <w:rPr>
          <w:rFonts w:ascii="Arial" w:hAnsi="Arial"/>
          <w:b w:val="1"/>
          <w:bCs w:val="1"/>
          <w:outline w:val="0"/>
          <w:color w:val="1b2a4a"/>
          <w:sz w:val="24"/>
          <w:szCs w:val="24"/>
          <w:u w:color="1b2a4a"/>
          <w:rtl w:val="0"/>
          <w:lang w:val="en-US"/>
          <w14:textFill>
            <w14:solidFill>
              <w14:srgbClr w14:val="1B2A4A"/>
            </w14:solidFill>
          </w14:textFill>
        </w:rPr>
        <w:t>X/Twitter Thread (6</w:t>
      </w:r>
      <w:r>
        <w:rPr>
          <w:rFonts w:ascii="Arial" w:hAnsi="Arial" w:hint="default"/>
          <w:b w:val="1"/>
          <w:bCs w:val="1"/>
          <w:outline w:val="0"/>
          <w:color w:val="1b2a4a"/>
          <w:sz w:val="24"/>
          <w:szCs w:val="24"/>
          <w:u w:color="1b2a4a"/>
          <w:rtl w:val="0"/>
          <w14:textFill>
            <w14:solidFill>
              <w14:srgbClr w14:val="1B2A4A"/>
            </w14:solidFill>
          </w14:textFill>
        </w:rPr>
        <w:t>–</w:t>
      </w:r>
      <w:r>
        <w:rPr>
          <w:rFonts w:ascii="Arial" w:hAnsi="Arial"/>
          <w:b w:val="1"/>
          <w:bCs w:val="1"/>
          <w:outline w:val="0"/>
          <w:color w:val="1b2a4a"/>
          <w:sz w:val="24"/>
          <w:szCs w:val="24"/>
          <w:u w:color="1b2a4a"/>
          <w:rtl w:val="0"/>
          <w:lang w:val="en-US"/>
          <w14:textFill>
            <w14:solidFill>
              <w14:srgbClr w14:val="1B2A4A"/>
            </w14:solidFill>
          </w14:textFill>
        </w:rPr>
        <w:t>8 posts)</w:t>
      </w:r>
    </w:p>
    <w:p>
      <w:pPr>
        <w:pStyle w:val="List Paragraph"/>
        <w:numPr>
          <w:ilvl w:val="0"/>
          <w:numId w:val="1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Thread 1: Everyone wants to be a bank. Fintech apps. Crypto platforms. Corporations. Institutions. But what does that actually mean?</w:t>
      </w:r>
    </w:p>
    <w:p>
      <w:pPr>
        <w:pStyle w:val="List Paragraph"/>
        <w:numPr>
          <w:ilvl w:val="0"/>
          <w:numId w:val="1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Thread 2: A bank does 6 core things: Deposits. Treasury. Investments. Payments. Customer Interface. Risk &amp; Compliance.</w:t>
      </w:r>
    </w:p>
    <w:p>
      <w:pPr>
        <w:pStyle w:val="List Paragraph"/>
        <w:numPr>
          <w:ilvl w:val="0"/>
          <w:numId w:val="1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Thread 3: Here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what</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changed: 11 crypto companies filed for federal bank charters in 83 days. The OCC approved 5 simultaneously. Fintech deposits rival top US banks.</w:t>
      </w:r>
    </w:p>
    <w:p>
      <w:pPr>
        <w:pStyle w:val="List Paragraph"/>
        <w:numPr>
          <w:ilvl w:val="0"/>
          <w:numId w:val="1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Thread 4: But here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the infrastructure gap: 86% of institutions want digital asset exposure. Most lack the infrastructure to deploy capital productively.</w:t>
      </w:r>
    </w:p>
    <w:p>
      <w:pPr>
        <w:pStyle w:val="List Paragraph"/>
        <w:numPr>
          <w:ilvl w:val="0"/>
          <w:numId w:val="1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Thread 5: This is where vault infrastructure matters. Not trying to be a bank. Building the layer that makes institutional Bitcoin capital allocation possible.</w:t>
      </w:r>
    </w:p>
    <w:p>
      <w:pPr>
        <w:pStyle w:val="List Paragraph"/>
        <w:numPr>
          <w:ilvl w:val="0"/>
          <w:numId w:val="1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Thread 6: Over the next month, we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re exploring how the financial system is being rebuilt. Next week: @BitcoinForCorps on how financial advisors evaluate BTC as a treasury asset.</w:t>
      </w:r>
    </w:p>
    <w:p>
      <w:pPr>
        <w:pStyle w:val="List Paragraph"/>
        <w:spacing w:after="80"/>
      </w:pPr>
      <w:r>
        <w:rPr>
          <w:rFonts w:ascii="Arial Unicode MS" w:cs="Arial Unicode MS" w:hAnsi="Arial Unicode MS" w:eastAsia="Arial Unicode MS"/>
          <w:b w:val="0"/>
          <w:bCs w:val="0"/>
          <w:i w:val="0"/>
          <w:iCs w:val="0"/>
        </w:rPr>
        <w:br w:type="page"/>
      </w:r>
    </w:p>
    <w:p>
      <w:pPr>
        <w:pStyle w:val="Heading 2"/>
      </w:pPr>
      <w:r>
        <w:rPr>
          <w:outline w:val="0"/>
          <w:color w:val="1b2a4a"/>
          <w:u w:color="1b2a4a"/>
          <w:rtl w:val="0"/>
          <w:lang w:val="nl-NL"/>
          <w14:textFill>
            <w14:solidFill>
              <w14:srgbClr w14:val="1B2A4A"/>
            </w14:solidFill>
          </w14:textFill>
        </w:rPr>
        <w:t xml:space="preserve">Week 2 </w:t>
      </w:r>
      <w:r>
        <w:rPr>
          <w:outline w:val="0"/>
          <w:color w:val="1b2a4a"/>
          <w:u w:color="1b2a4a"/>
          <w:rtl w:val="0"/>
          <w:lang w:val="en-US"/>
          <w14:textFill>
            <w14:solidFill>
              <w14:srgbClr w14:val="1B2A4A"/>
            </w14:solidFill>
          </w14:textFill>
        </w:rPr>
        <w:t xml:space="preserve">— </w:t>
      </w:r>
      <w:r>
        <w:rPr>
          <w:outline w:val="0"/>
          <w:color w:val="1b2a4a"/>
          <w:u w:color="1b2a4a"/>
          <w:rtl w:val="0"/>
          <w:lang w:val="en-US"/>
          <w14:textFill>
            <w14:solidFill>
              <w14:srgbClr w14:val="1B2A4A"/>
            </w14:solidFill>
          </w14:textFill>
        </w:rPr>
        <w:t>March 23: Traditional Finance Meets Bitcoin</w:t>
      </w:r>
    </w:p>
    <w:p>
      <w:pPr>
        <w:pStyle w:val="Heading 2"/>
      </w:pPr>
      <w:r>
        <w:rPr>
          <w:outline w:val="0"/>
          <w:color w:val="1b2a4a"/>
          <w:sz w:val="24"/>
          <w:szCs w:val="24"/>
          <w:u w:color="1b2a4a"/>
          <w:rtl w:val="0"/>
          <w:lang w:val="en-US"/>
          <w14:textFill>
            <w14:solidFill>
              <w14:srgbClr w14:val="1B2A4A"/>
            </w14:solidFill>
          </w14:textFill>
        </w:rPr>
        <w:t>Theme &amp; Purpose</w:t>
      </w:r>
    </w:p>
    <w:p>
      <w:pPr>
        <w:pStyle w:val="Heading 2"/>
      </w:pPr>
      <w:r>
        <w:rPr>
          <w:outline w:val="0"/>
          <w:color w:val="2c2c2c"/>
          <w:sz w:val="22"/>
          <w:szCs w:val="22"/>
          <w:u w:color="2c2c2c"/>
          <w:rtl w:val="0"/>
          <w:lang w:val="en-US"/>
          <w14:textFill>
            <w14:solidFill>
              <w14:srgbClr w14:val="2C2C2C"/>
            </w14:solidFill>
          </w14:textFill>
        </w:rPr>
        <w:t>Feature guest Alex from Bitcoin for Corporations. Bridge the gap between traditional finance decision-making and Bitcoin as a treasury asset. Demonstrate that Acre understands how institutional capital actually flows and what financial professionals evaluate when considering digital asset allocations.</w:t>
      </w:r>
    </w:p>
    <w:p>
      <w:pPr>
        <w:pStyle w:val="Heading 2"/>
      </w:pPr>
      <w:r>
        <w:rPr>
          <w:outline w:val="0"/>
          <w:color w:val="1b2a4a"/>
          <w:sz w:val="24"/>
          <w:szCs w:val="24"/>
          <w:u w:color="1b2a4a"/>
          <w:rtl w:val="0"/>
          <w:lang w:val="en-US"/>
          <w14:textFill>
            <w14:solidFill>
              <w14:srgbClr w14:val="1B2A4A"/>
            </w14:solidFill>
          </w14:textFill>
        </w:rPr>
        <w:t>Key Arguments (Backed by Research)</w:t>
      </w:r>
    </w:p>
    <w:p>
      <w:pPr>
        <w:pStyle w:val="List Paragraph"/>
        <w:numPr>
          <w:ilvl w:val="0"/>
          <w:numId w:val="1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The Bitcoin for Corporations network represents 38 member companies holding 69% of all corporate Bitcoin. The movement hosts four global symposiums per year and recently held its summit at The Wynn Las Vegas.</w:t>
      </w:r>
    </w:p>
    <w:p>
      <w:pPr>
        <w:pStyle w:val="List Paragraph"/>
        <w:numPr>
          <w:ilvl w:val="0"/>
          <w:numId w:val="1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Strategy (formerly MicroStrategy) holds 738,731 BTC worth $33.1B. GameStop issued $1.75B in convertible notes to buy bitcoin. The number of public companies holding BTC tripled to ~200 in 2025.</w:t>
      </w:r>
    </w:p>
    <w:p>
      <w:pPr>
        <w:pStyle w:val="List Paragraph"/>
        <w:numPr>
          <w:ilvl w:val="0"/>
          <w:numId w:val="1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Financial advisors evaluate Bitcoin through traditional frameworks: risk-adjusted returns, portfolio correlation, volatility management, and fiduciary duty. This is where the conversation needs to happen.</w:t>
      </w:r>
    </w:p>
    <w:p>
      <w:pPr>
        <w:pStyle w:val="List Paragraph"/>
        <w:spacing w:after="80"/>
      </w:pPr>
      <w:r>
        <w:rPr>
          <w:rFonts w:ascii="Arial" w:hAnsi="Arial"/>
          <w:b w:val="1"/>
          <w:bCs w:val="1"/>
          <w:outline w:val="0"/>
          <w:color w:val="1b2a4a"/>
          <w:sz w:val="24"/>
          <w:szCs w:val="24"/>
          <w:u w:color="1b2a4a"/>
          <w:rtl w:val="0"/>
          <w:lang w:val="de-DE"/>
          <w14:textFill>
            <w14:solidFill>
              <w14:srgbClr w14:val="1B2A4A"/>
            </w14:solidFill>
          </w14:textFill>
        </w:rPr>
        <w:t>Blog Post</w:t>
      </w:r>
    </w:p>
    <w:p>
      <w:pPr>
        <w:pStyle w:val="List Paragraph"/>
        <w:spacing w:after="80"/>
      </w:pPr>
      <w:r>
        <w:rPr>
          <w:rFonts w:ascii="Arial" w:hAnsi="Arial"/>
          <w:b w:val="1"/>
          <w:bCs w:val="1"/>
          <w:outline w:val="0"/>
          <w:color w:val="2c2c2c"/>
          <w:sz w:val="22"/>
          <w:szCs w:val="22"/>
          <w:u w:color="2c2c2c"/>
          <w:rtl w:val="0"/>
          <w:lang w:val="en-US"/>
          <w14:textFill>
            <w14:solidFill>
              <w14:srgbClr w14:val="2C2C2C"/>
            </w14:solidFill>
          </w14:textFill>
        </w:rPr>
        <w:t>How Financial Professionals Actually Evaluate Bitcoin as a Treasury Asset</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An interview-style or co-authored piece with Alex from Bitcoin for Corporations. Focus on the frameworks financial advisors use to evaluate Bitcoin: risk assessment, portfolio construction, fiduciary considerations, and client education. Include real-world examples of how the 200+ public companies with BTC treasuries made their decisions.</w:t>
      </w:r>
    </w:p>
    <w:p>
      <w:pPr>
        <w:pStyle w:val="List Paragraph"/>
        <w:spacing w:after="80"/>
      </w:pPr>
      <w:r>
        <w:rPr>
          <w:rFonts w:ascii="Arial" w:hAnsi="Arial"/>
          <w:b w:val="1"/>
          <w:bCs w:val="1"/>
          <w:outline w:val="0"/>
          <w:color w:val="1b2a4a"/>
          <w:sz w:val="24"/>
          <w:szCs w:val="24"/>
          <w:u w:color="1b2a4a"/>
          <w:rtl w:val="0"/>
          <w:lang w:val="nl-NL"/>
          <w14:textFill>
            <w14:solidFill>
              <w14:srgbClr w14:val="1B2A4A"/>
            </w14:solidFill>
          </w14:textFill>
        </w:rPr>
        <w:t>LinkedIn Post</w:t>
      </w:r>
    </w:p>
    <w:p>
      <w:pPr>
        <w:pStyle w:val="List Paragraph"/>
        <w:spacing w:after="80"/>
      </w:pPr>
      <w:r>
        <w:rPr>
          <w:rFonts w:ascii="Arial" w:hAnsi="Arial"/>
          <w:i w:val="1"/>
          <w:iCs w:val="1"/>
          <w:outline w:val="0"/>
          <w:color w:val="2c2c2c"/>
          <w:sz w:val="22"/>
          <w:szCs w:val="22"/>
          <w:u w:color="2c2c2c"/>
          <w:rtl w:val="0"/>
          <w:lang w:val="en-US"/>
          <w14:textFill>
            <w14:solidFill>
              <w14:srgbClr w14:val="2C2C2C"/>
            </w14:solidFill>
          </w14:textFill>
        </w:rPr>
        <w:t>Financial advisors sit at the intersection of capital and decision-making. They don</w:t>
      </w:r>
      <w:r>
        <w:rPr>
          <w:rFonts w:ascii="Arial" w:hAnsi="Arial" w:hint="default"/>
          <w:i w:val="1"/>
          <w:iCs w:val="1"/>
          <w:outline w:val="0"/>
          <w:color w:val="2c2c2c"/>
          <w:sz w:val="22"/>
          <w:szCs w:val="22"/>
          <w:u w:color="2c2c2c"/>
          <w:rtl w:val="1"/>
          <w14:textFill>
            <w14:solidFill>
              <w14:srgbClr w14:val="2C2C2C"/>
            </w14:solidFill>
          </w14:textFill>
        </w:rPr>
        <w:t>’</w:t>
      </w:r>
      <w:r>
        <w:rPr>
          <w:rFonts w:ascii="Arial" w:hAnsi="Arial"/>
          <w:i w:val="1"/>
          <w:iCs w:val="1"/>
          <w:outline w:val="0"/>
          <w:color w:val="2c2c2c"/>
          <w:sz w:val="22"/>
          <w:szCs w:val="22"/>
          <w:u w:color="2c2c2c"/>
          <w:rtl w:val="0"/>
          <w:lang w:val="en-US"/>
          <w14:textFill>
            <w14:solidFill>
              <w14:srgbClr w14:val="2C2C2C"/>
            </w14:solidFill>
          </w14:textFill>
        </w:rPr>
        <w:t xml:space="preserve">t chase trends </w:t>
      </w:r>
      <w:r>
        <w:rPr>
          <w:rFonts w:ascii="Arial" w:hAnsi="Arial" w:hint="default"/>
          <w:i w:val="1"/>
          <w:iCs w:val="1"/>
          <w:outline w:val="0"/>
          <w:color w:val="2c2c2c"/>
          <w:sz w:val="22"/>
          <w:szCs w:val="22"/>
          <w:u w:color="2c2c2c"/>
          <w:rtl w:val="0"/>
          <w:lang w:val="en-US"/>
          <w14:textFill>
            <w14:solidFill>
              <w14:srgbClr w14:val="2C2C2C"/>
            </w14:solidFill>
          </w14:textFill>
        </w:rPr>
        <w:t xml:space="preserve">— </w:t>
      </w:r>
      <w:r>
        <w:rPr>
          <w:rFonts w:ascii="Arial" w:hAnsi="Arial"/>
          <w:i w:val="1"/>
          <w:iCs w:val="1"/>
          <w:outline w:val="0"/>
          <w:color w:val="2c2c2c"/>
          <w:sz w:val="22"/>
          <w:szCs w:val="22"/>
          <w:u w:color="2c2c2c"/>
          <w:rtl w:val="0"/>
          <w:lang w:val="en-US"/>
          <w14:textFill>
            <w14:solidFill>
              <w14:srgbClr w14:val="2C2C2C"/>
            </w14:solidFill>
          </w14:textFill>
        </w:rPr>
        <w:t>they evaluate risk, construct portfolios, and fulfill fiduciary obligations.</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Frame around the professional rigor of financial advisory, then bridge to how Bitcoin is being evaluated through these traditional lenses. Reference the tripling of public companies holding BTC. Tag Bitcoin for Corporations.</w:t>
      </w:r>
    </w:p>
    <w:p>
      <w:pPr>
        <w:pStyle w:val="List Paragraph"/>
        <w:spacing w:after="80"/>
      </w:pPr>
      <w:r>
        <w:rPr>
          <w:rFonts w:ascii="Arial" w:hAnsi="Arial"/>
          <w:b w:val="1"/>
          <w:bCs w:val="1"/>
          <w:outline w:val="0"/>
          <w:color w:val="1b2a4a"/>
          <w:sz w:val="24"/>
          <w:szCs w:val="24"/>
          <w:u w:color="1b2a4a"/>
          <w:rtl w:val="0"/>
          <w:lang w:val="en-US"/>
          <w14:textFill>
            <w14:solidFill>
              <w14:srgbClr w14:val="1B2A4A"/>
            </w14:solidFill>
          </w14:textFill>
        </w:rPr>
        <w:t>X/Twitter Thread</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A thread exploring how traditional financial advisors think about Bitcoin. Cover: risk assessment frameworks, portfolio allocation models, the corporate treasury decision process, and what 200+ public companies considered before adding BTC to their balance sheets.</w:t>
      </w:r>
    </w:p>
    <w:p>
      <w:pPr>
        <w:pStyle w:val="List Paragraph"/>
        <w:spacing w:after="80"/>
      </w:pPr>
      <w:r>
        <w:rPr>
          <w:rFonts w:ascii="Arial Unicode MS" w:cs="Arial Unicode MS" w:hAnsi="Arial Unicode MS" w:eastAsia="Arial Unicode MS"/>
          <w:b w:val="0"/>
          <w:bCs w:val="0"/>
          <w:i w:val="0"/>
          <w:iCs w:val="0"/>
        </w:rPr>
        <w:br w:type="page"/>
      </w:r>
    </w:p>
    <w:p>
      <w:pPr>
        <w:pStyle w:val="Heading 2"/>
      </w:pPr>
      <w:r>
        <w:rPr>
          <w:outline w:val="0"/>
          <w:color w:val="1b2a4a"/>
          <w:u w:color="1b2a4a"/>
          <w:rtl w:val="0"/>
          <w:lang w:val="nl-NL"/>
          <w14:textFill>
            <w14:solidFill>
              <w14:srgbClr w14:val="1B2A4A"/>
            </w14:solidFill>
          </w14:textFill>
        </w:rPr>
        <w:t xml:space="preserve">Week 3 </w:t>
      </w:r>
      <w:r>
        <w:rPr>
          <w:outline w:val="0"/>
          <w:color w:val="1b2a4a"/>
          <w:u w:color="1b2a4a"/>
          <w:rtl w:val="0"/>
          <w:lang w:val="en-US"/>
          <w14:textFill>
            <w14:solidFill>
              <w14:srgbClr w14:val="1B2A4A"/>
            </w14:solidFill>
          </w14:textFill>
        </w:rPr>
        <w:t xml:space="preserve">— </w:t>
      </w:r>
      <w:r>
        <w:rPr>
          <w:outline w:val="0"/>
          <w:color w:val="1b2a4a"/>
          <w:u w:color="1b2a4a"/>
          <w:rtl w:val="0"/>
          <w:lang w:val="en-US"/>
          <w14:textFill>
            <w14:solidFill>
              <w14:srgbClr w14:val="1B2A4A"/>
            </w14:solidFill>
          </w14:textFill>
        </w:rPr>
        <w:t>March 30: The Infrastructure Layer of Digital Finance</w:t>
      </w:r>
    </w:p>
    <w:p>
      <w:pPr>
        <w:pStyle w:val="Heading 2"/>
      </w:pPr>
      <w:r>
        <w:rPr>
          <w:outline w:val="0"/>
          <w:color w:val="1b2a4a"/>
          <w:sz w:val="24"/>
          <w:szCs w:val="24"/>
          <w:u w:color="1b2a4a"/>
          <w:rtl w:val="0"/>
          <w:lang w:val="en-US"/>
          <w14:textFill>
            <w14:solidFill>
              <w14:srgbClr w14:val="1B2A4A"/>
            </w14:solidFill>
          </w14:textFill>
        </w:rPr>
        <w:t>Theme &amp; Purpose</w:t>
      </w:r>
    </w:p>
    <w:p>
      <w:pPr>
        <w:pStyle w:val="Heading 2"/>
      </w:pPr>
      <w:r>
        <w:rPr>
          <w:outline w:val="0"/>
          <w:color w:val="2c2c2c"/>
          <w:sz w:val="22"/>
          <w:szCs w:val="22"/>
          <w:u w:color="2c2c2c"/>
          <w:rtl w:val="0"/>
          <w:lang w:val="en-US"/>
          <w14:textFill>
            <w14:solidFill>
              <w14:srgbClr w14:val="2C2C2C"/>
            </w14:solidFill>
          </w14:textFill>
        </w:rPr>
        <w:t>This is the strategic center of the content arc. Position vault infrastructure as the missing bridge between institutional capital and digital asset yield. This week focuses squarely on Acre</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s value proposition and the infrastructure challenges that institutions face.</w:t>
      </w:r>
    </w:p>
    <w:p>
      <w:pPr>
        <w:pStyle w:val="Heading 2"/>
      </w:pPr>
      <w:r>
        <w:rPr>
          <w:outline w:val="0"/>
          <w:color w:val="1b2a4a"/>
          <w:sz w:val="24"/>
          <w:szCs w:val="24"/>
          <w:u w:color="1b2a4a"/>
          <w:rtl w:val="0"/>
          <w:lang w:val="en-US"/>
          <w14:textFill>
            <w14:solidFill>
              <w14:srgbClr w14:val="1B2A4A"/>
            </w14:solidFill>
          </w14:textFill>
        </w:rPr>
        <w:t>Key Arguments (Backed by Research)</w:t>
      </w:r>
    </w:p>
    <w:p>
      <w:pPr>
        <w:pStyle w:val="List Paragraph"/>
        <w:numPr>
          <w:ilvl w:val="0"/>
          <w:numId w:val="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Citigroup is building institutional bitcoin custody for 2026 rollout, aiming to integrate crypto into the same frameworks used for traditional assets. But custody alone is insufficient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institutions need yield infrastructure.</w:t>
      </w:r>
    </w:p>
    <w:p>
      <w:pPr>
        <w:pStyle w:val="List Paragraph"/>
        <w:numPr>
          <w:ilvl w:val="0"/>
          <w:numId w:val="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The IMF notes institutional custody failures stem from insufficient internal controls, unclear authorization, and inconsistent incident-response planning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not blockchain vulnerabilities.</w:t>
      </w:r>
    </w:p>
    <w:p>
      <w:pPr>
        <w:pStyle w:val="List Paragraph"/>
        <w:numPr>
          <w:ilvl w:val="0"/>
          <w:numId w:val="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Hybrid custody models are emerging as the institutional middle ground. Institutions need MPC-based custody, multi-layer governance, and automated compliance.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vault infrastructure provides this.</w:t>
      </w:r>
    </w:p>
    <w:p>
      <w:pPr>
        <w:pStyle w:val="List Paragraph"/>
        <w:numPr>
          <w:ilvl w:val="0"/>
          <w:numId w:val="2"/>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The stablecoin market surpassed $300B. Active wallets grew 50%+ YoY. Financial infrastructure is being rebuilt on-chain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vault infrastructure is the next foundational layer.</w:t>
      </w:r>
    </w:p>
    <w:p>
      <w:pPr>
        <w:pStyle w:val="List Paragraph"/>
        <w:spacing w:after="80"/>
      </w:pPr>
      <w:r>
        <w:rPr>
          <w:rFonts w:ascii="Arial" w:hAnsi="Arial"/>
          <w:b w:val="1"/>
          <w:bCs w:val="1"/>
          <w:outline w:val="0"/>
          <w:color w:val="1b2a4a"/>
          <w:sz w:val="24"/>
          <w:szCs w:val="24"/>
          <w:u w:color="1b2a4a"/>
          <w:rtl w:val="0"/>
          <w:lang w:val="de-DE"/>
          <w14:textFill>
            <w14:solidFill>
              <w14:srgbClr w14:val="1B2A4A"/>
            </w14:solidFill>
          </w14:textFill>
        </w:rPr>
        <w:t>Blog Post</w:t>
      </w:r>
    </w:p>
    <w:p>
      <w:pPr>
        <w:pStyle w:val="List Paragraph"/>
        <w:spacing w:after="80"/>
      </w:pPr>
      <w:r>
        <w:rPr>
          <w:rFonts w:ascii="Arial" w:hAnsi="Arial"/>
          <w:b w:val="1"/>
          <w:bCs w:val="1"/>
          <w:outline w:val="0"/>
          <w:color w:val="2c2c2c"/>
          <w:sz w:val="22"/>
          <w:szCs w:val="22"/>
          <w:u w:color="2c2c2c"/>
          <w:rtl w:val="0"/>
          <w:lang w:val="en-US"/>
          <w14:textFill>
            <w14:solidFill>
              <w14:srgbClr w14:val="2C2C2C"/>
            </w14:solidFill>
          </w14:textFill>
        </w:rPr>
        <w:t>The Infrastructure Behind Institutional Bitcoin: Why Vault Infrastructure Is the Missing Layer</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A deep-dive piece (2,000+ words) covering: the current state of institutional custody, why custody without yield is insufficient, the operational complexity institutions face in generating BTC returns, how vault infrastructure solves these challenges, and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specific approach to chain-agnostic, institution-grade vault technology. Include the comparison table from Section 6.4 of this report.</w:t>
      </w:r>
    </w:p>
    <w:p>
      <w:pPr>
        <w:pStyle w:val="List Paragraph"/>
        <w:spacing w:after="80"/>
      </w:pPr>
      <w:r>
        <w:rPr>
          <w:rFonts w:ascii="Arial" w:hAnsi="Arial"/>
          <w:b w:val="1"/>
          <w:bCs w:val="1"/>
          <w:outline w:val="0"/>
          <w:color w:val="1b2a4a"/>
          <w:sz w:val="24"/>
          <w:szCs w:val="24"/>
          <w:u w:color="1b2a4a"/>
          <w:rtl w:val="0"/>
          <w:lang w:val="nl-NL"/>
          <w14:textFill>
            <w14:solidFill>
              <w14:srgbClr w14:val="1B2A4A"/>
            </w14:solidFill>
          </w14:textFill>
        </w:rPr>
        <w:t>LinkedIn Post</w:t>
      </w:r>
    </w:p>
    <w:p>
      <w:pPr>
        <w:pStyle w:val="List Paragraph"/>
        <w:spacing w:after="80"/>
      </w:pPr>
      <w:r>
        <w:rPr>
          <w:rFonts w:ascii="Arial" w:hAnsi="Arial"/>
          <w:i w:val="1"/>
          <w:iCs w:val="1"/>
          <w:outline w:val="0"/>
          <w:color w:val="2c2c2c"/>
          <w:sz w:val="22"/>
          <w:szCs w:val="22"/>
          <w:u w:color="2c2c2c"/>
          <w:rtl w:val="0"/>
          <w:lang w:val="en-US"/>
          <w14:textFill>
            <w14:solidFill>
              <w14:srgbClr w14:val="2C2C2C"/>
            </w14:solidFill>
          </w14:textFill>
        </w:rPr>
        <w:t>Institutions want access to digital assets. The capital is ready. The conviction is there. But infrastructure is still the bottleneck.</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Focus on the infrastructure gap between institutional demand and available tooling. Position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vault infrastructure as the solution layer. Reference Citi</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custody buildout and the broader institutional custody challenge.</w:t>
      </w:r>
    </w:p>
    <w:p>
      <w:pPr>
        <w:pStyle w:val="List Paragraph"/>
        <w:spacing w:after="80"/>
      </w:pPr>
      <w:r>
        <w:rPr>
          <w:rFonts w:ascii="Arial" w:hAnsi="Arial"/>
          <w:b w:val="1"/>
          <w:bCs w:val="1"/>
          <w:outline w:val="0"/>
          <w:color w:val="1b2a4a"/>
          <w:sz w:val="24"/>
          <w:szCs w:val="24"/>
          <w:u w:color="1b2a4a"/>
          <w:rtl w:val="0"/>
          <w:lang w:val="en-US"/>
          <w14:textFill>
            <w14:solidFill>
              <w14:srgbClr w14:val="1B2A4A"/>
            </w14:solidFill>
          </w14:textFill>
        </w:rPr>
        <w:t>X/Twitter Thread</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Thread on the infrastructure stack of institutional digital finance: custody, yield infrastructure, treasury tooling, and onboarding. Each post covers one layer and the challenges within it. Final post positions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vault infrastructure as the integration layer that ties them together.</w:t>
      </w:r>
    </w:p>
    <w:p>
      <w:pPr>
        <w:pStyle w:val="List Paragraph"/>
        <w:spacing w:after="80"/>
      </w:pPr>
      <w:r>
        <w:rPr>
          <w:rFonts w:ascii="Arial Unicode MS" w:cs="Arial Unicode MS" w:hAnsi="Arial Unicode MS" w:eastAsia="Arial Unicode MS"/>
          <w:b w:val="0"/>
          <w:bCs w:val="0"/>
          <w:i w:val="0"/>
          <w:iCs w:val="0"/>
        </w:rPr>
        <w:br w:type="page"/>
      </w:r>
    </w:p>
    <w:p>
      <w:pPr>
        <w:pStyle w:val="Heading 2"/>
      </w:pPr>
      <w:r>
        <w:rPr>
          <w:outline w:val="0"/>
          <w:color w:val="1b2a4a"/>
          <w:u w:color="1b2a4a"/>
          <w:rtl w:val="0"/>
          <w:lang w:val="nl-NL"/>
          <w14:textFill>
            <w14:solidFill>
              <w14:srgbClr w14:val="1B2A4A"/>
            </w14:solidFill>
          </w14:textFill>
        </w:rPr>
        <w:t xml:space="preserve">Week 4 </w:t>
      </w:r>
      <w:r>
        <w:rPr>
          <w:outline w:val="0"/>
          <w:color w:val="1b2a4a"/>
          <w:u w:color="1b2a4a"/>
          <w:rtl w:val="0"/>
          <w:lang w:val="en-US"/>
          <w14:textFill>
            <w14:solidFill>
              <w14:srgbClr w14:val="1B2A4A"/>
            </w14:solidFill>
          </w14:textFill>
        </w:rPr>
        <w:t xml:space="preserve">— </w:t>
      </w:r>
      <w:r>
        <w:rPr>
          <w:outline w:val="0"/>
          <w:color w:val="1b2a4a"/>
          <w:u w:color="1b2a4a"/>
          <w:rtl w:val="0"/>
          <w:lang w:val="en-US"/>
          <w14:textFill>
            <w14:solidFill>
              <w14:srgbClr w14:val="1B2A4A"/>
            </w14:solidFill>
          </w14:textFill>
        </w:rPr>
        <w:t>April 6: Where the Industry Is Going</w:t>
      </w:r>
    </w:p>
    <w:p>
      <w:pPr>
        <w:pStyle w:val="Heading 2"/>
      </w:pPr>
      <w:r>
        <w:rPr>
          <w:outline w:val="0"/>
          <w:color w:val="1b2a4a"/>
          <w:sz w:val="24"/>
          <w:szCs w:val="24"/>
          <w:u w:color="1b2a4a"/>
          <w:rtl w:val="0"/>
          <w:lang w:val="en-US"/>
          <w14:textFill>
            <w14:solidFill>
              <w14:srgbClr w14:val="1B2A4A"/>
            </w14:solidFill>
          </w14:textFill>
        </w:rPr>
        <w:t>Theme &amp; Purpose</w:t>
      </w:r>
    </w:p>
    <w:p>
      <w:pPr>
        <w:pStyle w:val="Heading 2"/>
      </w:pPr>
      <w:r>
        <w:rPr>
          <w:outline w:val="0"/>
          <w:color w:val="2c2c2c"/>
          <w:sz w:val="22"/>
          <w:szCs w:val="22"/>
          <w:u w:color="2c2c2c"/>
          <w:rtl w:val="0"/>
          <w:lang w:val="en-US"/>
          <w14:textFill>
            <w14:solidFill>
              <w14:srgbClr w14:val="2C2C2C"/>
            </w14:solidFill>
          </w14:textFill>
        </w:rPr>
        <w:t>Close the narrative arc with a forward-looking perspective. Feature guest George Mekhail for an industry outlook. Synthesize the themes from the previous three weeks and position Acre as building for the long-term institutional era of digital assets.</w:t>
      </w:r>
    </w:p>
    <w:p>
      <w:pPr>
        <w:pStyle w:val="Heading 2"/>
      </w:pPr>
      <w:r>
        <w:rPr>
          <w:outline w:val="0"/>
          <w:color w:val="1b2a4a"/>
          <w:sz w:val="24"/>
          <w:szCs w:val="24"/>
          <w:u w:color="1b2a4a"/>
          <w:rtl w:val="0"/>
          <w:lang w:val="en-US"/>
          <w14:textFill>
            <w14:solidFill>
              <w14:srgbClr w14:val="1B2A4A"/>
            </w14:solidFill>
          </w14:textFill>
        </w:rPr>
        <w:t>Key Arguments (Backed by Research)</w:t>
      </w:r>
    </w:p>
    <w:p>
      <w:pPr>
        <w:pStyle w:val="List Paragraph"/>
        <w:numPr>
          <w:ilvl w:val="0"/>
          <w:numId w:val="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Grayscale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2026 outlook describes this as the dawn of the institutional era, with macro demand for alternative stores of value and improved regulatory clarity bringing in new capital.</w:t>
      </w:r>
    </w:p>
    <w:p>
      <w:pPr>
        <w:pStyle w:val="List Paragraph"/>
        <w:numPr>
          <w:ilvl w:val="0"/>
          <w:numId w:val="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Institutional investors are expected to allocate 2</w:t>
      </w:r>
      <w:r>
        <w:rPr>
          <w:rFonts w:ascii="Arial" w:hAnsi="Arial" w:hint="default"/>
          <w:outline w:val="0"/>
          <w:color w:val="2c2c2c"/>
          <w:sz w:val="22"/>
          <w:szCs w:val="22"/>
          <w:u w:color="2c2c2c"/>
          <w:rtl w:val="0"/>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3% of global assets to Bitcoin, generating $3</w:t>
      </w:r>
      <w:r>
        <w:rPr>
          <w:rFonts w:ascii="Arial" w:hAnsi="Arial" w:hint="default"/>
          <w:outline w:val="0"/>
          <w:color w:val="2c2c2c"/>
          <w:sz w:val="22"/>
          <w:szCs w:val="22"/>
          <w:u w:color="2c2c2c"/>
          <w:rtl w:val="0"/>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4T in demand. 1.01 billion people globally are forecast to own cryptocurrency in 2026.</w:t>
      </w:r>
    </w:p>
    <w:p>
      <w:pPr>
        <w:pStyle w:val="List Paragraph"/>
        <w:numPr>
          <w:ilvl w:val="0"/>
          <w:numId w:val="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VC investment in U.S. crypto companies rebounded to $7.9B in 2025, up 44% from 2024. Consolidation through M&amp;A is accelerating, with exchanges and custodians becoming multi-product companies.</w:t>
      </w:r>
    </w:p>
    <w:p>
      <w:pPr>
        <w:pStyle w:val="List Paragraph"/>
        <w:numPr>
          <w:ilvl w:val="0"/>
          <w:numId w:val="4"/>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Congress is expected to pass bipartisan crypto market structure legislation in 2026, cementing blockchain-based finance in U.S. capital markets.</w:t>
      </w:r>
    </w:p>
    <w:p>
      <w:pPr>
        <w:pStyle w:val="List Paragraph"/>
        <w:spacing w:after="80"/>
      </w:pPr>
      <w:r>
        <w:rPr>
          <w:rFonts w:ascii="Arial" w:hAnsi="Arial"/>
          <w:b w:val="1"/>
          <w:bCs w:val="1"/>
          <w:outline w:val="0"/>
          <w:color w:val="1b2a4a"/>
          <w:sz w:val="24"/>
          <w:szCs w:val="24"/>
          <w:u w:color="1b2a4a"/>
          <w:rtl w:val="0"/>
          <w:lang w:val="de-DE"/>
          <w14:textFill>
            <w14:solidFill>
              <w14:srgbClr w14:val="1B2A4A"/>
            </w14:solidFill>
          </w14:textFill>
        </w:rPr>
        <w:t>Blog Post</w:t>
      </w:r>
    </w:p>
    <w:p>
      <w:pPr>
        <w:pStyle w:val="List Paragraph"/>
        <w:spacing w:after="80"/>
      </w:pPr>
      <w:r>
        <w:rPr>
          <w:rFonts w:ascii="Arial" w:hAnsi="Arial"/>
          <w:b w:val="1"/>
          <w:bCs w:val="1"/>
          <w:outline w:val="0"/>
          <w:color w:val="2c2c2c"/>
          <w:sz w:val="22"/>
          <w:szCs w:val="22"/>
          <w:u w:color="2c2c2c"/>
          <w:rtl w:val="0"/>
          <w:lang w:val="en-US"/>
          <w14:textFill>
            <w14:solidFill>
              <w14:srgbClr w14:val="2C2C2C"/>
            </w14:solidFill>
          </w14:textFill>
        </w:rPr>
        <w:t xml:space="preserve">The Institutional Era of Bitcoin Finance Has Arrived </w:t>
      </w:r>
      <w:r>
        <w:rPr>
          <w:rFonts w:ascii="Arial" w:hAnsi="Arial" w:hint="default"/>
          <w:b w:val="1"/>
          <w:bCs w:val="1"/>
          <w:outline w:val="0"/>
          <w:color w:val="2c2c2c"/>
          <w:sz w:val="22"/>
          <w:szCs w:val="22"/>
          <w:u w:color="2c2c2c"/>
          <w:rtl w:val="0"/>
          <w:lang w:val="en-US"/>
          <w14:textFill>
            <w14:solidFill>
              <w14:srgbClr w14:val="2C2C2C"/>
            </w14:solidFill>
          </w14:textFill>
        </w:rPr>
        <w:t xml:space="preserve">— </w:t>
      </w:r>
      <w:r>
        <w:rPr>
          <w:rFonts w:ascii="Arial" w:hAnsi="Arial"/>
          <w:b w:val="1"/>
          <w:bCs w:val="1"/>
          <w:outline w:val="0"/>
          <w:color w:val="2c2c2c"/>
          <w:sz w:val="22"/>
          <w:szCs w:val="22"/>
          <w:u w:color="2c2c2c"/>
          <w:rtl w:val="0"/>
          <w:lang w:val="en-US"/>
          <w14:textFill>
            <w14:solidFill>
              <w14:srgbClr w14:val="2C2C2C"/>
            </w14:solidFill>
          </w14:textFill>
        </w:rPr>
        <w:t>Here</w:t>
      </w:r>
      <w:r>
        <w:rPr>
          <w:rFonts w:ascii="Arial" w:hAnsi="Arial" w:hint="default"/>
          <w:b w:val="1"/>
          <w:bCs w:val="1"/>
          <w:outline w:val="0"/>
          <w:color w:val="2c2c2c"/>
          <w:sz w:val="22"/>
          <w:szCs w:val="22"/>
          <w:u w:color="2c2c2c"/>
          <w:rtl w:val="1"/>
          <w14:textFill>
            <w14:solidFill>
              <w14:srgbClr w14:val="2C2C2C"/>
            </w14:solidFill>
          </w14:textFill>
        </w:rPr>
        <w:t>’</w:t>
      </w:r>
      <w:r>
        <w:rPr>
          <w:rFonts w:ascii="Arial" w:hAnsi="Arial"/>
          <w:b w:val="1"/>
          <w:bCs w:val="1"/>
          <w:outline w:val="0"/>
          <w:color w:val="2c2c2c"/>
          <w:sz w:val="22"/>
          <w:szCs w:val="22"/>
          <w:u w:color="2c2c2c"/>
          <w:rtl w:val="0"/>
          <w:lang w:val="en-US"/>
          <w14:textFill>
            <w14:solidFill>
              <w14:srgbClr w14:val="2C2C2C"/>
            </w14:solidFill>
          </w14:textFill>
        </w:rPr>
        <w:t>s What Comes Next</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A closing piece that synthesizes the 4-week narrative. Incorporate George Mekhail</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perspectives on the industry</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trajectory, regulatory outlook, and institutional adoption curve. Close with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vision: vault infrastructure that powers the institutional transition from passive Bitcoin holding to productive capital management.</w:t>
      </w:r>
    </w:p>
    <w:p>
      <w:pPr>
        <w:pStyle w:val="List Paragraph"/>
        <w:spacing w:after="80"/>
      </w:pPr>
      <w:r>
        <w:rPr>
          <w:rFonts w:ascii="Arial" w:hAnsi="Arial"/>
          <w:b w:val="1"/>
          <w:bCs w:val="1"/>
          <w:outline w:val="0"/>
          <w:color w:val="1b2a4a"/>
          <w:sz w:val="24"/>
          <w:szCs w:val="24"/>
          <w:u w:color="1b2a4a"/>
          <w:rtl w:val="0"/>
          <w:lang w:val="nl-NL"/>
          <w14:textFill>
            <w14:solidFill>
              <w14:srgbClr w14:val="1B2A4A"/>
            </w14:solidFill>
          </w14:textFill>
        </w:rPr>
        <w:t>LinkedIn Post</w:t>
      </w:r>
    </w:p>
    <w:p>
      <w:pPr>
        <w:pStyle w:val="List Paragraph"/>
        <w:spacing w:after="80"/>
      </w:pPr>
      <w:r>
        <w:rPr>
          <w:rFonts w:ascii="Arial" w:hAnsi="Arial"/>
          <w:i w:val="1"/>
          <w:iCs w:val="1"/>
          <w:outline w:val="0"/>
          <w:color w:val="2c2c2c"/>
          <w:sz w:val="22"/>
          <w:szCs w:val="22"/>
          <w:u w:color="2c2c2c"/>
          <w:rtl w:val="0"/>
          <w:lang w:val="en-US"/>
          <w14:textFill>
            <w14:solidFill>
              <w14:srgbClr w14:val="2C2C2C"/>
            </w14:solidFill>
          </w14:textFill>
        </w:rPr>
        <w:t>Four weeks ago, we started with a question: if everyone wants to be a bank, what does that actually require?</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Recap the arc: Week 1 on the banking convergence, Week 2 on how financial professionals evaluate BTC, Week 3 on infrastructure challenges, and Week 4 closing with the forward view. Thank guests Alex and George Mekhail. Position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next steps.</w:t>
      </w:r>
    </w:p>
    <w:p>
      <w:pPr>
        <w:pStyle w:val="List Paragraph"/>
        <w:spacing w:after="80"/>
      </w:pPr>
      <w:r>
        <w:rPr>
          <w:rFonts w:ascii="Arial" w:hAnsi="Arial"/>
          <w:b w:val="1"/>
          <w:bCs w:val="1"/>
          <w:outline w:val="0"/>
          <w:color w:val="1b2a4a"/>
          <w:sz w:val="24"/>
          <w:szCs w:val="24"/>
          <w:u w:color="1b2a4a"/>
          <w:rtl w:val="0"/>
          <w:lang w:val="en-US"/>
          <w14:textFill>
            <w14:solidFill>
              <w14:srgbClr w14:val="1B2A4A"/>
            </w14:solidFill>
          </w14:textFill>
        </w:rPr>
        <w:t>X/Twitter Thread</w:t>
      </w:r>
    </w:p>
    <w:p>
      <w:pPr>
        <w:pStyle w:val="List Paragraph"/>
        <w:spacing w:after="80"/>
      </w:pPr>
      <w:r>
        <w:rPr>
          <w:rFonts w:ascii="Arial" w:hAnsi="Arial"/>
          <w:outline w:val="0"/>
          <w:color w:val="2c2c2c"/>
          <w:sz w:val="22"/>
          <w:szCs w:val="22"/>
          <w:u w:color="2c2c2c"/>
          <w:rtl w:val="0"/>
          <w:lang w:val="en-US"/>
          <w14:textFill>
            <w14:solidFill>
              <w14:srgbClr w14:val="2C2C2C"/>
            </w14:solidFill>
          </w14:textFill>
        </w:rPr>
        <w:t>A thread recapping key insights from the 4-week arc and looking ahead. Include: key stats (86% institutional demand, $115B in ETFs, 200+ corporate treasuries, $300B stablecoin market), the infrastructure thesis, and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positioning for the institutional era.</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outline w:val="0"/>
          <w:color w:val="1b2a4a"/>
          <w:u w:color="1b2a4a"/>
          <w:rtl w:val="0"/>
          <w:lang w:val="en-US"/>
          <w14:textFill>
            <w14:solidFill>
              <w14:srgbClr w14:val="1B2A4A"/>
            </w14:solidFill>
          </w14:textFill>
        </w:rPr>
        <w:t>9. Strategic Messaging Framework</w:t>
      </w:r>
    </w:p>
    <w:p>
      <w:pPr>
        <w:pStyle w:val="Heading"/>
      </w:pPr>
    </w:p>
    <w:p>
      <w:pPr>
        <w:pStyle w:val="Heading"/>
      </w:pPr>
      <w:r>
        <w:rPr>
          <w:outline w:val="0"/>
          <w:color w:val="2c2c2c"/>
          <w:sz w:val="22"/>
          <w:szCs w:val="22"/>
          <w:u w:color="2c2c2c"/>
          <w:rtl w:val="0"/>
          <w:lang w:val="en-US"/>
          <w14:textFill>
            <w14:solidFill>
              <w14:srgbClr w14:val="2C2C2C"/>
            </w14:solidFill>
          </w14:textFill>
        </w:rPr>
        <w:t>The following messaging pillars should be woven consistently across all content produced during the 4-week arc and beyond. Each pillar is supported by the research findings in this report.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3510"/>
        <w:gridCol w:w="3510"/>
      </w:tblGrid>
      <w:tr>
        <w:tblPrEx>
          <w:shd w:val="clear" w:color="auto" w:fill="ced7e7"/>
        </w:tblPrEx>
        <w:trPr>
          <w:trHeight w:val="216"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Pillar</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Message</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Supporting Evidence</w:t>
            </w:r>
          </w:p>
        </w:tc>
      </w:tr>
      <w:tr>
        <w:tblPrEx>
          <w:shd w:val="clear" w:color="auto" w:fill="ced7e7"/>
        </w:tblPrEx>
        <w:trPr>
          <w:trHeight w:val="913"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Remove Complexity</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Acre simplifies digital asset yield. Bitcoin in, Bitcoin out. No chain-switching, no DeFi expertise required.</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i w:val="1"/>
                <w:iCs w:val="1"/>
                <w:outline w:val="0"/>
                <w:color w:val="2c2c2c"/>
                <w:sz w:val="18"/>
                <w:szCs w:val="18"/>
                <w:u w:color="2c2c2c"/>
                <w:shd w:val="nil" w:color="auto" w:fill="auto"/>
                <w:rtl w:val="0"/>
                <w:lang w:val="en-US"/>
                <w14:textFill>
                  <w14:solidFill>
                    <w14:srgbClr w14:val="2C2C2C"/>
                  </w14:solidFill>
                </w14:textFill>
              </w:rPr>
              <w:t>IMF cites operational complexity as top institutional barrier. Hybrid custody models emerging as institutional middle ground.</w:t>
            </w:r>
          </w:p>
        </w:tc>
      </w:tr>
      <w:tr>
        <w:tblPrEx>
          <w:shd w:val="clear" w:color="auto" w:fill="ced7e7"/>
        </w:tblPrEx>
        <w:trPr>
          <w:trHeight w:val="913"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Institutional Grade</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Infrastructure designed for professional capital with security council governance, exposure limits, and curator-based strategy management.</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i w:val="1"/>
                <w:iCs w:val="1"/>
                <w:outline w:val="0"/>
                <w:color w:val="2c2c2c"/>
                <w:sz w:val="18"/>
                <w:szCs w:val="18"/>
                <w:u w:color="2c2c2c"/>
                <w:shd w:val="nil" w:color="auto" w:fill="auto"/>
                <w:rtl w:val="0"/>
                <w:lang w:val="en-US"/>
                <w14:textFill>
                  <w14:solidFill>
                    <w14:srgbClr w14:val="2C2C2C"/>
                  </w14:solidFill>
                </w14:textFill>
              </w:rPr>
              <w:t>86% of institutional investors planning allocations. Citi building institutional custody for 2026. Institutional demand at $3</w:t>
            </w:r>
            <w:r>
              <w:rPr>
                <w:rFonts w:ascii="Arial" w:hAnsi="Arial" w:hint="default"/>
                <w:i w:val="1"/>
                <w:iCs w:val="1"/>
                <w:outline w:val="0"/>
                <w:color w:val="2c2c2c"/>
                <w:sz w:val="18"/>
                <w:szCs w:val="18"/>
                <w:u w:color="2c2c2c"/>
                <w:shd w:val="nil" w:color="auto" w:fill="auto"/>
                <w:rtl w:val="0"/>
                <w14:textFill>
                  <w14:solidFill>
                    <w14:srgbClr w14:val="2C2C2C"/>
                  </w14:solidFill>
                </w14:textFill>
              </w:rPr>
              <w:t>–</w:t>
            </w:r>
            <w:r>
              <w:rPr>
                <w:rFonts w:ascii="Arial" w:hAnsi="Arial"/>
                <w:i w:val="1"/>
                <w:iCs w:val="1"/>
                <w:outline w:val="0"/>
                <w:color w:val="2c2c2c"/>
                <w:sz w:val="18"/>
                <w:szCs w:val="18"/>
                <w:u w:color="2c2c2c"/>
                <w:shd w:val="nil" w:color="auto" w:fill="auto"/>
                <w:rtl w:val="0"/>
                <w:lang w:val="en-US"/>
                <w14:textFill>
                  <w14:solidFill>
                    <w14:srgbClr w14:val="2C2C2C"/>
                  </w14:solidFill>
                </w14:textFill>
              </w:rPr>
              <w:t>4T projected.</w:t>
            </w:r>
          </w:p>
        </w:tc>
      </w:tr>
      <w:tr>
        <w:tblPrEx>
          <w:shd w:val="clear" w:color="auto" w:fill="ced7e7"/>
        </w:tblPrEx>
        <w:trPr>
          <w:trHeight w:val="913"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it-IT"/>
                <w14:textFill>
                  <w14:solidFill>
                    <w14:srgbClr w14:val="1B2A4A"/>
                  </w14:solidFill>
                </w14:textFill>
              </w:rPr>
              <w:t>Chain &amp; Protocol Agnostic</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Vault infrastructure that adapts across ecosystems. Not locked to a single chain or strategy.</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3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i w:val="1"/>
                <w:iCs w:val="1"/>
                <w:outline w:val="0"/>
                <w:color w:val="2c2c2c"/>
                <w:sz w:val="18"/>
                <w:szCs w:val="18"/>
                <w:u w:color="2c2c2c"/>
                <w:shd w:val="nil" w:color="auto" w:fill="auto"/>
                <w:rtl w:val="0"/>
                <w:lang w:val="en-US"/>
                <w14:textFill>
                  <w14:solidFill>
                    <w14:srgbClr w14:val="2C2C2C"/>
                  </w14:solidFill>
                </w14:textFill>
              </w:rPr>
              <w:t>Multi-chain expansion accelerating. Bitcoin L2s, Lightning Network, and DeFi ecosystems all creating yield opportunities.</w:t>
            </w:r>
          </w:p>
        </w:tc>
      </w:tr>
      <w:tr>
        <w:tblPrEx>
          <w:shd w:val="clear" w:color="auto" w:fill="ced7e7"/>
        </w:tblPrEx>
        <w:trPr>
          <w:trHeight w:val="913"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20"/>
                <w:szCs w:val="20"/>
                <w:u w:color="1b2a4a"/>
                <w:shd w:val="nil" w:color="auto" w:fill="auto"/>
                <w:rtl w:val="0"/>
                <w:lang w:val="en-US"/>
                <w14:textFill>
                  <w14:solidFill>
                    <w14:srgbClr w14:val="1B2A4A"/>
                  </w14:solidFill>
                </w14:textFill>
              </w:rPr>
              <w:t>Bitcoin Native</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Yield denominated in Bitcoin. Not synthetic exposure. Not token rewards. Real BTC compounding.</w:t>
            </w:r>
          </w:p>
        </w:tc>
        <w:tc>
          <w:tcPr>
            <w:tcW w:type="dxa" w:w="351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i w:val="1"/>
                <w:iCs w:val="1"/>
                <w:outline w:val="0"/>
                <w:color w:val="2c2c2c"/>
                <w:sz w:val="18"/>
                <w:szCs w:val="18"/>
                <w:u w:color="2c2c2c"/>
                <w:shd w:val="nil" w:color="auto" w:fill="auto"/>
                <w:rtl w:val="0"/>
                <w:lang w:val="en-US"/>
                <w14:textFill>
                  <w14:solidFill>
                    <w14:srgbClr w14:val="2C2C2C"/>
                  </w14:solidFill>
                </w14:textFill>
              </w:rPr>
              <w:t>738K+ BTC held by Strategy alone. 200+ public companies with BTC treasuries. $115B in spot BTC ETFs. Institutions want real Bitcoin exposure.</w:t>
            </w:r>
          </w:p>
        </w:tc>
      </w:tr>
    </w:tbl>
    <w:p>
      <w:pPr>
        <w:pStyle w:val="Heading"/>
        <w:widowControl w:val="0"/>
      </w:pPr>
    </w:p>
    <w:p>
      <w:pPr>
        <w:pStyle w:val="Heading"/>
        <w:widowControl w:val="0"/>
      </w:pPr>
    </w:p>
    <w:p>
      <w:pPr>
        <w:pStyle w:val="Heading 2"/>
      </w:pPr>
      <w:r>
        <w:rPr>
          <w:outline w:val="0"/>
          <w:color w:val="1b2a4a"/>
          <w:u w:color="1b2a4a"/>
          <w:rtl w:val="0"/>
          <w:lang w:val="en-US"/>
          <w14:textFill>
            <w14:solidFill>
              <w14:srgbClr w14:val="1B2A4A"/>
            </w14:solidFill>
          </w14:textFill>
        </w:rPr>
        <w:t>9.1 Tone &amp; Voice Guidelines</w:t>
      </w:r>
    </w:p>
    <w:p>
      <w:pPr>
        <w:pStyle w:val="Heading 2"/>
      </w:pPr>
      <w:r>
        <w:rPr>
          <w:outline w:val="0"/>
          <w:color w:val="2c2c2c"/>
          <w:sz w:val="22"/>
          <w:szCs w:val="22"/>
          <w:u w:color="2c2c2c"/>
          <w:rtl w:val="0"/>
          <w:lang w:val="en-US"/>
          <w14:textFill>
            <w14:solidFill>
              <w14:srgbClr w14:val="2C2C2C"/>
            </w14:solidFill>
          </w14:textFill>
        </w:rPr>
        <w:t>All Acre content should maintain a tone that is authoritative but accessible, informed but not academic, and forward-looking but grounded in data. Avoid hype language, speculative price commentary, or adversarial framing toward traditional finance. The narrative should position Acre as a bridge builder, not a disruptor. Language should reflect that Acre builds alongside the institutional shift, not against it.</w:t>
      </w:r>
    </w:p>
    <w:p>
      <w:pPr>
        <w:pStyle w:val="Heading 2"/>
      </w:pPr>
      <w:r>
        <w:rPr>
          <w:outline w:val="0"/>
          <w:color w:val="1b2a4a"/>
          <w:u w:color="1b2a4a"/>
          <w:rtl w:val="0"/>
          <w:lang w:val="en-US"/>
          <w14:textFill>
            <w14:solidFill>
              <w14:srgbClr w14:val="1B2A4A"/>
            </w14:solidFill>
          </w14:textFill>
        </w:rPr>
        <w:t>9.2 Distribution Strategy</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Blog: Publish on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website. Optimize for SEO with keywords: Bitcoin yield infrastructure, institutional Bitcoin onboarding, vault infrastructure, chain-agnostic Bitcoin.</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LinkedIn: Primary channel for institutional audience. Tag relevant guests, partners, and industry figures. Use document sharing for longer pieces.</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X/Twitter: Thread format for maximum engagement. Pin the Week 1 thread. Quote-retweet guest contributions. Use relevant hashtags sparingly.</w:t>
      </w:r>
    </w:p>
    <w:p>
      <w:pPr>
        <w:pStyle w:val="List Paragraph"/>
        <w:numPr>
          <w:ilvl w:val="0"/>
          <w:numId w:val="6"/>
        </w:numPr>
        <w:spacing w:after="80"/>
        <w:rPr>
          <w:sz w:val="22"/>
          <w:szCs w:val="22"/>
          <w:lang w:val="en-US"/>
        </w:rPr>
      </w:pPr>
      <w:r>
        <w:rPr>
          <w:rFonts w:ascii="Arial" w:hAnsi="Arial"/>
          <w:outline w:val="0"/>
          <w:color w:val="2c2c2c"/>
          <w:sz w:val="22"/>
          <w:szCs w:val="22"/>
          <w:u w:color="2c2c2c"/>
          <w:rtl w:val="0"/>
          <w:lang w:val="en-US"/>
          <w14:textFill>
            <w14:solidFill>
              <w14:srgbClr w14:val="2C2C2C"/>
            </w14:solidFill>
          </w14:textFill>
        </w:rPr>
        <w:t>Cross-promotion: Coordinate with Bitcoin for Corporations and George Mekhail for amplification. Repurpose blog content into LinkedIn articles.</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outline w:val="0"/>
          <w:color w:val="1b2a4a"/>
          <w:u w:color="1b2a4a"/>
          <w:rtl w:val="0"/>
          <w:lang w:val="en-US"/>
          <w14:textFill>
            <w14:solidFill>
              <w14:srgbClr w14:val="1B2A4A"/>
            </w14:solidFill>
          </w14:textFill>
        </w:rPr>
        <w:t>10. Sources &amp; Citations</w:t>
      </w:r>
    </w:p>
    <w:p>
      <w:pPr>
        <w:pStyle w:val="Heading"/>
      </w:pPr>
    </w:p>
    <w:p>
      <w:pPr>
        <w:pStyle w:val="Heading 2"/>
      </w:pPr>
      <w:r>
        <w:rPr>
          <w:outline w:val="0"/>
          <w:color w:val="1b2a4a"/>
          <w:u w:color="1b2a4a"/>
          <w:rtl w:val="0"/>
          <w:lang w:val="en-US"/>
          <w14:textFill>
            <w14:solidFill>
              <w14:srgbClr w14:val="1B2A4A"/>
            </w14:solidFill>
          </w14:textFill>
        </w:rPr>
        <w:t>Institutional Adoption &amp; Market Data</w:t>
      </w:r>
    </w:p>
    <w:p>
      <w:pPr>
        <w:pStyle w:val="List Paragraph"/>
        <w:numPr>
          <w:ilvl w:val="0"/>
          <w:numId w:val="16"/>
        </w:numPr>
        <w:spacing w:after="60"/>
      </w:pPr>
      <w:r>
        <w:rPr>
          <w:rStyle w:val="Hyperlink.0"/>
        </w:rPr>
        <w:fldChar w:fldCharType="begin" w:fldLock="0"/>
      </w:r>
      <w:r>
        <w:rPr>
          <w:rStyle w:val="Hyperlink.0"/>
        </w:rPr>
        <w:instrText xml:space="preserve"> HYPERLINK "https://research.grayscale.com/reports/2026-digital-asset-outlook-dawn-of-the-institutional-era"</w:instrText>
      </w:r>
      <w:r>
        <w:rPr>
          <w:rStyle w:val="Hyperlink.0"/>
        </w:rPr>
        <w:fldChar w:fldCharType="separate" w:fldLock="0"/>
      </w:r>
      <w:r>
        <w:rPr>
          <w:rStyle w:val="Hyperlink.0"/>
          <w:rtl w:val="0"/>
          <w:lang w:val="it-IT"/>
        </w:rPr>
        <w:t xml:space="preserve">Grayscale: 2026 Digital Asset Outlook </w:t>
      </w:r>
      <w:r>
        <w:rPr>
          <w:rStyle w:val="Hyperlink.0"/>
          <w:rtl w:val="0"/>
          <w:lang w:val="en-US"/>
        </w:rPr>
        <w:t xml:space="preserve">— </w:t>
      </w:r>
      <w:r>
        <w:rPr>
          <w:rStyle w:val="Hyperlink.0"/>
          <w:rtl w:val="0"/>
          <w:lang w:val="en-US"/>
        </w:rPr>
        <w:t>Dawn of the Institutional Era</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"https://www.ssga.com/us/en/institutional/insights/why-bitcoin-institutional-demand-is-on-the-rise"</w:instrText>
      </w:r>
      <w:r>
        <w:rPr>
          <w:rStyle w:val="Hyperlink.0"/>
        </w:rPr>
        <w:fldChar w:fldCharType="separate" w:fldLock="0"/>
      </w:r>
      <w:r>
        <w:rPr>
          <w:rStyle w:val="Hyperlink.0"/>
          <w:rtl w:val="0"/>
          <w:lang w:val="en-US"/>
        </w:rPr>
        <w:t>State Street Global Advisors: Why Bitcoin Institutional Demand Is on the Rise</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"https://b2broker.com/news/institutional-adoption-of-crypto/"</w:instrText>
      </w:r>
      <w:r>
        <w:rPr>
          <w:rStyle w:val="Hyperlink.0"/>
        </w:rPr>
        <w:fldChar w:fldCharType="separate" w:fldLock="0"/>
      </w:r>
      <w:r>
        <w:rPr>
          <w:rStyle w:val="Hyperlink.0"/>
          <w:rtl w:val="0"/>
          <w:lang w:val="en-US"/>
        </w:rPr>
        <w:t xml:space="preserve">B2Broker: Institutional Adoption of Crypto </w:t>
      </w:r>
      <w:r>
        <w:rPr>
          <w:rStyle w:val="Hyperlink.0"/>
          <w:rtl w:val="0"/>
          <w:lang w:val="en-US"/>
        </w:rPr>
        <w:t xml:space="preserve">— </w:t>
      </w:r>
      <w:r>
        <w:rPr>
          <w:rStyle w:val="Hyperlink.0"/>
          <w:rtl w:val="0"/>
          <w:lang w:val="en-US"/>
        </w:rPr>
        <w:t>2026 Trends &amp; Analysis</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"https://coinlaw.io/cryptocurrency-adoption-by-institutional-investors-statistics/"</w:instrText>
      </w:r>
      <w:r>
        <w:rPr>
          <w:rStyle w:val="Hyperlink.0"/>
        </w:rPr>
        <w:fldChar w:fldCharType="separate" w:fldLock="0"/>
      </w:r>
      <w:r>
        <w:rPr>
          <w:rStyle w:val="Hyperlink.0"/>
          <w:rtl w:val="0"/>
          <w:lang w:val="en-US"/>
        </w:rPr>
        <w:t>CoinLaw: Cryptocurrency Adoption by Institutional Investors Statistics 2026</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"https://aminagroup.com/research/2026-outlook-institutional-adoption-regulation-and-market-structure/"</w:instrText>
      </w:r>
      <w:r>
        <w:rPr>
          <w:rStyle w:val="Hyperlink.0"/>
        </w:rPr>
        <w:fldChar w:fldCharType="separate" w:fldLock="0"/>
      </w:r>
      <w:r>
        <w:rPr>
          <w:rStyle w:val="Hyperlink.0"/>
          <w:rtl w:val="0"/>
          <w:lang w:val="it-IT"/>
        </w:rPr>
        <w:t xml:space="preserve">AMINA Bank: Crypto in 2026 </w:t>
      </w:r>
      <w:r>
        <w:rPr>
          <w:rStyle w:val="Hyperlink.0"/>
          <w:rtl w:val="0"/>
          <w:lang w:val="en-US"/>
        </w:rPr>
        <w:t xml:space="preserve">— </w:t>
      </w:r>
      <w:r>
        <w:rPr>
          <w:rStyle w:val="Hyperlink.0"/>
          <w:rtl w:val="0"/>
          <w:lang w:val="en-US"/>
        </w:rPr>
        <w:t>From Speculation to Financial Infrastructure</w:t>
      </w:r>
      <w:r>
        <w:rPr/>
        <w:fldChar w:fldCharType="end" w:fldLock="0"/>
      </w:r>
    </w:p>
    <w:p>
      <w:pPr>
        <w:pStyle w:val="Heading 2"/>
      </w:pPr>
      <w:r>
        <w:rPr>
          <w:outline w:val="0"/>
          <w:color w:val="1b2a4a"/>
          <w:u w:color="1b2a4a"/>
          <w:rtl w:val="0"/>
          <w:lang w:val="nl-NL"/>
          <w14:textFill>
            <w14:solidFill>
              <w14:srgbClr w14:val="1B2A4A"/>
            </w14:solidFill>
          </w14:textFill>
        </w:rPr>
        <w:t>Fintech &amp; Banking Convergence</w:t>
      </w:r>
    </w:p>
    <w:p>
      <w:pPr>
        <w:pStyle w:val="List Paragraph"/>
        <w:numPr>
          <w:ilvl w:val="0"/>
          <w:numId w:val="16"/>
        </w:numPr>
        <w:spacing w:after="60"/>
      </w:pPr>
      <w:r>
        <w:rPr>
          <w:rStyle w:val="Hyperlink.0"/>
        </w:rPr>
        <w:fldChar w:fldCharType="begin" w:fldLock="0"/>
      </w:r>
      <w:r>
        <w:rPr>
          <w:rStyle w:val="Hyperlink.0"/>
        </w:rPr>
        <w:instrText xml:space="preserve"> HYPERLINK "https://www.fintechweekly.com/news/occ-national-trust-bank-charter-crypto-fintech-2026"</w:instrText>
      </w:r>
      <w:r>
        <w:rPr>
          <w:rStyle w:val="Hyperlink.0"/>
        </w:rPr>
        <w:fldChar w:fldCharType="separate" w:fldLock="0"/>
      </w:r>
      <w:r>
        <w:rPr>
          <w:rStyle w:val="Hyperlink.0"/>
          <w:rtl w:val="0"/>
          <w:lang w:val="en-US"/>
        </w:rPr>
        <w:t xml:space="preserve">FinTech Weekly: Eleven Companies, Eighty-Three Days </w:t>
      </w:r>
      <w:r>
        <w:rPr>
          <w:rStyle w:val="Hyperlink.0"/>
          <w:rtl w:val="0"/>
          <w:lang w:val="en-US"/>
        </w:rPr>
        <w:t xml:space="preserve">— </w:t>
      </w:r>
      <w:r>
        <w:rPr>
          <w:rStyle w:val="Hyperlink.0"/>
          <w:rtl w:val="0"/>
          <w:lang w:val="en-US"/>
        </w:rPr>
        <w:t>The Race for a Federal Crypto Banking License</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"https://www.cbinsights.com/research/report/fintech-predictions-2026/"</w:instrText>
      </w:r>
      <w:r>
        <w:rPr>
          <w:rStyle w:val="Hyperlink.0"/>
        </w:rPr>
        <w:fldChar w:fldCharType="separate" w:fldLock="0"/>
      </w:r>
      <w:r>
        <w:rPr>
          <w:rStyle w:val="Hyperlink.0"/>
          <w:rtl w:val="0"/>
          <w:lang w:val="en-US"/>
        </w:rPr>
        <w:t>CB Insights: 9 Fintech Predictions for 2026</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"https://www.fprimecapital.com/blog/the-state-of-fintech-in-2026/"</w:instrText>
      </w:r>
      <w:r>
        <w:rPr>
          <w:rStyle w:val="Hyperlink.0"/>
        </w:rPr>
        <w:fldChar w:fldCharType="separate" w:fldLock="0"/>
      </w:r>
      <w:r>
        <w:rPr>
          <w:rStyle w:val="Hyperlink.0"/>
          <w:rtl w:val="0"/>
          <w:lang w:val="en-US"/>
        </w:rPr>
        <w:t>F-Prime Capital: The State of Fintech in 2026</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"https://www.fintechweekly.com/magazine/articles/stablecoins-2025-regulation-banks-fintech-digital-money-infrastructure"</w:instrText>
      </w:r>
      <w:r>
        <w:rPr>
          <w:rStyle w:val="Hyperlink.0"/>
        </w:rPr>
        <w:fldChar w:fldCharType="separate" w:fldLock="0"/>
      </w:r>
      <w:r>
        <w:rPr>
          <w:rStyle w:val="Hyperlink.0"/>
          <w:rtl w:val="0"/>
          <w:lang w:val="en-US"/>
        </w:rPr>
        <w:t xml:space="preserve">FinTech Weekly: Stablecoins in 2025 </w:t>
      </w:r>
      <w:r>
        <w:rPr>
          <w:rStyle w:val="Hyperlink.0"/>
          <w:rtl w:val="0"/>
          <w:lang w:val="en-US"/>
        </w:rPr>
        <w:t xml:space="preserve">— </w:t>
      </w:r>
      <w:r>
        <w:rPr>
          <w:rStyle w:val="Hyperlink.0"/>
          <w:rtl w:val="0"/>
          <w:lang w:val="en-US"/>
        </w:rPr>
        <w:t>How Regulation, Banks, and Fintechs Turned Digital Money Into Infrastructure</w:t>
      </w:r>
      <w:r>
        <w:rPr/>
        <w:fldChar w:fldCharType="end" w:fldLock="0"/>
      </w:r>
    </w:p>
    <w:p>
      <w:pPr>
        <w:pStyle w:val="Heading 2"/>
      </w:pPr>
      <w:r>
        <w:rPr>
          <w:outline w:val="0"/>
          <w:color w:val="1b2a4a"/>
          <w:u w:color="1b2a4a"/>
          <w:rtl w:val="0"/>
          <w:lang w:val="en-US"/>
          <w14:textFill>
            <w14:solidFill>
              <w14:srgbClr w14:val="1B2A4A"/>
            </w14:solidFill>
          </w14:textFill>
        </w:rPr>
        <w:t>Corporate Bitcoin Treasury</w:t>
      </w:r>
    </w:p>
    <w:p>
      <w:pPr>
        <w:pStyle w:val="List Paragraph"/>
        <w:numPr>
          <w:ilvl w:val="0"/>
          <w:numId w:val="16"/>
        </w:numPr>
        <w:spacing w:after="60"/>
      </w:pPr>
      <w:r>
        <w:rPr>
          <w:rStyle w:val="Hyperlink.0"/>
        </w:rPr>
        <w:fldChar w:fldCharType="begin" w:fldLock="0"/>
      </w:r>
      <w:r>
        <w:rPr>
          <w:rStyle w:val="Hyperlink.0"/>
        </w:rPr>
        <w:instrText xml:space="preserve"> HYPERLINK "https://www.pymnts.com/cryptocurrency/2025/strategy-gamestop-lead-50-billion-institutional-surge-into-bitcoin-as-treasury-asset/"</w:instrText>
      </w:r>
      <w:r>
        <w:rPr>
          <w:rStyle w:val="Hyperlink.0"/>
        </w:rPr>
        <w:fldChar w:fldCharType="separate" w:fldLock="0"/>
      </w:r>
      <w:r>
        <w:rPr>
          <w:rStyle w:val="Hyperlink.0"/>
          <w:rtl w:val="0"/>
          <w:lang w:val="en-US"/>
        </w:rPr>
        <w:t>PYMNTS: GameStop Joins $50B Institutional Surge Into Bitcoin as Treasury Asset</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"https://www.strategy.com/press/strategy-announces-fourth-quarter-2025-financial-results_02-05-2026"</w:instrText>
      </w:r>
      <w:r>
        <w:rPr>
          <w:rStyle w:val="Hyperlink.0"/>
        </w:rPr>
        <w:fldChar w:fldCharType="separate" w:fldLock="0"/>
      </w:r>
      <w:r>
        <w:rPr>
          <w:rStyle w:val="Hyperlink.0"/>
          <w:rtl w:val="0"/>
          <w:lang w:val="en-US"/>
        </w:rPr>
        <w:t>Strategy Inc: Fourth Quarter 2025 Financial Results</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"https://www.fintechweekly.com/magazine/articles/corporate-crypto-treasuries-bitcoin-mainstream-adoption"</w:instrText>
      </w:r>
      <w:r>
        <w:rPr>
          <w:rStyle w:val="Hyperlink.0"/>
        </w:rPr>
        <w:fldChar w:fldCharType="separate" w:fldLock="0"/>
      </w:r>
      <w:r>
        <w:rPr>
          <w:rStyle w:val="Hyperlink.0"/>
          <w:rtl w:val="0"/>
          <w:lang w:val="en-US"/>
        </w:rPr>
        <w:t xml:space="preserve">FinTech Weekly: Corporate Crypto Treasuries </w:t>
      </w:r>
      <w:r>
        <w:rPr>
          <w:rStyle w:val="Hyperlink.0"/>
          <w:rtl w:val="0"/>
          <w:lang w:val="en-US"/>
        </w:rPr>
        <w:t xml:space="preserve">— </w:t>
      </w:r>
      <w:r>
        <w:rPr>
          <w:rStyle w:val="Hyperlink.0"/>
          <w:rtl w:val="0"/>
          <w:lang w:val="en-US"/>
        </w:rPr>
        <w:t>From MicroStrategy to Mainstream</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"https://bitcoinforcorporations.com/"</w:instrText>
      </w:r>
      <w:r>
        <w:rPr>
          <w:rStyle w:val="Hyperlink.0"/>
        </w:rPr>
        <w:fldChar w:fldCharType="separate" w:fldLock="0"/>
      </w:r>
      <w:r>
        <w:rPr>
          <w:rStyle w:val="Hyperlink.0"/>
          <w:rtl w:val="0"/>
          <w:lang w:val="en-US"/>
        </w:rPr>
        <w:t>Bitcoin for Corporations: The Executive Network for Corporate Bitcoin Strategy</w:t>
      </w:r>
      <w:r>
        <w:rPr/>
        <w:fldChar w:fldCharType="end" w:fldLock="0"/>
      </w:r>
    </w:p>
    <w:p>
      <w:pPr>
        <w:pStyle w:val="Heading 2"/>
      </w:pPr>
      <w:r>
        <w:rPr>
          <w:outline w:val="0"/>
          <w:color w:val="1b2a4a"/>
          <w:u w:color="1b2a4a"/>
          <w:rtl w:val="0"/>
          <w:lang w:val="en-US"/>
          <w14:textFill>
            <w14:solidFill>
              <w14:srgbClr w14:val="1B2A4A"/>
            </w14:solidFill>
          </w14:textFill>
        </w:rPr>
        <w:t>Custody &amp; Infrastructure</w:t>
      </w:r>
    </w:p>
    <w:p>
      <w:pPr>
        <w:pStyle w:val="List Paragraph"/>
        <w:numPr>
          <w:ilvl w:val="0"/>
          <w:numId w:val="16"/>
        </w:numPr>
        <w:spacing w:after="60"/>
      </w:pPr>
      <w:r>
        <w:rPr>
          <w:rStyle w:val="Hyperlink.0"/>
        </w:rPr>
        <w:fldChar w:fldCharType="begin" w:fldLock="0"/>
      </w:r>
      <w:r>
        <w:rPr>
          <w:rStyle w:val="Hyperlink.0"/>
        </w:rPr>
        <w:instrText xml:space="preserve"> HYPERLINK "https://www.coindesk.com/business/2026/02/27/citi-and-morgan-stanley-expand-bitcoin-and-crypto-custody-trading-and-tokenization-efforts"</w:instrText>
      </w:r>
      <w:r>
        <w:rPr>
          <w:rStyle w:val="Hyperlink.0"/>
        </w:rPr>
        <w:fldChar w:fldCharType="separate" w:fldLock="0"/>
      </w:r>
      <w:r>
        <w:rPr>
          <w:rStyle w:val="Hyperlink.0"/>
          <w:rtl w:val="0"/>
          <w:lang w:val="en-US"/>
        </w:rPr>
        <w:t>CoinDesk: Citi Wants to Make Bitcoin Bankable as Wall Street Builds Native Crypto Infrastructure</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"https://caia.org/blog/2025/12/22/institutional-custody-dilemma-balancing-centralization-and-self-custody-digital"</w:instrText>
      </w:r>
      <w:r>
        <w:rPr>
          <w:rStyle w:val="Hyperlink.0"/>
        </w:rPr>
        <w:fldChar w:fldCharType="separate" w:fldLock="0"/>
      </w:r>
      <w:r>
        <w:rPr>
          <w:rStyle w:val="Hyperlink.0"/>
          <w:rtl w:val="0"/>
          <w:lang w:val="en-US"/>
        </w:rPr>
        <w:t xml:space="preserve">CAIA: The Institutional Custody Dilemma </w:t>
      </w:r>
      <w:r>
        <w:rPr>
          <w:rStyle w:val="Hyperlink.0"/>
          <w:rtl w:val="0"/>
          <w:lang w:val="en-US"/>
        </w:rPr>
        <w:t xml:space="preserve">— </w:t>
      </w:r>
      <w:r>
        <w:rPr>
          <w:rStyle w:val="Hyperlink.0"/>
          <w:rtl w:val="0"/>
          <w:lang w:val="en-US"/>
        </w:rPr>
        <w:t>Balancing Centralization and Self-Custody</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"https://www.statestreet.com/cn/en/insights/digital-digest-july-2025-digital-asset-custody"</w:instrText>
      </w:r>
      <w:r>
        <w:rPr>
          <w:rStyle w:val="Hyperlink.0"/>
        </w:rPr>
        <w:fldChar w:fldCharType="separate" w:fldLock="0"/>
      </w:r>
      <w:r>
        <w:rPr>
          <w:rStyle w:val="Hyperlink.0"/>
          <w:rtl w:val="0"/>
          <w:lang w:val="en-US"/>
        </w:rPr>
        <w:t xml:space="preserve">State Street: The Future of Digital Asset Custody </w:t>
      </w:r>
      <w:r>
        <w:rPr>
          <w:rStyle w:val="Hyperlink.0"/>
          <w:rtl w:val="0"/>
          <w:lang w:val="en-US"/>
        </w:rPr>
        <w:t xml:space="preserve">— </w:t>
      </w:r>
      <w:r>
        <w:rPr>
          <w:rStyle w:val="Hyperlink.0"/>
          <w:rtl w:val="0"/>
          <w:lang w:val="en-US"/>
        </w:rPr>
        <w:t>Building Trust at Scale</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"https://www.bitgo.com/resources/blog/2025-year-in-review/"</w:instrText>
      </w:r>
      <w:r>
        <w:rPr>
          <w:rStyle w:val="Hyperlink.0"/>
        </w:rPr>
        <w:fldChar w:fldCharType="separate" w:fldLock="0"/>
      </w:r>
      <w:r>
        <w:rPr>
          <w:rStyle w:val="Hyperlink.0"/>
          <w:rtl w:val="0"/>
          <w:lang w:val="en-US"/>
        </w:rPr>
        <w:t xml:space="preserve">BitGo: 2025 Year in Review </w:t>
      </w:r>
      <w:r>
        <w:rPr>
          <w:rStyle w:val="Hyperlink.0"/>
          <w:rtl w:val="0"/>
          <w:lang w:val="en-US"/>
        </w:rPr>
        <w:t xml:space="preserve">— </w:t>
      </w:r>
      <w:r>
        <w:rPr>
          <w:rStyle w:val="Hyperlink.0"/>
          <w:rtl w:val="0"/>
          <w:lang w:val="en-US"/>
        </w:rPr>
        <w:t>The Institutionalization of Crypto</w:t>
      </w:r>
      <w:r>
        <w:rPr/>
        <w:fldChar w:fldCharType="end" w:fldLock="0"/>
      </w:r>
    </w:p>
    <w:p>
      <w:pPr>
        <w:pStyle w:val="Heading 2"/>
      </w:pPr>
      <w:r>
        <w:rPr>
          <w:outline w:val="0"/>
          <w:color w:val="1b2a4a"/>
          <w:u w:color="1b2a4a"/>
          <w:rtl w:val="0"/>
          <w:lang w:val="pt-PT"/>
          <w14:textFill>
            <w14:solidFill>
              <w14:srgbClr w14:val="1B2A4A"/>
            </w14:solidFill>
          </w14:textFill>
        </w:rPr>
        <w:t>Acre Protocol</w:t>
      </w:r>
    </w:p>
    <w:p>
      <w:pPr>
        <w:pStyle w:val="List Paragraph"/>
        <w:numPr>
          <w:ilvl w:val="0"/>
          <w:numId w:val="16"/>
        </w:numPr>
        <w:spacing w:after="60"/>
      </w:pPr>
      <w:r>
        <w:rPr>
          <w:rStyle w:val="Hyperlink.0"/>
        </w:rPr>
        <w:fldChar w:fldCharType="begin" w:fldLock="0"/>
      </w:r>
      <w:r>
        <w:rPr>
          <w:rStyle w:val="Hyperlink.0"/>
        </w:rPr>
        <w:instrText xml:space="preserve"> HYPERLINK "https://blockworks.com/news/acre-btc-yield-ethereum"</w:instrText>
      </w:r>
      <w:r>
        <w:rPr>
          <w:rStyle w:val="Hyperlink.0"/>
        </w:rPr>
        <w:fldChar w:fldCharType="separate" w:fldLock="0"/>
      </w:r>
      <w:r>
        <w:rPr>
          <w:rStyle w:val="Hyperlink.0"/>
          <w:rtl w:val="0"/>
          <w:lang w:val="en-US"/>
        </w:rPr>
        <w:t>Blockworks: Acre</w:t>
      </w:r>
      <w:r>
        <w:rPr>
          <w:rStyle w:val="Hyperlink.0"/>
          <w:rtl w:val="1"/>
        </w:rPr>
        <w:t>’</w:t>
      </w:r>
      <w:r>
        <w:rPr>
          <w:rStyle w:val="Hyperlink.0"/>
          <w:rtl w:val="0"/>
          <w:lang w:val="en-US"/>
        </w:rPr>
        <w:t>s 14% Bitcoin Yield Leans on Ethereum DeFi</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"https://docs.acre.fi/"</w:instrText>
      </w:r>
      <w:r>
        <w:rPr>
          <w:rStyle w:val="Hyperlink.0"/>
        </w:rPr>
        <w:fldChar w:fldCharType="separate" w:fldLock="0"/>
      </w:r>
      <w:r>
        <w:rPr>
          <w:rStyle w:val="Hyperlink.0"/>
          <w:rtl w:val="0"/>
          <w:lang w:val="en-US"/>
        </w:rPr>
        <w:t>Acre Documentation: Introduction</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"https://www.decential.io/articles/acre-is-helping-people-compound-bitcoin-with-enhanced-on-chain-transparency"</w:instrText>
      </w:r>
      <w:r>
        <w:rPr>
          <w:rStyle w:val="Hyperlink.0"/>
        </w:rPr>
        <w:fldChar w:fldCharType="separate" w:fldLock="0"/>
      </w:r>
      <w:r>
        <w:rPr>
          <w:rStyle w:val="Hyperlink.0"/>
          <w:rtl w:val="0"/>
          <w:lang w:val="en-US"/>
        </w:rPr>
        <w:t>Decential: Acre Is Helping People Compound Bitcoin with Enhanced On-Chain Transparency</w:t>
      </w:r>
      <w:r>
        <w:rPr/>
        <w:fldChar w:fldCharType="end" w:fldLock="0"/>
      </w:r>
    </w:p>
    <w:p>
      <w:pPr>
        <w:pStyle w:val="List Paragraph"/>
        <w:numPr>
          <w:ilvl w:val="0"/>
          <w:numId w:val="16"/>
        </w:numPr>
        <w:spacing w:after="60"/>
      </w:pPr>
      <w:r>
        <w:rPr>
          <w:rStyle w:val="Hyperlink.0"/>
        </w:rPr>
        <w:fldChar w:fldCharType="begin" w:fldLock="0"/>
      </w:r>
      <w:r>
        <w:rPr>
          <w:rStyle w:val="Hyperlink.0"/>
        </w:rPr>
        <w:instrText xml:space="preserve"> HYPERLINK "https://chainwire.org/2025/10/29/acre-launches-v2-platform-enabling-bitcoin-holders-to-earn-14-apy-est-from-self-custody/"</w:instrText>
      </w:r>
      <w:r>
        <w:rPr>
          <w:rStyle w:val="Hyperlink.0"/>
        </w:rPr>
        <w:fldChar w:fldCharType="separate" w:fldLock="0"/>
      </w:r>
      <w:r>
        <w:rPr>
          <w:rStyle w:val="Hyperlink.0"/>
          <w:rtl w:val="0"/>
          <w:lang w:val="en-US"/>
        </w:rPr>
        <w:t xml:space="preserve">Chainwire: Acre Launches V2 Platform </w:t>
      </w:r>
      <w:r>
        <w:rPr>
          <w:rStyle w:val="Hyperlink.0"/>
          <w:rtl w:val="0"/>
          <w:lang w:val="en-US"/>
        </w:rPr>
        <w:t xml:space="preserve">— </w:t>
      </w:r>
      <w:r>
        <w:rPr>
          <w:rStyle w:val="Hyperlink.0"/>
          <w:rtl w:val="0"/>
          <w:lang w:val="en-US"/>
        </w:rPr>
        <w:t>14% APY from Self-Custody</w:t>
      </w:r>
      <w:r>
        <w:rPr/>
        <w:fldChar w:fldCharType="end" w:fldLock="0"/>
      </w:r>
    </w:p>
    <w:p>
      <w:pPr>
        <w:pStyle w:val="List Paragraph"/>
        <w:spacing w:after="60"/>
      </w:pPr>
    </w:p>
    <w:p>
      <w:pPr>
        <w:pStyle w:val="List Paragraph"/>
        <w:spacing w:after="60"/>
      </w:pPr>
    </w:p>
    <w:p>
      <w:pPr>
        <w:pStyle w:val="List Paragraph"/>
        <w:spacing w:after="60"/>
      </w:pPr>
    </w:p>
    <w:p>
      <w:pPr>
        <w:pStyle w:val="List Paragraph"/>
        <w:spacing w:after="60"/>
      </w:pPr>
      <w:r>
        <w:rPr>
          <w:rFonts w:ascii="Arial" w:hAnsi="Arial"/>
          <w:i w:val="1"/>
          <w:iCs w:val="1"/>
          <w:outline w:val="0"/>
          <w:color w:val="2c2c2c"/>
          <w:sz w:val="22"/>
          <w:szCs w:val="22"/>
          <w:u w:color="2c2c2c"/>
          <w:rtl w:val="0"/>
          <w:lang w:val="en-US"/>
          <w14:textFill>
            <w14:solidFill>
              <w14:srgbClr w14:val="2C2C2C"/>
            </w14:solidFill>
          </w14:textFill>
        </w:rPr>
        <w:t>This report was prepared for Acre Protocol. All data points are sourced from publicly available research, news reporting, and official company disclosures as of March 2026. Market data is subject to change.</w:t>
      </w:r>
    </w:p>
    <w:sectPr>
      <w:headerReference w:type="default" r:id="rId6"/>
      <w:footerReference w:type="default" r:id="rId7"/>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999999"/>
        <w:sz w:val="18"/>
        <w:szCs w:val="18"/>
        <w:u w:color="999999"/>
        <w:rtl w:val="0"/>
        <w:lang w:val="da-DK"/>
        <w14:textFill>
          <w14:solidFill>
            <w14:srgbClr w14:val="999999"/>
          </w14:solidFill>
        </w14:textFill>
      </w:rPr>
      <w:t xml:space="preserve">Page </w:t>
    </w:r>
    <w:r>
      <w:rPr>
        <w:rFonts w:ascii="Arial" w:cs="Arial" w:hAnsi="Arial" w:eastAsia="Arial"/>
        <w:outline w:val="0"/>
        <w:color w:val="999999"/>
        <w:sz w:val="18"/>
        <w:szCs w:val="18"/>
        <w:u w:color="999999"/>
        <w14:textFill>
          <w14:solidFill>
            <w14:srgbClr w14:val="999999"/>
          </w14:solidFill>
        </w14:textFill>
      </w:rPr>
      <w:fldChar w:fldCharType="begin" w:fldLock="0"/>
    </w:r>
    <w:r>
      <w:rPr>
        <w:rFonts w:ascii="Arial" w:cs="Arial" w:hAnsi="Arial" w:eastAsia="Arial"/>
        <w:outline w:val="0"/>
        <w:color w:val="999999"/>
        <w:sz w:val="18"/>
        <w:szCs w:val="18"/>
        <w:u w:color="999999"/>
        <w14:textFill>
          <w14:solidFill>
            <w14:srgbClr w14:val="999999"/>
          </w14:solidFill>
        </w14:textFill>
      </w:rPr>
      <w:instrText xml:space="preserve"> PAGE </w:instrText>
    </w:r>
    <w:r>
      <w:rPr>
        <w:rFonts w:ascii="Arial" w:cs="Arial" w:hAnsi="Arial" w:eastAsia="Arial"/>
        <w:outline w:val="0"/>
        <w:color w:val="999999"/>
        <w:sz w:val="18"/>
        <w:szCs w:val="18"/>
        <w:u w:color="999999"/>
        <w14:textFill>
          <w14:solidFill>
            <w14:srgbClr w14:val="999999"/>
          </w14:solidFill>
        </w14:textFill>
      </w:rPr>
      <w:fldChar w:fldCharType="separate" w:fldLock="0"/>
    </w:r>
    <w:r>
      <w:rPr>
        <w:rFonts w:ascii="Arial" w:cs="Arial" w:hAnsi="Arial" w:eastAsia="Arial"/>
        <w:outline w:val="0"/>
        <w:color w:val="999999"/>
        <w:sz w:val="18"/>
        <w:szCs w:val="18"/>
        <w:u w:color="999999"/>
        <w14:textFill>
          <w14:solidFill>
            <w14:srgbClr w14:val="999999"/>
          </w14:solidFill>
        </w14:textFill>
      </w:rPr>
    </w:r>
    <w:r>
      <w:rPr>
        <w:rFonts w:ascii="Arial" w:cs="Arial" w:hAnsi="Arial" w:eastAsia="Arial"/>
        <w:outline w:val="0"/>
        <w:color w:val="999999"/>
        <w:sz w:val="18"/>
        <w:szCs w:val="18"/>
        <w:u w:color="999999"/>
        <w14:textFill>
          <w14:solidFill>
            <w14:srgbClr w14:val="99999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d4a843"/>
        <w:sz w:val="16"/>
        <w:szCs w:val="16"/>
        <w:u w:color="d4a843"/>
        <w:rtl w:val="0"/>
        <w:lang w:val="de-DE"/>
        <w14:textFill>
          <w14:solidFill>
            <w14:srgbClr w14:val="D4A843"/>
          </w14:solidFill>
        </w14:textFill>
      </w:rPr>
      <w:t>ACRE PROTOCOL</w:t>
    </w:r>
    <w:r>
      <w:rPr>
        <w:rFonts w:ascii="Arial" w:cs="Arial" w:hAnsi="Arial" w:eastAsia="Arial"/>
        <w:outline w:val="0"/>
        <w:color w:val="999999"/>
        <w:sz w:val="16"/>
        <w:szCs w:val="16"/>
        <w:u w:color="999999"/>
        <w:rtl w:val="0"/>
        <w:lang w:val="en-US"/>
        <w14:textFill>
          <w14:solidFill>
            <w14:srgbClr w14:val="999999"/>
          </w14:solidFill>
        </w14:textFill>
      </w:rPr>
      <w:tab/>
      <w:t>Research Report &amp; Content Strategy</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2a4a"/>
      <w:spacing w:val="0"/>
      <w:kern w:val="0"/>
      <w:position w:val="0"/>
      <w:sz w:val="36"/>
      <w:szCs w:val="36"/>
      <w:u w:val="none" w:color="1b2a4a"/>
      <w:shd w:val="nil" w:color="auto" w:fill="auto"/>
      <w:vertAlign w:val="baseline"/>
      <w:lang w:val="en-US"/>
      <w14:textOutline>
        <w14:noFill/>
      </w14:textOutline>
      <w14:textFill>
        <w14:solidFill>
          <w14:srgbClr w14:val="1B2A4A"/>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b2a4a"/>
      <w:spacing w:val="0"/>
      <w:kern w:val="0"/>
      <w:position w:val="0"/>
      <w:sz w:val="28"/>
      <w:szCs w:val="28"/>
      <w:u w:val="none" w:color="1b2a4a"/>
      <w:shd w:val="nil" w:color="auto" w:fill="auto"/>
      <w:vertAlign w:val="baseline"/>
      <w:lang w:val="en-US"/>
      <w14:textOutline>
        <w14:noFill/>
      </w14:textOutline>
      <w14:textFill>
        <w14:solidFill>
          <w14:srgbClr w14:val="1B2A4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Arial" w:cs="Arial" w:hAnsi="Arial" w:eastAsia="Arial"/>
    </w:rPr>
  </w:style>
  <w:style w:type="numbering" w:styleId="Imported Style 8">
    <w:name w:val="Imported Style 8"/>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