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b2a4a"/>
          <w:sz w:val="36"/>
          <w:szCs w:val="36"/>
          <w:u w:color="1b2a4a"/>
          <w:rtl w:val="0"/>
          <w:lang w:val="en-US"/>
          <w14:textFill>
            <w14:solidFill>
              <w14:srgbClr w14:val="1B2A4A"/>
            </w14:solidFill>
          </w14:textFill>
        </w:rPr>
        <w:t>EXECUTIVE ROLE RESEARCH SUMMARY</w:t>
      </w:r>
    </w:p>
    <w:p>
      <w:pPr>
        <w:pStyle w:val="Body"/>
        <w:bidi w:val="0"/>
      </w:pPr>
      <w:r>
        <w:rPr>
          <w:rFonts w:ascii="Arial" w:hAnsi="Arial"/>
          <w:b w:val="1"/>
          <w:bCs w:val="1"/>
          <w:outline w:val="0"/>
          <w:color w:val="d4a853"/>
          <w:sz w:val="24"/>
          <w:szCs w:val="24"/>
          <w:u w:color="d4a853"/>
          <w:rtl w:val="0"/>
          <w:lang w:val="en-US"/>
          <w14:textFill>
            <w14:solidFill>
              <w14:srgbClr w14:val="D4A853"/>
            </w14:solidFill>
          </w14:textFill>
        </w:rPr>
        <w:t>New Position: Head of Institutional Adoption</w:t>
      </w:r>
    </w:p>
    <w:p>
      <w:pPr>
        <w:pStyle w:val="Body"/>
        <w:bidi w:val="0"/>
      </w:pPr>
      <w:r>
        <w:rPr>
          <w:rFonts w:ascii="Arial" w:hAnsi="Arial"/>
          <w:outline w:val="0"/>
          <w:color w:val="666666"/>
          <w:sz w:val="20"/>
          <w:szCs w:val="20"/>
          <w:u w:color="666666"/>
          <w:rtl w:val="0"/>
          <w:lang w:val="en-US"/>
          <w14:textFill>
            <w14:solidFill>
              <w14:srgbClr w14:val="666666"/>
            </w14:solidFill>
          </w14:textFill>
        </w:rPr>
        <w:t xml:space="preserve">Prepared for Acre Executive Team </w:t>
      </w:r>
      <w:r>
        <w:rPr>
          <w:rFonts w:ascii="Arial" w:hAnsi="Arial" w:hint="default"/>
          <w:outline w:val="0"/>
          <w:color w:val="666666"/>
          <w:sz w:val="20"/>
          <w:szCs w:val="20"/>
          <w:u w:color="666666"/>
          <w:rtl w:val="0"/>
          <w14:textFill>
            <w14:solidFill>
              <w14:srgbClr w14:val="666666"/>
            </w14:solidFill>
          </w14:textFill>
        </w:rPr>
        <w:t xml:space="preserve">– </w:t>
      </w:r>
      <w:r>
        <w:rPr>
          <w:rFonts w:ascii="Arial" w:hAnsi="Arial"/>
          <w:outline w:val="0"/>
          <w:color w:val="666666"/>
          <w:sz w:val="20"/>
          <w:szCs w:val="20"/>
          <w:u w:color="666666"/>
          <w:rtl w:val="0"/>
          <w:lang w:val="en-US"/>
          <w14:textFill>
            <w14:solidFill>
              <w14:srgbClr w14:val="666666"/>
            </w14:solidFill>
          </w14:textFill>
        </w:rPr>
        <w:t>March 2026</w:t>
      </w:r>
    </w:p>
    <w:p>
      <w:pPr>
        <w:pStyle w:val="Body"/>
        <w:bidi w:val="0"/>
      </w:pPr>
    </w:p>
    <w:p>
      <w:pPr>
        <w:pStyle w:val="Heading"/>
      </w:pPr>
      <w:r>
        <w:rPr>
          <w:rtl w:val="0"/>
          <w:lang w:val="en-US"/>
        </w:rPr>
        <w:t>Recommended Title &amp; Alternatives</w:t>
      </w:r>
    </w:p>
    <w:p>
      <w:pPr>
        <w:pStyle w:val="Heading"/>
      </w:pPr>
      <w:r>
        <w:rPr>
          <w:rFonts w:ascii="Times New Roman" w:hAnsi="Times New Roman"/>
          <w:outline w:val="0"/>
          <w:color w:val="1b2a4a"/>
          <w:sz w:val="24"/>
          <w:szCs w:val="24"/>
          <w:u w:color="1b2a4a"/>
          <w:rtl w:val="0"/>
          <w:lang w:val="en-US"/>
          <w14:textFill>
            <w14:solidFill>
              <w14:srgbClr w14:val="1B2A4A"/>
            </w14:solidFill>
          </w14:textFill>
        </w:rPr>
        <w:t>Primary Recommendation: Head of Institutional Adoption</w:t>
      </w:r>
    </w:p>
    <w:p>
      <w:pPr>
        <w:pStyle w:val="Heading"/>
      </w:pPr>
      <w:r>
        <w:rPr>
          <w:outline w:val="0"/>
          <w:color w:val="000000"/>
          <w:u w:color="000000"/>
          <w:rtl w:val="0"/>
          <w:lang w:val="en-US"/>
          <w14:textFill>
            <w14:solidFill>
              <w14:srgbClr w14:val="000000"/>
            </w14:solidFill>
          </w14:textFill>
        </w:rPr>
        <w:t>This title was developed after analyzing executive roles across 25+ leading Bitcoin finance, DeFi vault infrastructure, digital asset, and traditional finance companies. The research examined how institutional-facing roles are titled across the full spectrum</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from BTCFi protocols to major banks entering crypto</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and identified patterns that informed four ranked title options for Acre.</w:t>
      </w:r>
    </w:p>
    <w:p>
      <w:pPr>
        <w:pStyle w:val="Heading"/>
      </w:pPr>
      <w:r>
        <w:rPr>
          <w:rFonts w:ascii="Times New Roman" w:hAnsi="Times New Roman"/>
          <w:outline w:val="0"/>
          <w:color w:val="000000"/>
          <w:u w:color="000000"/>
          <w:rtl w:val="0"/>
          <w:lang w:val="en-US"/>
          <w14:textFill>
            <w14:solidFill>
              <w14:srgbClr w14:val="000000"/>
            </w14:solidFill>
          </w14:textFill>
        </w:rPr>
        <w:t xml:space="preserve">Why </w:t>
      </w:r>
      <w:r>
        <w:rPr>
          <w:rFonts w:ascii="Times New Roman" w:hAnsi="Times New Roman" w:hint="default"/>
          <w:outline w:val="0"/>
          <w:color w:val="000000"/>
          <w:u w:color="000000"/>
          <w:rtl w:val="1"/>
          <w:lang w:val="ar-SA" w:bidi="ar-SA"/>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Adoption</w:t>
      </w:r>
      <w:r>
        <w:rPr>
          <w:rFonts w:ascii="Times New Roman" w:hAnsi="Times New Roman" w:hint="default"/>
          <w:outline w:val="0"/>
          <w:color w:val="000000"/>
          <w:u w:color="000000"/>
          <w:rtl w:val="0"/>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the strongest signal for Acre: </w:t>
      </w:r>
      <w:r>
        <w:rPr>
          <w:outline w:val="0"/>
          <w:color w:val="000000"/>
          <w:u w:color="000000"/>
          <w:rtl w:val="0"/>
          <w:lang w:val="pt-PT"/>
          <w14:textFill>
            <w14:solidFill>
              <w14:srgbClr w14:val="000000"/>
            </w14:solidFill>
          </w14:textFill>
        </w:rPr>
        <w:t>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core differentiator is making complex vault infrastructure approachable for institutions.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Adoption</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inherently includes onboarding</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you cannot have adoption without it. When an institution </w:t>
      </w:r>
      <w:r>
        <w:rPr>
          <w:outline w:val="0"/>
          <w:color w:val="000000"/>
          <w:u w:color="000000"/>
          <w:rtl w:val="1"/>
          <w:lang w:val="ar-SA" w:bidi="ar-SA"/>
          <w14:textFill>
            <w14:solidFill>
              <w14:srgbClr w14:val="000000"/>
            </w14:solidFill>
          </w14:textFill>
        </w:rPr>
        <w:t>“</w:t>
      </w:r>
      <w:r>
        <w:rPr>
          <w:outline w:val="0"/>
          <w:color w:val="000000"/>
          <w:u w:color="000000"/>
          <w:rtl w:val="0"/>
          <w:lang w:val="fr-FR"/>
          <w14:textFill>
            <w14:solidFill>
              <w14:srgbClr w14:val="000000"/>
            </w14:solidFill>
          </w14:textFill>
        </w:rPr>
        <w:t>adopts</w:t>
      </w:r>
      <w:r>
        <w:rPr>
          <w:outline w:val="0"/>
          <w:color w:val="000000"/>
          <w:u w:color="000000"/>
          <w:rtl w:val="0"/>
          <w14:textFill>
            <w14:solidFill>
              <w14:srgbClr w14:val="000000"/>
            </w14:solidFill>
          </w14:textFill>
        </w:rPr>
        <w:t xml:space="preserve">” </w:t>
      </w:r>
      <w:r>
        <w:rPr>
          <w:outline w:val="0"/>
          <w:color w:val="000000"/>
          <w:u w:color="000000"/>
          <w:rtl w:val="0"/>
          <w:lang w:val="pt-PT"/>
          <w14:textFill>
            <w14:solidFill>
              <w14:srgbClr w14:val="000000"/>
            </w14:solidFill>
          </w14:textFill>
        </w:rPr>
        <w:t>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vault infrastructure, that means they</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ve been onboarded, they understand the product, and they</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re actively using it. The word also carries a best-in-class implication: institutions adopt the platform they trust most. No company in BTCFi currently uses this title, meaning Acre would define what it means.</w:t>
      </w:r>
    </w:p>
    <w:p>
      <w:pPr>
        <w:pStyle w:val="Heading 2"/>
      </w:pPr>
      <w:r>
        <w:rPr>
          <w:rtl w:val="0"/>
          <w:lang w:val="en-US"/>
        </w:rPr>
        <w:t>Ranked Title Options</w:t>
      </w:r>
    </w:p>
    <w:p>
      <w:pPr>
        <w:pStyle w:val="List Paragraph"/>
        <w:numPr>
          <w:ilvl w:val="0"/>
          <w:numId w:val="2"/>
        </w:numPr>
        <w:spacing w:after="60"/>
        <w:rPr>
          <w:lang w:val="en-US"/>
        </w:rPr>
      </w:pPr>
      <w:r>
        <w:rPr>
          <w:b w:val="1"/>
          <w:bCs w:val="1"/>
          <w:rtl w:val="0"/>
          <w:lang w:val="en-US"/>
        </w:rPr>
        <w:t xml:space="preserve">Head of Institutional Adoption </w:t>
      </w:r>
      <w:r>
        <w:rPr>
          <w:rtl w:val="0"/>
          <w:lang w:val="en-US"/>
        </w:rPr>
        <w:t xml:space="preserve">— </w:t>
      </w:r>
      <w:r>
        <w:rPr>
          <w:rtl w:val="0"/>
          <w:lang w:val="en-US"/>
        </w:rPr>
        <w:t>The cleanest, most distinctive option. Implies onboarding and best-in-class positioning without overloading the title. Signals that Acre is building something new and the person in this seat is responsible for making institutional integration happen. No BTCFi competitor uses this title.</w:t>
      </w:r>
    </w:p>
    <w:p>
      <w:pPr>
        <w:pStyle w:val="List Paragraph"/>
        <w:numPr>
          <w:ilvl w:val="0"/>
          <w:numId w:val="2"/>
        </w:numPr>
        <w:spacing w:after="60"/>
        <w:rPr>
          <w:lang w:val="en-US"/>
        </w:rPr>
      </w:pPr>
      <w:r>
        <w:rPr>
          <w:b w:val="1"/>
          <w:bCs w:val="1"/>
          <w:rtl w:val="0"/>
          <w:lang w:val="en-US"/>
        </w:rPr>
        <w:t xml:space="preserve">Head of Institutional Adoption &amp; Integration </w:t>
      </w:r>
      <w:r>
        <w:rPr>
          <w:rtl w:val="0"/>
          <w:lang w:val="en-US"/>
        </w:rPr>
        <w:t xml:space="preserve">— </w:t>
      </w:r>
      <w:r>
        <w:rPr>
          <w:rtl w:val="0"/>
          <w:lang w:val="en-US"/>
        </w:rPr>
        <w:t xml:space="preserve">Explicitly signals the onboarding/implementation piece. </w:t>
      </w:r>
      <w:r>
        <w:rPr>
          <w:rtl w:val="1"/>
          <w:lang w:val="ar-SA" w:bidi="ar-SA"/>
        </w:rPr>
        <w:t>“</w:t>
      </w:r>
      <w:r>
        <w:rPr>
          <w:rtl w:val="0"/>
          <w:lang w:val="en-US"/>
        </w:rPr>
        <w:t>Integration</w:t>
      </w:r>
      <w:r>
        <w:rPr>
          <w:rtl w:val="0"/>
        </w:rPr>
        <w:t xml:space="preserve">” </w:t>
      </w:r>
      <w:r>
        <w:rPr>
          <w:rtl w:val="0"/>
          <w:lang w:val="en-US"/>
        </w:rPr>
        <w:t>is the operational word for onboarding at the institutional level</w:t>
      </w:r>
      <w:r>
        <w:rPr>
          <w:rtl w:val="0"/>
          <w:lang w:val="en-US"/>
        </w:rPr>
        <w:t>—</w:t>
      </w:r>
      <w:r>
        <w:rPr>
          <w:rtl w:val="0"/>
          <w:lang w:val="en-US"/>
        </w:rPr>
        <w:t>when JPMorgan integrates a vault platform, that</w:t>
      </w:r>
      <w:r>
        <w:rPr>
          <w:rtl w:val="1"/>
        </w:rPr>
        <w:t>’</w:t>
      </w:r>
      <w:r>
        <w:rPr>
          <w:rtl w:val="0"/>
          <w:lang w:val="en-US"/>
        </w:rPr>
        <w:t>s onboarding at scale. This title says: I drive institutions to choose Acre, and I ensure they</w:t>
      </w:r>
      <w:r>
        <w:rPr>
          <w:rtl w:val="1"/>
        </w:rPr>
        <w:t>’</w:t>
      </w:r>
      <w:r>
        <w:rPr>
          <w:rtl w:val="0"/>
          <w:lang w:val="en-US"/>
        </w:rPr>
        <w:t>re successfully running on our infrastructure.</w:t>
      </w:r>
    </w:p>
    <w:p>
      <w:pPr>
        <w:pStyle w:val="List Paragraph"/>
        <w:numPr>
          <w:ilvl w:val="0"/>
          <w:numId w:val="2"/>
        </w:numPr>
        <w:spacing w:after="60"/>
        <w:rPr>
          <w:lang w:val="en-US"/>
        </w:rPr>
      </w:pPr>
      <w:r>
        <w:rPr>
          <w:b w:val="1"/>
          <w:bCs w:val="1"/>
          <w:rtl w:val="0"/>
          <w:lang w:val="en-US"/>
        </w:rPr>
        <w:t xml:space="preserve">Head of Institutional Relations </w:t>
      </w:r>
      <w:r>
        <w:rPr>
          <w:rtl w:val="0"/>
          <w:lang w:val="en-US"/>
        </w:rPr>
        <w:t xml:space="preserve">— </w:t>
      </w:r>
      <w:r>
        <w:rPr>
          <w:rtl w:val="0"/>
          <w:lang w:val="en-US"/>
        </w:rPr>
        <w:t>The safe, recognizable choice. Institutions immediately understand this title because it mirrors TradFi language. Clean and professional. The downside: it</w:t>
      </w:r>
      <w:r>
        <w:rPr>
          <w:rtl w:val="1"/>
        </w:rPr>
        <w:t>’</w:t>
      </w:r>
      <w:r>
        <w:rPr>
          <w:rtl w:val="0"/>
          <w:lang w:val="en-US"/>
        </w:rPr>
        <w:t>s generic, doesn</w:t>
      </w:r>
      <w:r>
        <w:rPr>
          <w:rtl w:val="1"/>
        </w:rPr>
        <w:t>’</w:t>
      </w:r>
      <w:r>
        <w:rPr>
          <w:rtl w:val="0"/>
          <w:lang w:val="en-US"/>
        </w:rPr>
        <w:t>t signal what makes Acre different, and suggests maintenance of existing relationships rather than building new ones.</w:t>
      </w:r>
    </w:p>
    <w:p>
      <w:pPr>
        <w:pStyle w:val="List Paragraph"/>
        <w:numPr>
          <w:ilvl w:val="0"/>
          <w:numId w:val="2"/>
        </w:numPr>
        <w:spacing w:after="120"/>
        <w:rPr>
          <w:lang w:val="en-US"/>
        </w:rPr>
      </w:pPr>
      <w:r>
        <w:rPr>
          <w:b w:val="1"/>
          <w:bCs w:val="1"/>
          <w:rtl w:val="0"/>
          <w:lang w:val="en-US"/>
        </w:rPr>
        <w:t xml:space="preserve">Head of Institutional Growth &amp; Adoption </w:t>
      </w:r>
      <w:r>
        <w:rPr>
          <w:rtl w:val="0"/>
          <w:lang w:val="en-US"/>
        </w:rPr>
        <w:t xml:space="preserve">— </w:t>
      </w:r>
      <w:r>
        <w:rPr>
          <w:rtl w:val="0"/>
          <w:lang w:val="en-US"/>
        </w:rPr>
        <w:t>Leads with growth (the mandate) and closes with adoption (the method). Signals that Acre is scaling its institutional presence through superior onboarding. Broader scope but slightly less focused than the primary recommendation.</w:t>
      </w:r>
    </w:p>
    <w:p>
      <w:pPr>
        <w:pStyle w:val="Heading 2"/>
      </w:pPr>
      <w:r>
        <w:rPr>
          <w:rtl w:val="0"/>
          <w:lang w:val="en-US"/>
        </w:rPr>
        <w:t>Why These Titles Over DIIR or Generic Alternatives</w:t>
      </w:r>
    </w:p>
    <w:p>
      <w:pPr>
        <w:pStyle w:val="List Paragraph"/>
        <w:numPr>
          <w:ilvl w:val="0"/>
          <w:numId w:val="4"/>
        </w:numPr>
        <w:spacing w:after="60"/>
        <w:rPr>
          <w:lang w:val="en-US"/>
        </w:rPr>
      </w:pPr>
      <w:r>
        <w:rPr>
          <w:b w:val="1"/>
          <w:bCs w:val="1"/>
          <w:rtl w:val="0"/>
          <w:lang w:val="en-US"/>
        </w:rPr>
        <w:t xml:space="preserve">Industry recognition: </w:t>
      </w:r>
      <w:r>
        <w:rPr>
          <w:rtl w:val="1"/>
          <w:lang w:val="ar-SA" w:bidi="ar-SA"/>
        </w:rPr>
        <w:t>“</w:t>
      </w:r>
      <w:r>
        <w:rPr>
          <w:rtl w:val="0"/>
          <w:lang w:val="fr-FR"/>
        </w:rPr>
        <w:t>Institutional</w:t>
      </w:r>
      <w:r>
        <w:rPr>
          <w:rtl w:val="0"/>
        </w:rPr>
        <w:t xml:space="preserve">” </w:t>
      </w:r>
      <w:r>
        <w:rPr>
          <w:rtl w:val="0"/>
          <w:lang w:val="en-US"/>
        </w:rPr>
        <w:t>is the universal keyword in finance. Funds, family offices, and allocators immediately understand the mandate.</w:t>
      </w:r>
    </w:p>
    <w:p>
      <w:pPr>
        <w:pStyle w:val="List Paragraph"/>
        <w:numPr>
          <w:ilvl w:val="0"/>
          <w:numId w:val="4"/>
        </w:numPr>
        <w:spacing w:after="60"/>
        <w:rPr>
          <w:lang w:val="pt-PT"/>
        </w:rPr>
      </w:pPr>
      <w:r>
        <w:rPr>
          <w:b w:val="1"/>
          <w:bCs w:val="1"/>
          <w:rtl w:val="0"/>
          <w:lang w:val="pt-PT"/>
        </w:rPr>
        <w:t>Acre</w:t>
      </w:r>
      <w:r>
        <w:rPr>
          <w:b w:val="1"/>
          <w:bCs w:val="1"/>
          <w:rtl w:val="1"/>
        </w:rPr>
        <w:t>’</w:t>
      </w:r>
      <w:r>
        <w:rPr>
          <w:b w:val="1"/>
          <w:bCs w:val="1"/>
          <w:rtl w:val="0"/>
          <w:lang w:val="it-IT"/>
        </w:rPr>
        <w:t xml:space="preserve">s differentiator: </w:t>
      </w:r>
      <w:r>
        <w:rPr>
          <w:rtl w:val="1"/>
          <w:lang w:val="ar-SA" w:bidi="ar-SA"/>
        </w:rPr>
        <w:t>“</w:t>
      </w:r>
      <w:r>
        <w:rPr>
          <w:rtl w:val="0"/>
          <w:lang w:val="en-US"/>
        </w:rPr>
        <w:t>Adoption</w:t>
      </w:r>
      <w:r>
        <w:rPr>
          <w:rtl w:val="0"/>
        </w:rPr>
        <w:t xml:space="preserve">” </w:t>
      </w:r>
      <w:r>
        <w:rPr>
          <w:rtl w:val="0"/>
          <w:lang w:val="en-US"/>
        </w:rPr>
        <w:t>captures what makes Acre unique</w:t>
      </w:r>
      <w:r>
        <w:rPr>
          <w:rtl w:val="0"/>
          <w:lang w:val="en-US"/>
        </w:rPr>
        <w:t>—</w:t>
      </w:r>
      <w:r>
        <w:rPr>
          <w:rtl w:val="0"/>
          <w:lang w:val="en-US"/>
        </w:rPr>
        <w:t>making complex systems approachable. No other BTCFi protocol emphasizes this in their institutional role titles.</w:t>
      </w:r>
    </w:p>
    <w:p>
      <w:pPr>
        <w:pStyle w:val="List Paragraph"/>
        <w:numPr>
          <w:ilvl w:val="0"/>
          <w:numId w:val="4"/>
        </w:numPr>
        <w:spacing w:after="60"/>
        <w:rPr>
          <w:lang w:val="en-US"/>
        </w:rPr>
      </w:pPr>
      <w:r>
        <w:rPr>
          <w:b w:val="1"/>
          <w:bCs w:val="1"/>
          <w:rtl w:val="0"/>
          <w:lang w:val="en-US"/>
        </w:rPr>
        <w:t xml:space="preserve">Avoiding </w:t>
      </w:r>
      <w:r>
        <w:rPr>
          <w:b w:val="1"/>
          <w:bCs w:val="1"/>
          <w:rtl w:val="1"/>
          <w:lang w:val="ar-SA" w:bidi="ar-SA"/>
        </w:rPr>
        <w:t>“</w:t>
      </w:r>
      <w:r>
        <w:rPr>
          <w:b w:val="1"/>
          <w:bCs w:val="1"/>
          <w:rtl w:val="0"/>
          <w:lang w:val="en-US"/>
        </w:rPr>
        <w:t>Sales</w:t>
      </w:r>
      <w:r>
        <w:rPr>
          <w:b w:val="1"/>
          <w:bCs w:val="1"/>
          <w:rtl w:val="0"/>
        </w:rPr>
        <w:t>”</w:t>
      </w:r>
      <w:r>
        <w:rPr>
          <w:b w:val="1"/>
          <w:bCs w:val="1"/>
          <w:rtl w:val="0"/>
        </w:rPr>
        <w:t xml:space="preserve">: </w:t>
      </w:r>
      <w:r>
        <w:rPr>
          <w:rtl w:val="0"/>
          <w:lang w:val="en-US"/>
        </w:rPr>
        <w:t xml:space="preserve">Acre is infrastructure that institutions integrate into, not a product you pitch. </w:t>
      </w:r>
      <w:r>
        <w:rPr>
          <w:rtl w:val="1"/>
          <w:lang w:val="ar-SA" w:bidi="ar-SA"/>
        </w:rPr>
        <w:t>“</w:t>
      </w:r>
      <w:r>
        <w:rPr>
          <w:rtl w:val="0"/>
          <w:lang w:val="en-US"/>
        </w:rPr>
        <w:t>Sales</w:t>
      </w:r>
      <w:r>
        <w:rPr>
          <w:rtl w:val="0"/>
        </w:rPr>
        <w:t xml:space="preserve">” </w:t>
      </w:r>
      <w:r>
        <w:rPr>
          <w:rtl w:val="0"/>
          <w:lang w:val="en-US"/>
        </w:rPr>
        <w:t xml:space="preserve">and </w:t>
      </w:r>
      <w:r>
        <w:rPr>
          <w:rtl w:val="1"/>
          <w:lang w:val="ar-SA" w:bidi="ar-SA"/>
        </w:rPr>
        <w:t>“</w:t>
      </w:r>
      <w:r>
        <w:rPr>
          <w:rtl w:val="0"/>
        </w:rPr>
        <w:t>BD</w:t>
      </w:r>
      <w:r>
        <w:rPr>
          <w:rtl w:val="0"/>
        </w:rPr>
        <w:t xml:space="preserve">” </w:t>
      </w:r>
      <w:r>
        <w:rPr>
          <w:rtl w:val="0"/>
          <w:lang w:val="en-US"/>
        </w:rPr>
        <w:t>were deliberately excluded as too transactional for a protocol.</w:t>
      </w:r>
    </w:p>
    <w:p>
      <w:pPr>
        <w:pStyle w:val="List Paragraph"/>
        <w:numPr>
          <w:ilvl w:val="0"/>
          <w:numId w:val="4"/>
        </w:numPr>
        <w:spacing w:after="120"/>
        <w:rPr>
          <w:lang w:val="en-US"/>
        </w:rPr>
      </w:pPr>
      <w:r>
        <w:rPr>
          <w:b w:val="1"/>
          <w:bCs w:val="1"/>
          <w:rtl w:val="0"/>
          <w:lang w:val="en-US"/>
        </w:rPr>
        <w:t xml:space="preserve">Community separation: </w:t>
      </w:r>
      <w:r>
        <w:rPr>
          <w:rtl w:val="0"/>
          <w:lang w:val="en-US"/>
        </w:rPr>
        <w:t xml:space="preserve">Research confirmed no company in TradFi or crypto combines </w:t>
      </w:r>
      <w:r>
        <w:rPr>
          <w:rtl w:val="1"/>
          <w:lang w:val="ar-SA" w:bidi="ar-SA"/>
        </w:rPr>
        <w:t>“</w:t>
      </w:r>
      <w:r>
        <w:rPr>
          <w:rtl w:val="0"/>
          <w:lang w:val="en-US"/>
        </w:rPr>
        <w:t>community</w:t>
      </w:r>
      <w:r>
        <w:rPr>
          <w:rtl w:val="0"/>
        </w:rPr>
        <w:t xml:space="preserve">” </w:t>
      </w:r>
      <w:r>
        <w:rPr>
          <w:rtl w:val="0"/>
          <w:lang w:val="en-US"/>
        </w:rPr>
        <w:t xml:space="preserve">and </w:t>
      </w:r>
      <w:r>
        <w:rPr>
          <w:rtl w:val="1"/>
          <w:lang w:val="ar-SA" w:bidi="ar-SA"/>
        </w:rPr>
        <w:t>“</w:t>
      </w:r>
      <w:r>
        <w:rPr>
          <w:rtl w:val="0"/>
          <w:lang w:val="fr-FR"/>
        </w:rPr>
        <w:t>institutional</w:t>
      </w:r>
      <w:r>
        <w:rPr>
          <w:rtl w:val="0"/>
        </w:rPr>
        <w:t xml:space="preserve">” </w:t>
      </w:r>
      <w:r>
        <w:rPr>
          <w:rtl w:val="0"/>
          <w:lang w:val="en-US"/>
        </w:rPr>
        <w:t>in a single title. These are universally separate functions. Community is best positioned as a standalone role.</w:t>
      </w:r>
    </w:p>
    <w:p>
      <w:pPr>
        <w:pStyle w:val="Heading"/>
      </w:pPr>
      <w:r>
        <w:rPr>
          <w:rtl w:val="0"/>
          <w:lang w:val="en-US"/>
        </w:rPr>
        <w:t>The Institutional Landscape (Q1 2026)</w:t>
      </w:r>
    </w:p>
    <w:p>
      <w:pPr>
        <w:pStyle w:val="Heading"/>
      </w:pPr>
      <w:r>
        <w:rPr>
          <w:outline w:val="0"/>
          <w:color w:val="000000"/>
          <w:u w:color="000000"/>
          <w:rtl w:val="0"/>
          <w:lang w:val="en-US"/>
          <w14:textFill>
            <w14:solidFill>
              <w14:srgbClr w14:val="000000"/>
            </w14:solidFill>
          </w14:textFill>
        </w:rPr>
        <w:t>The institutional migration into Bitcoin is no longer theoretical. In Q1 2026: JPMorgan is actively exploring crypto trading for institutional clients. Morgan Stanley is launching Bitcoin trading on E*Trade in H1 2026. Charles Schwab ($11.6T in assets) is launching Bitcoin trading in H1 2026. Citigroup is building bank-grade Bitcoin custody. Bank of America and Vanguard are expected to distribute Bitcoin ETFs. The GENIUS Act is now law, 401(k) plans have been opened to digital assets, and state treasuries in Texas, New Hampshire, and Wyoming have invested in Bitcoin reserves.</w:t>
      </w:r>
    </w:p>
    <w:p>
      <w:pPr>
        <w:pStyle w:val="Heading"/>
      </w:pPr>
      <w:r>
        <w:rPr>
          <w:outline w:val="0"/>
          <w:color w:val="000000"/>
          <w:u w:color="000000"/>
          <w:rtl w:val="0"/>
          <w:lang w:val="en-US"/>
          <w14:textFill>
            <w14:solidFill>
              <w14:srgbClr w14:val="000000"/>
            </w14:solidFill>
          </w14:textFill>
        </w:rPr>
        <w:t>Every platform that services this capital</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Coinbase, Fidelity, Goldman Sachs, BitGo, Anchorage, Fireblocks, Citi</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has a dedicated institutional relations executive. Among BTCFi competitors (Babylon at $4.8B TVL, Lombard at $1.8B, SOLV at $2.8B, Citrea, Botanix), none have established this function. This is a significant first-mover opportunity for Acre.</w:t>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How Companies Title Institutional Roles</w:t>
      </w:r>
    </w:p>
    <w:p>
      <w:pPr>
        <w:pStyle w:val="Heading"/>
      </w:pPr>
      <w:r>
        <w:rPr>
          <w:outline w:val="0"/>
          <w:color w:val="000000"/>
          <w:u w:color="000000"/>
          <w:rtl w:val="0"/>
          <w:lang w:val="en-US"/>
          <w14:textFill>
            <w14:solidFill>
              <w14:srgbClr w14:val="000000"/>
            </w14:solidFill>
          </w14:textFill>
        </w:rPr>
        <w:t>Research across 25+ companies revealed distinct titling patterns based on company stage and focus:</w:t>
      </w:r>
    </w:p>
    <w:p>
      <w:pPr>
        <w:pStyle w:val="List Paragraph"/>
        <w:numPr>
          <w:ilvl w:val="0"/>
          <w:numId w:val="4"/>
        </w:numPr>
        <w:spacing w:after="60"/>
        <w:rPr>
          <w:lang w:val="en-US"/>
        </w:rPr>
      </w:pPr>
      <w:r>
        <w:rPr>
          <w:b w:val="1"/>
          <w:bCs w:val="1"/>
          <w:rtl w:val="0"/>
          <w:lang w:val="en-US"/>
        </w:rPr>
        <w:t xml:space="preserve">Large exchanges/platforms: </w:t>
      </w:r>
      <w:r>
        <w:rPr>
          <w:rtl w:val="1"/>
          <w:lang w:val="ar-SA" w:bidi="ar-SA"/>
        </w:rPr>
        <w:t>“</w:t>
      </w:r>
      <w:r>
        <w:rPr>
          <w:rtl w:val="0"/>
          <w:lang w:val="en-US"/>
        </w:rPr>
        <w:t>Head of Institutional Strategy</w:t>
      </w:r>
      <w:r>
        <w:rPr>
          <w:rtl w:val="0"/>
        </w:rPr>
        <w:t xml:space="preserve">” </w:t>
      </w:r>
      <w:r>
        <w:rPr>
          <w:rtl w:val="0"/>
        </w:rPr>
        <w:t xml:space="preserve">or </w:t>
      </w:r>
      <w:r>
        <w:rPr>
          <w:rtl w:val="1"/>
          <w:lang w:val="ar-SA" w:bidi="ar-SA"/>
        </w:rPr>
        <w:t>“</w:t>
      </w:r>
      <w:r>
        <w:rPr>
          <w:rtl w:val="0"/>
          <w:lang w:val="en-US"/>
        </w:rPr>
        <w:t>Head of Institutional Sales</w:t>
      </w:r>
      <w:r>
        <w:rPr>
          <w:rtl w:val="0"/>
        </w:rPr>
        <w:t xml:space="preserve">” </w:t>
      </w:r>
      <w:r>
        <w:rPr>
          <w:rtl w:val="0"/>
          <w:lang w:val="en-US"/>
        </w:rPr>
        <w:t>(Coinbase, Blockchain.com, Keyrock)</w:t>
      </w:r>
    </w:p>
    <w:p>
      <w:pPr>
        <w:pStyle w:val="List Paragraph"/>
        <w:numPr>
          <w:ilvl w:val="0"/>
          <w:numId w:val="4"/>
        </w:numPr>
        <w:spacing w:after="60"/>
        <w:rPr>
          <w:lang w:val="en-US"/>
        </w:rPr>
      </w:pPr>
      <w:r>
        <w:rPr>
          <w:b w:val="1"/>
          <w:bCs w:val="1"/>
          <w:rtl w:val="0"/>
          <w:lang w:val="en-US"/>
        </w:rPr>
        <w:t xml:space="preserve">Growing DeFi protocols: </w:t>
      </w:r>
      <w:r>
        <w:rPr>
          <w:rtl w:val="1"/>
          <w:lang w:val="ar-SA" w:bidi="ar-SA"/>
        </w:rPr>
        <w:t>“</w:t>
      </w:r>
      <w:r>
        <w:rPr>
          <w:rtl w:val="0"/>
          <w:lang w:val="en-US"/>
        </w:rPr>
        <w:t>Head of Institutional Growth</w:t>
      </w:r>
      <w:r>
        <w:rPr>
          <w:rtl w:val="0"/>
        </w:rPr>
        <w:t xml:space="preserve">” </w:t>
      </w:r>
      <w:r>
        <w:rPr>
          <w:rtl w:val="0"/>
        </w:rPr>
        <w:t xml:space="preserve">or </w:t>
      </w:r>
      <w:r>
        <w:rPr>
          <w:rtl w:val="1"/>
          <w:lang w:val="ar-SA" w:bidi="ar-SA"/>
        </w:rPr>
        <w:t>“</w:t>
      </w:r>
      <w:r>
        <w:rPr>
          <w:rtl w:val="0"/>
          <w:lang w:val="en-US"/>
        </w:rPr>
        <w:t>Head of Institutional Partnerships</w:t>
      </w:r>
      <w:r>
        <w:rPr>
          <w:rtl w:val="0"/>
        </w:rPr>
        <w:t xml:space="preserve">” </w:t>
      </w:r>
      <w:r>
        <w:rPr>
          <w:rtl w:val="0"/>
          <w:lang w:val="en-US"/>
        </w:rPr>
        <w:t>(Monad Foundation, Morpho Protocol)</w:t>
      </w:r>
    </w:p>
    <w:p>
      <w:pPr>
        <w:pStyle w:val="List Paragraph"/>
        <w:numPr>
          <w:ilvl w:val="0"/>
          <w:numId w:val="4"/>
        </w:numPr>
        <w:spacing w:after="60"/>
        <w:rPr>
          <w:lang w:val="en-US"/>
        </w:rPr>
      </w:pPr>
      <w:r>
        <w:rPr>
          <w:b w:val="1"/>
          <w:bCs w:val="1"/>
          <w:rtl w:val="0"/>
          <w:lang w:val="en-US"/>
        </w:rPr>
        <w:t xml:space="preserve">Infrastructure platforms: </w:t>
      </w:r>
      <w:r>
        <w:rPr>
          <w:rtl w:val="1"/>
          <w:lang w:val="ar-SA" w:bidi="ar-SA"/>
        </w:rPr>
        <w:t>“</w:t>
      </w:r>
      <w:r>
        <w:rPr>
          <w:rtl w:val="0"/>
          <w:lang w:val="en-US"/>
        </w:rPr>
        <w:t>Head of Ecosystem Development</w:t>
      </w:r>
      <w:r>
        <w:rPr>
          <w:rtl w:val="0"/>
        </w:rPr>
        <w:t xml:space="preserve">” </w:t>
      </w:r>
      <w:r>
        <w:rPr>
          <w:rtl w:val="0"/>
          <w:lang w:val="en-US"/>
        </w:rPr>
        <w:t>(Chainlink Labs)</w:t>
      </w:r>
    </w:p>
    <w:p>
      <w:pPr>
        <w:pStyle w:val="List Paragraph"/>
        <w:numPr>
          <w:ilvl w:val="0"/>
          <w:numId w:val="4"/>
        </w:numPr>
        <w:spacing w:after="60"/>
        <w:rPr>
          <w:lang w:val="en-US"/>
        </w:rPr>
      </w:pPr>
      <w:r>
        <w:rPr>
          <w:b w:val="1"/>
          <w:bCs w:val="1"/>
          <w:rtl w:val="0"/>
          <w:lang w:val="en-US"/>
        </w:rPr>
        <w:t xml:space="preserve">Yield/vault protocols: </w:t>
      </w:r>
      <w:r>
        <w:rPr>
          <w:rtl w:val="1"/>
          <w:lang w:val="ar-SA" w:bidi="ar-SA"/>
        </w:rPr>
        <w:t>“</w:t>
      </w:r>
      <w:r>
        <w:rPr>
          <w:rtl w:val="0"/>
          <w:lang w:val="en-US"/>
        </w:rPr>
        <w:t>Head of Institutional Business Development</w:t>
      </w:r>
      <w:r>
        <w:rPr>
          <w:rtl w:val="0"/>
        </w:rPr>
        <w:t xml:space="preserve">” </w:t>
      </w:r>
      <w:r>
        <w:rPr>
          <w:rtl w:val="0"/>
          <w:lang w:val="en-US"/>
        </w:rPr>
        <w:t xml:space="preserve">(Pendle Finance) or </w:t>
      </w:r>
      <w:r>
        <w:rPr>
          <w:rtl w:val="1"/>
          <w:lang w:val="ar-SA" w:bidi="ar-SA"/>
        </w:rPr>
        <w:t>“</w:t>
      </w:r>
      <w:r>
        <w:rPr>
          <w:rtl w:val="0"/>
          <w:lang w:val="en-US"/>
        </w:rPr>
        <w:t>Senior Institutional Partnerships</w:t>
      </w:r>
      <w:r>
        <w:rPr>
          <w:rtl w:val="0"/>
        </w:rPr>
        <w:t xml:space="preserve">” </w:t>
      </w:r>
      <w:r>
        <w:rPr>
          <w:rtl w:val="0"/>
          <w:lang w:val="fr-FR"/>
        </w:rPr>
        <w:t>(Morpho)</w:t>
      </w:r>
    </w:p>
    <w:p>
      <w:pPr>
        <w:pStyle w:val="List Paragraph"/>
        <w:numPr>
          <w:ilvl w:val="0"/>
          <w:numId w:val="4"/>
        </w:numPr>
        <w:spacing w:after="60"/>
        <w:rPr>
          <w:lang w:val="en-US"/>
        </w:rPr>
      </w:pPr>
      <w:r>
        <w:rPr>
          <w:b w:val="1"/>
          <w:bCs w:val="1"/>
          <w:rtl w:val="0"/>
          <w:lang w:val="en-US"/>
        </w:rPr>
        <w:t xml:space="preserve">Traditional finance entering crypto: </w:t>
      </w:r>
      <w:r>
        <w:rPr>
          <w:rtl w:val="1"/>
          <w:lang w:val="ar-SA" w:bidi="ar-SA"/>
        </w:rPr>
        <w:t>“</w:t>
      </w:r>
      <w:r>
        <w:rPr>
          <w:rtl w:val="0"/>
          <w:lang w:val="en-US"/>
        </w:rPr>
        <w:t>Global Head of Digital Assets</w:t>
      </w:r>
      <w:r>
        <w:rPr>
          <w:rtl w:val="0"/>
        </w:rPr>
        <w:t xml:space="preserve">” </w:t>
      </w:r>
      <w:r>
        <w:rPr>
          <w:rtl w:val="0"/>
          <w:lang w:val="de-DE"/>
        </w:rPr>
        <w:t xml:space="preserve">(Goldman Sachs), </w:t>
      </w:r>
      <w:r>
        <w:rPr>
          <w:rtl w:val="1"/>
          <w:lang w:val="ar-SA" w:bidi="ar-SA"/>
        </w:rPr>
        <w:t>“</w:t>
      </w:r>
      <w:r>
        <w:rPr>
          <w:rtl w:val="0"/>
        </w:rPr>
        <w:t>President, Digital Assets</w:t>
      </w:r>
      <w:r>
        <w:rPr>
          <w:rtl w:val="0"/>
        </w:rPr>
        <w:t xml:space="preserve">” </w:t>
      </w:r>
      <w:r>
        <w:rPr>
          <w:rtl w:val="0"/>
          <w:lang w:val="es-ES_tradnl"/>
        </w:rPr>
        <w:t xml:space="preserve">(Fidelity), </w:t>
      </w:r>
      <w:r>
        <w:rPr>
          <w:rtl w:val="1"/>
          <w:lang w:val="ar-SA" w:bidi="ar-SA"/>
        </w:rPr>
        <w:t>“</w:t>
      </w:r>
      <w:r>
        <w:rPr>
          <w:rtl w:val="0"/>
          <w:lang w:val="en-US"/>
        </w:rPr>
        <w:t>Head of Institutions &amp; Capital Markets</w:t>
      </w:r>
      <w:r>
        <w:rPr>
          <w:rtl w:val="0"/>
        </w:rPr>
        <w:t xml:space="preserve">” </w:t>
      </w:r>
      <w:r>
        <w:rPr>
          <w:rtl w:val="0"/>
        </w:rPr>
        <w:t>(Ava Labs)</w:t>
      </w:r>
    </w:p>
    <w:p>
      <w:pPr>
        <w:pStyle w:val="List Paragraph"/>
        <w:numPr>
          <w:ilvl w:val="0"/>
          <w:numId w:val="4"/>
        </w:numPr>
        <w:spacing w:after="120"/>
        <w:rPr>
          <w:lang w:val="en-US"/>
        </w:rPr>
      </w:pPr>
      <w:r>
        <w:rPr>
          <w:b w:val="1"/>
          <w:bCs w:val="1"/>
          <w:rtl w:val="0"/>
          <w:lang w:val="en-US"/>
        </w:rPr>
        <w:t xml:space="preserve">Not found in crypto: </w:t>
      </w:r>
      <w:r>
        <w:rPr>
          <w:rtl w:val="1"/>
          <w:lang w:val="ar-SA" w:bidi="ar-SA"/>
        </w:rPr>
        <w:t>“</w:t>
      </w:r>
      <w:r>
        <w:rPr>
          <w:rtl w:val="0"/>
          <w:lang w:val="en-US"/>
        </w:rPr>
        <w:t>Head of Institutional Adoption</w:t>
      </w:r>
      <w:r>
        <w:rPr>
          <w:rtl w:val="0"/>
          <w:lang w:val="en-US"/>
        </w:rPr>
        <w:t xml:space="preserve">” — </w:t>
      </w:r>
      <w:r>
        <w:rPr>
          <w:rtl w:val="0"/>
          <w:lang w:val="en-US"/>
        </w:rPr>
        <w:t>this title does not exist in the BTCFi or DeFi space, which means Acre would own it entirely and define what it means.</w:t>
      </w:r>
    </w:p>
    <w:p>
      <w:pPr>
        <w:pStyle w:val="Heading"/>
      </w:pPr>
      <w:r>
        <w:rPr>
          <w:rtl w:val="0"/>
          <w:lang w:val="en-US"/>
        </w:rPr>
        <w:t>Companies with Relevant Institutional Roles</w:t>
      </w:r>
    </w:p>
    <w:p>
      <w:pPr>
        <w:pStyle w:val="Heading"/>
      </w:pPr>
      <w:r>
        <w:rPr>
          <w:outline w:val="0"/>
          <w:color w:val="000000"/>
          <w:u w:color="000000"/>
          <w:rtl w:val="0"/>
          <w:lang w:val="en-US"/>
          <w14:textFill>
            <w14:solidFill>
              <w14:srgbClr w14:val="000000"/>
            </w14:solidFill>
          </w14:textFill>
        </w:rPr>
        <w:t>Beyond the original research set, the following companies were identified with institutional roles relevant to 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positioning:</w:t>
      </w:r>
    </w:p>
    <w:tbl>
      <w:tblPr>
        <w:tblW w:w="98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620"/>
        <w:gridCol w:w="2510"/>
        <w:gridCol w:w="2510"/>
      </w:tblGrid>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Company</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Institutional Role</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They Do</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Relevance to Acre</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pt-PT"/>
                <w14:textFill>
                  <w14:solidFill>
                    <w14:srgbClr w14:val="2C2C2C"/>
                  </w14:solidFill>
                </w14:textFill>
              </w:rPr>
              <w:t>Morpho Protocol</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Senior Institutional Partnerships</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Institutional-grade lending infrastructure with MetaMorpho vaults</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Acre uses Morpho for strategy execution; direct infrastructure partner</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Pendle Finance</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Head of Institutional BD (Ken Chia)</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Yield tokenization and fixed income DeFi</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Competitor in yield infrastructure; institutional BD role model</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Monad Foundation</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Head of Institutional Growth</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High-profile L1 blockchain targeting institutional adoption</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Uses </w:t>
            </w:r>
            <w:r>
              <w:rPr>
                <w:rFonts w:ascii="Arial" w:hAnsi="Arial" w:hint="default"/>
                <w:outline w:val="0"/>
                <w:color w:val="2c2c2c"/>
                <w:sz w:val="20"/>
                <w:szCs w:val="20"/>
                <w:u w:color="2c2c2c"/>
                <w:shd w:val="nil" w:color="auto" w:fill="auto"/>
                <w:rtl w:val="1"/>
                <w:lang w:val="ar-SA" w:bidi="ar-SA"/>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Growth</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title; closest parallel to Acre</w:t>
            </w:r>
            <w:r>
              <w:rPr>
                <w:rFonts w:ascii="Arial" w:hAnsi="Arial" w:hint="default"/>
                <w:outline w:val="0"/>
                <w:color w:val="2c2c2c"/>
                <w:sz w:val="20"/>
                <w:szCs w:val="20"/>
                <w:u w:color="2c2c2c"/>
                <w:shd w:val="nil" w:color="auto" w:fill="auto"/>
                <w:rtl w:val="1"/>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s adoption focus</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Chainlink Labs</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Head of Ecosystem Development</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Oracle and infrastructure platform</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Infrastructure platform model; ecosystem-level title</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fr-FR"/>
                <w14:textFill>
                  <w14:solidFill>
                    <w14:srgbClr w14:val="2C2C2C"/>
                  </w14:solidFill>
                </w14:textFill>
              </w:rPr>
              <w:t>Maple Finance</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Pool Delegates (institutional underwriters)</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 crypto lending network</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 lending competitor; unique governance model</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14:textFill>
                  <w14:solidFill>
                    <w14:srgbClr w14:val="2C2C2C"/>
                  </w14:solidFill>
                </w14:textFill>
              </w:rPr>
              <w:t>Veda</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Institutional-grade DeFi yield platform</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Raised $18M for vault infrastructure</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Growing competitor in consumer-facing institutional yields</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de-DE"/>
                <w14:textFill>
                  <w14:solidFill>
                    <w14:srgbClr w14:val="2C2C2C"/>
                  </w14:solidFill>
                </w14:textFill>
              </w:rPr>
              <w:t>Gauntlet</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 yield curator</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Risk-adjusted DeFi strategies for institutions</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Competitor in yield curation; similar to RE7 Labs model</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Bitwise</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Non-custodial vault curation on Morpho</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Asset manager with institutional vaults</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Competitor positioning; uses similar infrastructure</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de-DE"/>
                <w14:textFill>
                  <w14:solidFill>
                    <w14:srgbClr w14:val="2C2C2C"/>
                  </w14:solidFill>
                </w14:textFill>
              </w:rPr>
              <w:t>EigenLayer</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Chief Commercial Officer</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Restaking infrastructure</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Infrastructure for institutional strategies</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it-IT"/>
                <w14:textFill>
                  <w14:solidFill>
                    <w14:srgbClr w14:val="2C2C2C"/>
                  </w14:solidFill>
                </w14:textFill>
              </w:rPr>
              <w:t>Hashnote (Circle)</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Institutional DeFi asset management</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USYC tokenized money market fund</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 infrastructure provider; regulated</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Superstate</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50+ member Industry Council</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Tokenized funds and equities</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 partnership model</w:t>
            </w:r>
          </w:p>
        </w:tc>
      </w:tr>
      <w:tr>
        <w:tblPrEx>
          <w:shd w:val="clear" w:color="auto" w:fill="ced7e7"/>
        </w:tblPrEx>
        <w:trPr>
          <w:trHeight w:val="741"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c2c2c"/>
                <w:sz w:val="20"/>
                <w:szCs w:val="20"/>
                <w:u w:color="2c2c2c"/>
                <w:shd w:val="nil" w:color="auto" w:fill="auto"/>
                <w:rtl w:val="0"/>
                <w:lang w:val="pt-PT"/>
                <w14:textFill>
                  <w14:solidFill>
                    <w14:srgbClr w14:val="2C2C2C"/>
                  </w14:solidFill>
                </w14:textFill>
              </w:rPr>
              <w:t>Ondo Finance</w:t>
            </w:r>
          </w:p>
        </w:tc>
        <w:tc>
          <w:tcPr>
            <w:tcW w:type="dxa" w:w="26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Chief Strategy Officer</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RWA tokenization with Goldman/BlackRock alumni</w:t>
            </w:r>
          </w:p>
        </w:tc>
        <w:tc>
          <w:tcPr>
            <w:tcW w:type="dxa" w:w="2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Institutional credibility through heritage talent</w:t>
            </w:r>
          </w:p>
        </w:tc>
      </w:tr>
    </w:tbl>
    <w:p>
      <w:pPr>
        <w:pStyle w:val="Heading"/>
        <w:widowControl w:val="0"/>
      </w:pPr>
    </w:p>
    <w:p>
      <w:pPr>
        <w:pStyle w:val="Heading"/>
        <w:widowControl w:val="0"/>
      </w:pPr>
    </w:p>
    <w:p>
      <w:pPr>
        <w:pStyle w:val="Heading"/>
      </w:pPr>
      <w:r>
        <w:rPr>
          <w:rtl w:val="0"/>
          <w:lang w:val="en-US"/>
        </w:rPr>
        <w:t>What the Industry Needs Most</w:t>
      </w:r>
    </w:p>
    <w:p>
      <w:pPr>
        <w:pStyle w:val="List Paragraph"/>
        <w:numPr>
          <w:ilvl w:val="0"/>
          <w:numId w:val="5"/>
        </w:numPr>
        <w:spacing w:after="60"/>
        <w:rPr>
          <w:lang w:val="en-US"/>
        </w:rPr>
      </w:pPr>
      <w:r>
        <w:rPr>
          <w:b w:val="1"/>
          <w:bCs w:val="1"/>
          <w:rtl w:val="0"/>
          <w:lang w:val="en-US"/>
        </w:rPr>
        <w:t xml:space="preserve">Professional communication frameworks: </w:t>
      </w:r>
      <w:r>
        <w:rPr>
          <w:rtl w:val="0"/>
          <w:lang w:val="en-US"/>
        </w:rPr>
        <w:t>Institutions operate through LinkedIn, scheduled briefings, and structured reporting. 76% of global investors plan to expand digital asset exposure in 2026</w:t>
      </w:r>
      <w:r>
        <w:rPr>
          <w:rtl w:val="0"/>
          <w:lang w:val="en-US"/>
        </w:rPr>
        <w:t>—</w:t>
      </w:r>
      <w:r>
        <w:rPr>
          <w:rtl w:val="0"/>
          <w:lang w:val="en-US"/>
        </w:rPr>
        <w:t>they need someone to talk to.</w:t>
      </w:r>
    </w:p>
    <w:p>
      <w:pPr>
        <w:pStyle w:val="List Paragraph"/>
        <w:numPr>
          <w:ilvl w:val="0"/>
          <w:numId w:val="2"/>
        </w:numPr>
        <w:spacing w:after="60"/>
        <w:rPr>
          <w:lang w:val="en-US"/>
        </w:rPr>
      </w:pPr>
      <w:r>
        <w:rPr>
          <w:b w:val="1"/>
          <w:bCs w:val="1"/>
          <w:rtl w:val="0"/>
          <w:lang w:val="en-US"/>
        </w:rPr>
        <w:t xml:space="preserve">Onboarding and integration support: </w:t>
      </w:r>
      <w:r>
        <w:rPr>
          <w:rtl w:val="0"/>
          <w:lang w:val="en-US"/>
        </w:rPr>
        <w:t>Institutions need a clear path from initial interest to active vault engagement. Acre</w:t>
      </w:r>
      <w:r>
        <w:rPr>
          <w:rtl w:val="1"/>
        </w:rPr>
        <w:t>’</w:t>
      </w:r>
      <w:r>
        <w:rPr>
          <w:rtl w:val="0"/>
          <w:lang w:val="en-US"/>
        </w:rPr>
        <w:t>s ability to make complex systems approachable is the product</w:t>
      </w:r>
      <w:r>
        <w:rPr>
          <w:rtl w:val="0"/>
          <w:lang w:val="en-US"/>
        </w:rPr>
        <w:t>—</w:t>
      </w:r>
      <w:r>
        <w:rPr>
          <w:rtl w:val="0"/>
          <w:lang w:val="en-US"/>
        </w:rPr>
        <w:t>this role ensures institutions experience it.</w:t>
      </w:r>
    </w:p>
    <w:p>
      <w:pPr>
        <w:pStyle w:val="List Paragraph"/>
        <w:numPr>
          <w:ilvl w:val="0"/>
          <w:numId w:val="2"/>
        </w:numPr>
        <w:spacing w:after="60"/>
        <w:rPr>
          <w:lang w:val="en-US"/>
        </w:rPr>
      </w:pPr>
      <w:r>
        <w:rPr>
          <w:b w:val="1"/>
          <w:bCs w:val="1"/>
          <w:rtl w:val="0"/>
          <w:lang w:val="en-US"/>
        </w:rPr>
        <w:t xml:space="preserve">Regulatory alignment context: </w:t>
      </w:r>
      <w:r>
        <w:rPr>
          <w:rtl w:val="0"/>
          <w:lang w:val="en-US"/>
        </w:rPr>
        <w:t>With the GENIUS Act signed, MiCA operational, 401(k) plans open to crypto, and OCC granting bank charters to custodians, institutions need clear communication about how Acre</w:t>
      </w:r>
      <w:r>
        <w:rPr>
          <w:rtl w:val="1"/>
        </w:rPr>
        <w:t>’</w:t>
      </w:r>
      <w:r>
        <w:rPr>
          <w:rtl w:val="0"/>
          <w:lang w:val="en-US"/>
        </w:rPr>
        <w:t>s self-custody model aligns with compliance frameworks.</w:t>
      </w:r>
    </w:p>
    <w:p>
      <w:pPr>
        <w:pStyle w:val="List Paragraph"/>
        <w:numPr>
          <w:ilvl w:val="0"/>
          <w:numId w:val="2"/>
        </w:numPr>
        <w:spacing w:after="60"/>
        <w:rPr>
          <w:lang w:val="en-US"/>
        </w:rPr>
      </w:pPr>
      <w:r>
        <w:rPr>
          <w:b w:val="1"/>
          <w:bCs w:val="1"/>
          <w:rtl w:val="0"/>
          <w:lang w:val="en-US"/>
        </w:rPr>
        <w:t xml:space="preserve">Bridge between TradFi and Web3: </w:t>
      </w:r>
      <w:r>
        <w:rPr>
          <w:rtl w:val="0"/>
          <w:lang w:val="en-US"/>
        </w:rPr>
        <w:t>Banks, pension funds, state treasuries, insurance companies, and corporate balance sheets are all entering Bitcoin simultaneously. These organizations need a point of contact who speaks both financial infrastructure and vault architecture.</w:t>
      </w:r>
    </w:p>
    <w:p>
      <w:pPr>
        <w:pStyle w:val="List Paragraph"/>
        <w:numPr>
          <w:ilvl w:val="0"/>
          <w:numId w:val="2"/>
        </w:numPr>
        <w:spacing w:after="120"/>
        <w:rPr>
          <w:lang w:val="en-US"/>
        </w:rPr>
      </w:pPr>
      <w:r>
        <w:rPr>
          <w:b w:val="1"/>
          <w:bCs w:val="1"/>
          <w:rtl w:val="0"/>
          <w:lang w:val="en-US"/>
        </w:rPr>
        <w:t xml:space="preserve">Market intelligence loop: </w:t>
      </w:r>
      <w:r>
        <w:rPr>
          <w:rtl w:val="0"/>
          <w:lang w:val="en-US"/>
        </w:rPr>
        <w:t>Capital flowing into crypto vaults surged past $6B in 2025 and is projected to double. The protocols that capture investor feedback and feed it to product and risk teams will win.</w:t>
      </w:r>
    </w:p>
    <w:p>
      <w:pPr>
        <w:pStyle w:val="Heading"/>
      </w:pPr>
      <w:r>
        <w:rPr>
          <w:rtl w:val="0"/>
          <w:lang w:val="en-US"/>
        </w:rPr>
        <w:t>How Acre Sets Itself Apart</w:t>
      </w:r>
    </w:p>
    <w:p>
      <w:pPr>
        <w:pStyle w:val="Heading"/>
      </w:pPr>
      <w:r>
        <w:rPr>
          <w:outline w:val="0"/>
          <w:color w:val="000000"/>
          <w:u w:color="000000"/>
          <w:rtl w:val="0"/>
          <w:lang w:val="en-US"/>
          <w14:textFill>
            <w14:solidFill>
              <w14:srgbClr w14:val="000000"/>
            </w14:solidFill>
          </w14:textFill>
        </w:rPr>
        <w:t>Acre is uniquely positioned within the BTCFi ecosystem to serve institutional capital. Its vault infrastructure is chain-agnostic and protocol-agnostic</w:t>
      </w:r>
      <w:r>
        <w:rPr>
          <w:outline w:val="0"/>
          <w:color w:val="000000"/>
          <w:u w:color="000000"/>
          <w:rtl w:val="0"/>
          <w:lang w:val="en-US"/>
          <w14:textFill>
            <w14:solidFill>
              <w14:srgbClr w14:val="000000"/>
            </w14:solidFill>
          </w14:textFill>
        </w:rPr>
        <w:t>—</w:t>
      </w:r>
      <w:r>
        <w:rPr>
          <w:outline w:val="0"/>
          <w:color w:val="000000"/>
          <w:u w:color="000000"/>
          <w:rtl w:val="0"/>
          <w:lang w:val="fr-FR"/>
          <w14:textFill>
            <w14:solidFill>
              <w14:srgbClr w14:val="000000"/>
            </w14:solidFill>
          </w14:textFill>
        </w:rPr>
        <w:t>institutions don</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t want to bet on a single chain, and 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architecture can scale across multiple digital assets and strategies. Re7 Labs as vault curator and Midas as infrastructure provider represent institutional-grade risk management that professional allocators recognize. Self-custody with yield solves the exact problem institutional holders face: productive BTC exposure without custody drag or counterparty risk.</w:t>
      </w:r>
    </w:p>
    <w:p>
      <w:pPr>
        <w:pStyle w:val="Heading"/>
      </w:pPr>
      <w:r>
        <w:rPr>
          <w:outline w:val="0"/>
          <w:color w:val="000000"/>
          <w:u w:color="000000"/>
          <w:rtl w:val="0"/>
          <w:lang w:val="en-US"/>
          <w14:textFill>
            <w14:solidFill>
              <w14:srgbClr w14:val="000000"/>
            </w14:solidFill>
          </w14:textFill>
        </w:rPr>
        <w:t>By creating the Head of Institutional Adoption role, Acre becomes the first BTCFi protocol to formalize an executive function dedicated to institutional integration and onboarding. This is not just a hiring decision</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it is a strategic signal to the market that Acre takes institutional participation seriously. The title itself communicates 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differentiator: we don</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t just build infrastructure, we ensure institutions can adopt it.</w:t>
      </w:r>
    </w:p>
    <w:p>
      <w:pPr>
        <w:pStyle w:val="Heading"/>
      </w:pPr>
    </w:p>
    <w:p>
      <w:pPr>
        <w:pStyle w:val="Heading"/>
      </w:pPr>
      <w:r>
        <w:rPr>
          <w:rFonts w:ascii="Times New Roman" w:hAnsi="Times New Roman"/>
          <w:outline w:val="0"/>
          <w:color w:val="1b2a4a"/>
          <w:sz w:val="24"/>
          <w:szCs w:val="24"/>
          <w:u w:color="1b2a4a"/>
          <w:rtl w:val="0"/>
          <w:lang w:val="it-IT"/>
          <w14:textFill>
            <w14:solidFill>
              <w14:srgbClr w14:val="1B2A4A"/>
            </w14:solidFill>
          </w14:textFill>
        </w:rPr>
        <w:t>Candidate: Nico Marotta</w:t>
      </w:r>
    </w:p>
    <w:p>
      <w:pPr>
        <w:pStyle w:val="Heading"/>
      </w:pPr>
      <w:r>
        <w:rPr>
          <w:outline w:val="0"/>
          <w:color w:val="000000"/>
          <w:u w:color="000000"/>
          <w:rtl w:val="0"/>
          <w:lang w:val="it-IT"/>
          <w14:textFill>
            <w14:solidFill>
              <w14:srgbClr w14:val="000000"/>
            </w14:solidFill>
          </w14:textFill>
        </w:rPr>
        <w:t>Nico</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career trajectory</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from Keep Network early participant to Threshold DAO governance contributor to Taho community host to building 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community from zero</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positions him as the natural owner of this expanded role. He founded the Acre Security Council, scaled the community from 6,000 to 36,000+ members, leads a 10-person global moderation team, and represents Acre at major global conferences. His background in design, education, and real estate adds a client-service orientation rarely found in Web3. His deep understanding of Acre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vault architecture, combined with his ability to translate complex systems into approachable narratives, makes him uniquely qualified to drive institutional adoption.</w:t>
      </w:r>
    </w:p>
    <w:sectPr>
      <w:headerReference w:type="default" r:id="rId4"/>
      <w:footerReference w:type="default" r:id="rId5"/>
      <w:pgSz w:w="12240" w:h="15840" w:orient="portrait"/>
      <w:pgMar w:top="1200" w:right="1200" w:bottom="1200" w:left="12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99999"/>
        <w:sz w:val="16"/>
        <w:szCs w:val="16"/>
        <w:u w:color="999999"/>
        <w:rtl w:val="0"/>
        <w:lang w:val="pt-PT"/>
        <w14:textFill>
          <w14:solidFill>
            <w14:srgbClr w14:val="999999"/>
          </w14:solidFill>
        </w14:textFill>
      </w:rPr>
      <w:t xml:space="preserve">Acre Protocol </w:t>
    </w:r>
    <w:r>
      <w:rPr>
        <w:rFonts w:ascii="Arial" w:hAnsi="Arial" w:hint="default"/>
        <w:outline w:val="0"/>
        <w:color w:val="999999"/>
        <w:sz w:val="16"/>
        <w:szCs w:val="16"/>
        <w:u w:color="999999"/>
        <w:rtl w:val="0"/>
        <w14:textFill>
          <w14:solidFill>
            <w14:srgbClr w14:val="999999"/>
          </w14:solidFill>
        </w14:textFill>
      </w:rPr>
      <w:t xml:space="preserve">– </w:t>
    </w:r>
    <w:r>
      <w:rPr>
        <w:rFonts w:ascii="Arial" w:hAnsi="Arial"/>
        <w:outline w:val="0"/>
        <w:color w:val="999999"/>
        <w:sz w:val="16"/>
        <w:szCs w:val="16"/>
        <w:u w:color="999999"/>
        <w:rtl w:val="0"/>
        <w:lang w:val="en-US"/>
        <w14:textFill>
          <w14:solidFill>
            <w14:srgbClr w14:val="999999"/>
          </w14:solidFill>
        </w14:textFill>
      </w:rPr>
      <w:t xml:space="preserve">Executive Role Research Summary </w:t>
    </w:r>
    <w:r>
      <w:rPr>
        <w:rFonts w:ascii="Arial" w:hAnsi="Arial" w:hint="default"/>
        <w:outline w:val="0"/>
        <w:color w:val="999999"/>
        <w:sz w:val="16"/>
        <w:szCs w:val="16"/>
        <w:u w:color="999999"/>
        <w:rtl w:val="0"/>
        <w14:textFill>
          <w14:solidFill>
            <w14:srgbClr w14:val="999999"/>
          </w14:solidFill>
        </w14:textFill>
      </w:rPr>
      <w:t xml:space="preserve">– </w:t>
    </w:r>
    <w:r>
      <w:rPr>
        <w:rFonts w:ascii="Arial" w:hAnsi="Arial"/>
        <w:outline w:val="0"/>
        <w:color w:val="999999"/>
        <w:sz w:val="16"/>
        <w:szCs w:val="16"/>
        <w:u w:color="999999"/>
        <w:rtl w:val="0"/>
        <w:lang w:val="en-US"/>
        <w14:textFill>
          <w14:solidFill>
            <w14:srgbClr w14:val="999999"/>
          </w14:solidFill>
        </w14:textFill>
      </w:rPr>
      <w:t>March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b2a4a"/>
        <w:sz w:val="18"/>
        <w:szCs w:val="18"/>
        <w:u w:color="1b2a4a"/>
        <w:rtl w:val="0"/>
        <w:lang w:val="pt-PT"/>
        <w14:textFill>
          <w14:solidFill>
            <w14:srgbClr w14:val="1B2A4A"/>
          </w14:solidFill>
        </w14:textFill>
      </w:rPr>
      <w:t>Acre Protocol</w:t>
    </w:r>
    <w:r>
      <w:rPr>
        <w:rtl w:val="0"/>
        <w:lang w:val="en-US"/>
      </w:rPr>
      <w:tab/>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2a4a"/>
      <w:spacing w:val="0"/>
      <w:kern w:val="0"/>
      <w:position w:val="0"/>
      <w:sz w:val="32"/>
      <w:szCs w:val="32"/>
      <w:u w:val="none" w:color="1b2a4a"/>
      <w:shd w:val="nil" w:color="auto" w:fill="auto"/>
      <w:vertAlign w:val="baseline"/>
      <w:lang w:val="en-US"/>
      <w14:textOutline>
        <w14:noFill/>
      </w14:textOutline>
      <w14:textFill>
        <w14:solidFill>
          <w14:srgbClr w14:val="1B2A4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0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b2a4a"/>
      <w:spacing w:val="0"/>
      <w:kern w:val="0"/>
      <w:position w:val="0"/>
      <w:sz w:val="26"/>
      <w:szCs w:val="26"/>
      <w:u w:val="none" w:color="1b2a4a"/>
      <w:shd w:val="nil" w:color="auto" w:fill="auto"/>
      <w:vertAlign w:val="baseline"/>
      <w:lang w:val="en-US"/>
      <w14:textOutline>
        <w14:noFill/>
      </w14:textOutline>
      <w14:textFill>
        <w14:solidFill>
          <w14:srgbClr w14:val="1B2A4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