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12386" w14:textId="33C25D72" w:rsidR="00C938F9" w:rsidRPr="00C938F9" w:rsidRDefault="00C938F9" w:rsidP="00C938F9">
      <w:r w:rsidRPr="00C938F9">
        <w:rPr>
          <w:lang w:val="fr-FR"/>
        </w:rPr>
        <w:t> </w:t>
      </w:r>
      <w:proofErr w:type="spellStart"/>
      <w:r>
        <w:rPr>
          <w:lang w:val="fr-FR"/>
        </w:rPr>
        <w:t>iA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Clarington</w:t>
      </w:r>
      <w:proofErr w:type="spellEnd"/>
      <w:r>
        <w:rPr>
          <w:lang w:val="fr-FR"/>
        </w:rPr>
        <w:t xml:space="preserve"> Perspective économique</w:t>
      </w:r>
    </w:p>
    <w:p w14:paraId="149CBDCC" w14:textId="77777777" w:rsidR="00C938F9" w:rsidRPr="00C938F9" w:rsidRDefault="00C938F9" w:rsidP="00C938F9">
      <w:r w:rsidRPr="00C938F9">
        <w:rPr>
          <w:b/>
          <w:bCs/>
          <w:u w:val="single"/>
          <w:lang w:val="fr-FR"/>
        </w:rPr>
        <w:t>Changements importants dans le mandat sans restriction de Dan (CCM5604)</w:t>
      </w:r>
    </w:p>
    <w:p w14:paraId="5C2A0716" w14:textId="77777777" w:rsidR="00C938F9" w:rsidRPr="00C938F9" w:rsidRDefault="00C938F9" w:rsidP="00C938F9">
      <w:pPr>
        <w:numPr>
          <w:ilvl w:val="0"/>
          <w:numId w:val="1"/>
        </w:numPr>
      </w:pPr>
      <w:r w:rsidRPr="00C938F9">
        <w:rPr>
          <w:lang w:val="fr-FR"/>
        </w:rPr>
        <w:t>Augmenté la durée de 3 à 5 ans</w:t>
      </w:r>
    </w:p>
    <w:p w14:paraId="535EB7E0" w14:textId="77777777" w:rsidR="00C938F9" w:rsidRPr="00C938F9" w:rsidRDefault="00C938F9" w:rsidP="00C938F9">
      <w:pPr>
        <w:numPr>
          <w:ilvl w:val="0"/>
          <w:numId w:val="1"/>
        </w:numPr>
      </w:pPr>
      <w:r w:rsidRPr="00C938F9">
        <w:rPr>
          <w:b/>
          <w:bCs/>
          <w:lang w:val="fr-FR"/>
        </w:rPr>
        <w:t>Augmenté la pondération en Europe à 30%</w:t>
      </w:r>
    </w:p>
    <w:p w14:paraId="73C0E0E4" w14:textId="77777777" w:rsidR="00C938F9" w:rsidRPr="00C938F9" w:rsidRDefault="00C938F9" w:rsidP="00C938F9">
      <w:pPr>
        <w:numPr>
          <w:ilvl w:val="0"/>
          <w:numId w:val="1"/>
        </w:numPr>
      </w:pPr>
      <w:r w:rsidRPr="00C938F9">
        <w:rPr>
          <w:lang w:val="fr-FR"/>
        </w:rPr>
        <w:t>Euro ouvert à 100%</w:t>
      </w:r>
    </w:p>
    <w:p w14:paraId="498086D6" w14:textId="77777777" w:rsidR="00C938F9" w:rsidRPr="00C938F9" w:rsidRDefault="00C938F9" w:rsidP="00C938F9">
      <w:r w:rsidRPr="00C938F9">
        <w:rPr>
          <w:lang w:val="fr-FR"/>
        </w:rPr>
        <w:t> </w:t>
      </w:r>
    </w:p>
    <w:p w14:paraId="62C18AE5" w14:textId="77777777" w:rsidR="00C938F9" w:rsidRPr="00C938F9" w:rsidRDefault="00C938F9" w:rsidP="00C938F9">
      <w:r w:rsidRPr="00C938F9">
        <w:rPr>
          <w:b/>
          <w:bCs/>
          <w:u w:val="single"/>
          <w:lang w:val="fr-FR"/>
        </w:rPr>
        <w:t>Raisonnement</w:t>
      </w:r>
    </w:p>
    <w:p w14:paraId="35FA5426" w14:textId="77777777" w:rsidR="00C938F9" w:rsidRPr="00C938F9" w:rsidRDefault="00C938F9" w:rsidP="00C938F9">
      <w:r w:rsidRPr="00C938F9">
        <w:rPr>
          <w:lang w:val="fr-FR"/>
        </w:rPr>
        <w:t> </w:t>
      </w:r>
    </w:p>
    <w:p w14:paraId="5F7B114A" w14:textId="77777777" w:rsidR="00C938F9" w:rsidRPr="00C938F9" w:rsidRDefault="00C938F9" w:rsidP="00C938F9">
      <w:r w:rsidRPr="00C938F9">
        <w:rPr>
          <w:b/>
          <w:bCs/>
          <w:lang w:val="fr-FR"/>
        </w:rPr>
        <w:t>L’opportunité en Europe</w:t>
      </w:r>
    </w:p>
    <w:p w14:paraId="0F533BC5" w14:textId="77777777" w:rsidR="00C938F9" w:rsidRPr="00C938F9" w:rsidRDefault="00C938F9" w:rsidP="00C938F9">
      <w:pPr>
        <w:numPr>
          <w:ilvl w:val="0"/>
          <w:numId w:val="2"/>
        </w:numPr>
      </w:pPr>
      <w:r w:rsidRPr="00C938F9">
        <w:rPr>
          <w:lang w:val="fr-FR"/>
        </w:rPr>
        <w:t>50% des entrées d’actifs du revenu fixe mondial se sont dirigées en Europe lors de la dernière semaine d’avril ($8.1 milliards)</w:t>
      </w:r>
    </w:p>
    <w:p w14:paraId="0728C006" w14:textId="77777777" w:rsidR="00C938F9" w:rsidRPr="00C938F9" w:rsidRDefault="00C938F9" w:rsidP="00C938F9">
      <w:pPr>
        <w:numPr>
          <w:ilvl w:val="0"/>
          <w:numId w:val="2"/>
        </w:numPr>
      </w:pPr>
      <w:r w:rsidRPr="00C938F9">
        <w:rPr>
          <w:lang w:val="fr-FR"/>
        </w:rPr>
        <w:t>Les investisseurs étrangers ont vendu </w:t>
      </w:r>
      <w:r w:rsidRPr="00C938F9">
        <w:rPr>
          <w:b/>
          <w:bCs/>
          <w:lang w:val="fr-FR"/>
        </w:rPr>
        <w:t>31 milliards</w:t>
      </w:r>
      <w:r w:rsidRPr="00C938F9">
        <w:rPr>
          <w:lang w:val="fr-FR"/>
        </w:rPr>
        <w:t> US d’actions américaines au Q1 2025</w:t>
      </w:r>
    </w:p>
    <w:p w14:paraId="415B5649" w14:textId="77777777" w:rsidR="00C938F9" w:rsidRPr="00C938F9" w:rsidRDefault="00C938F9" w:rsidP="00C938F9">
      <w:pPr>
        <w:numPr>
          <w:ilvl w:val="1"/>
          <w:numId w:val="2"/>
        </w:numPr>
      </w:pPr>
      <w:r w:rsidRPr="00C938F9">
        <w:rPr>
          <w:u w:val="single"/>
          <w:lang w:val="fr-FR"/>
        </w:rPr>
        <w:t>En contraste</w:t>
      </w:r>
      <w:r w:rsidRPr="00C938F9">
        <w:rPr>
          <w:lang w:val="fr-FR"/>
        </w:rPr>
        <w:t> : Q4 2024 = +</w:t>
      </w:r>
      <w:r w:rsidRPr="00C938F9">
        <w:rPr>
          <w:b/>
          <w:bCs/>
          <w:lang w:val="fr-FR"/>
        </w:rPr>
        <w:t>167 milliards</w:t>
      </w:r>
      <w:r w:rsidRPr="00C938F9">
        <w:rPr>
          <w:lang w:val="fr-FR"/>
        </w:rPr>
        <w:t> d’entrées nettes</w:t>
      </w:r>
    </w:p>
    <w:p w14:paraId="6809F985" w14:textId="77777777" w:rsidR="00C938F9" w:rsidRPr="00C938F9" w:rsidRDefault="00C938F9" w:rsidP="00C938F9">
      <w:pPr>
        <w:numPr>
          <w:ilvl w:val="0"/>
          <w:numId w:val="2"/>
        </w:numPr>
      </w:pPr>
      <w:r w:rsidRPr="00C938F9">
        <w:rPr>
          <w:lang w:val="fr-FR"/>
        </w:rPr>
        <w:t>Les achats nets de FNB européens au Q1 2025 sont </w:t>
      </w:r>
      <w:r w:rsidRPr="00C938F9">
        <w:rPr>
          <w:b/>
          <w:bCs/>
          <w:lang w:val="fr-FR"/>
        </w:rPr>
        <w:t>7x plus importants</w:t>
      </w:r>
      <w:r w:rsidRPr="00C938F9">
        <w:rPr>
          <w:lang w:val="fr-FR"/>
        </w:rPr>
        <w:t> que ceux du Q1 2024</w:t>
      </w:r>
    </w:p>
    <w:p w14:paraId="61B65CB3" w14:textId="77777777" w:rsidR="00C938F9" w:rsidRPr="00C938F9" w:rsidRDefault="00C938F9" w:rsidP="00C938F9">
      <w:r w:rsidRPr="00C938F9">
        <w:rPr>
          <w:lang w:val="fr-FR"/>
        </w:rPr>
        <w:t> </w:t>
      </w:r>
    </w:p>
    <w:p w14:paraId="2C0F22C2" w14:textId="77777777" w:rsidR="00C938F9" w:rsidRPr="00C938F9" w:rsidRDefault="00C938F9" w:rsidP="00C938F9">
      <w:r w:rsidRPr="00C938F9">
        <w:rPr>
          <w:b/>
          <w:bCs/>
          <w:lang w:val="fr-FR"/>
        </w:rPr>
        <w:t>Actifs institutionnels</w:t>
      </w:r>
    </w:p>
    <w:p w14:paraId="5BB53D3F" w14:textId="77777777" w:rsidR="00C938F9" w:rsidRPr="00C938F9" w:rsidRDefault="00C938F9" w:rsidP="00C938F9">
      <w:pPr>
        <w:numPr>
          <w:ilvl w:val="0"/>
          <w:numId w:val="3"/>
        </w:numPr>
      </w:pPr>
      <w:r w:rsidRPr="00C938F9">
        <w:rPr>
          <w:lang w:val="fr-FR"/>
        </w:rPr>
        <w:t>La Caisse de dépôt annonce une augmentation de </w:t>
      </w:r>
      <w:r w:rsidRPr="00C938F9">
        <w:rPr>
          <w:b/>
          <w:bCs/>
          <w:lang w:val="fr-FR"/>
        </w:rPr>
        <w:t>50% au UK</w:t>
      </w:r>
      <w:r w:rsidRPr="00C938F9">
        <w:rPr>
          <w:lang w:val="fr-FR"/>
        </w:rPr>
        <w:t> ; jusqu’à </w:t>
      </w:r>
      <w:r w:rsidRPr="00C938F9">
        <w:rPr>
          <w:b/>
          <w:bCs/>
          <w:lang w:val="fr-FR"/>
        </w:rPr>
        <w:t>20% en Europe</w:t>
      </w:r>
    </w:p>
    <w:p w14:paraId="52FB92BF" w14:textId="77777777" w:rsidR="00C938F9" w:rsidRPr="00C938F9" w:rsidRDefault="00C938F9" w:rsidP="00C938F9">
      <w:pPr>
        <w:numPr>
          <w:ilvl w:val="0"/>
          <w:numId w:val="3"/>
        </w:numPr>
      </w:pPr>
      <w:r w:rsidRPr="00C938F9">
        <w:rPr>
          <w:lang w:val="fr-FR"/>
        </w:rPr>
        <w:t>Les 4 plus gros fonds de pensions Canadiens ont environ 47% de leurs actifs en USD </w:t>
      </w:r>
    </w:p>
    <w:p w14:paraId="183982B4" w14:textId="77777777" w:rsidR="00C938F9" w:rsidRPr="00C938F9" w:rsidRDefault="00C938F9" w:rsidP="00C938F9">
      <w:pPr>
        <w:numPr>
          <w:ilvl w:val="1"/>
          <w:numId w:val="3"/>
        </w:numPr>
      </w:pPr>
      <w:r w:rsidRPr="00C938F9">
        <w:rPr>
          <w:lang w:val="fr-FR"/>
        </w:rPr>
        <w:t>Re balancement important des actifs institutionnels vers l’Europe (CDPQ actuellement 40% aux USA)</w:t>
      </w:r>
    </w:p>
    <w:p w14:paraId="7157FAA5" w14:textId="77777777" w:rsidR="00C938F9" w:rsidRPr="00C938F9" w:rsidRDefault="00C938F9" w:rsidP="00C938F9">
      <w:r w:rsidRPr="00C938F9">
        <w:rPr>
          <w:lang w:val="fr-FR"/>
        </w:rPr>
        <w:t> </w:t>
      </w:r>
    </w:p>
    <w:p w14:paraId="5737822D" w14:textId="77777777" w:rsidR="00C938F9" w:rsidRPr="00C938F9" w:rsidRDefault="00C938F9" w:rsidP="00C938F9">
      <w:r w:rsidRPr="00C938F9">
        <w:rPr>
          <w:b/>
          <w:bCs/>
          <w:lang w:val="fr-FR"/>
        </w:rPr>
        <w:t>USD VS Euro</w:t>
      </w:r>
    </w:p>
    <w:p w14:paraId="0789EA78" w14:textId="77777777" w:rsidR="00C938F9" w:rsidRPr="00C938F9" w:rsidRDefault="00C938F9" w:rsidP="00C938F9">
      <w:pPr>
        <w:numPr>
          <w:ilvl w:val="0"/>
          <w:numId w:val="4"/>
        </w:numPr>
      </w:pPr>
      <w:r w:rsidRPr="00C938F9">
        <w:rPr>
          <w:lang w:val="fr-FR"/>
        </w:rPr>
        <w:t>Selon Dan Janis, le USD est encore surévalué de 10 à 20%</w:t>
      </w:r>
    </w:p>
    <w:p w14:paraId="50F4A335" w14:textId="77777777" w:rsidR="00C938F9" w:rsidRPr="00C938F9" w:rsidRDefault="00C938F9" w:rsidP="00C938F9">
      <w:pPr>
        <w:numPr>
          <w:ilvl w:val="0"/>
          <w:numId w:val="4"/>
        </w:numPr>
      </w:pPr>
      <w:r w:rsidRPr="00C938F9">
        <w:rPr>
          <w:lang w:val="fr-FR"/>
        </w:rPr>
        <w:lastRenderedPageBreak/>
        <w:t>Schnabel (de la Banque Centrale Européenne) : l’Euro compétitionnera avec le USD comme devise de « référence » sur un horizon séculaire</w:t>
      </w:r>
    </w:p>
    <w:p w14:paraId="54260923" w14:textId="77777777" w:rsidR="00C938F9" w:rsidRPr="00C938F9" w:rsidRDefault="00C938F9" w:rsidP="00C938F9">
      <w:pPr>
        <w:numPr>
          <w:ilvl w:val="1"/>
          <w:numId w:val="4"/>
        </w:numPr>
      </w:pPr>
      <w:r w:rsidRPr="00C938F9">
        <w:rPr>
          <w:lang w:val="fr-FR"/>
        </w:rPr>
        <w:t>EUR profitera drastiquement d’une chute du USD en raison de la taille relative du marché des capitaux en Europe</w:t>
      </w:r>
    </w:p>
    <w:p w14:paraId="5239583C" w14:textId="77777777" w:rsidR="00C938F9" w:rsidRPr="00C938F9" w:rsidRDefault="00C938F9" w:rsidP="00C938F9">
      <w:pPr>
        <w:numPr>
          <w:ilvl w:val="0"/>
          <w:numId w:val="4"/>
        </w:numPr>
      </w:pPr>
      <w:r w:rsidRPr="00C938F9">
        <w:rPr>
          <w:lang w:val="fr-FR"/>
        </w:rPr>
        <w:t>Cible EUR/CAD : </w:t>
      </w:r>
      <w:r w:rsidRPr="00C938F9">
        <w:rPr>
          <w:b/>
          <w:bCs/>
          <w:lang w:val="fr-FR"/>
        </w:rPr>
        <w:t>1.60-1.70</w:t>
      </w:r>
    </w:p>
    <w:p w14:paraId="7CFACB70" w14:textId="77777777" w:rsidR="00C938F9" w:rsidRPr="00C938F9" w:rsidRDefault="00C938F9" w:rsidP="00C938F9">
      <w:r w:rsidRPr="00C938F9">
        <w:rPr>
          <w:lang w:val="fr-FR"/>
        </w:rPr>
        <w:t> </w:t>
      </w:r>
    </w:p>
    <w:p w14:paraId="3C5B7921" w14:textId="77777777" w:rsidR="00C938F9" w:rsidRPr="00C938F9" w:rsidRDefault="00C938F9" w:rsidP="00C938F9">
      <w:r w:rsidRPr="00C938F9">
        <w:rPr>
          <w:b/>
          <w:bCs/>
          <w:lang w:val="fr-FR"/>
        </w:rPr>
        <w:t>Mesures fiscales &amp; liquidité</w:t>
      </w:r>
    </w:p>
    <w:p w14:paraId="1C42C121" w14:textId="77777777" w:rsidR="00C938F9" w:rsidRPr="00C938F9" w:rsidRDefault="00C938F9" w:rsidP="00C938F9">
      <w:pPr>
        <w:numPr>
          <w:ilvl w:val="0"/>
          <w:numId w:val="5"/>
        </w:numPr>
      </w:pPr>
      <w:r w:rsidRPr="00C938F9">
        <w:rPr>
          <w:lang w:val="fr-FR"/>
        </w:rPr>
        <w:t>Banque Européenne d’investissement (BEI) : </w:t>
      </w:r>
      <w:r w:rsidRPr="00C938F9">
        <w:rPr>
          <w:b/>
          <w:bCs/>
          <w:lang w:val="fr-FR"/>
        </w:rPr>
        <w:t>Augmentera de 3X</w:t>
      </w:r>
      <w:r w:rsidRPr="00C938F9">
        <w:rPr>
          <w:lang w:val="fr-FR"/>
        </w:rPr>
        <w:t> ses dépenses reliées à la défense à travers l’Union Européenne</w:t>
      </w:r>
    </w:p>
    <w:p w14:paraId="47F7D62C" w14:textId="77777777" w:rsidR="00C938F9" w:rsidRPr="00C938F9" w:rsidRDefault="00C938F9" w:rsidP="00C938F9">
      <w:pPr>
        <w:numPr>
          <w:ilvl w:val="0"/>
          <w:numId w:val="5"/>
        </w:numPr>
      </w:pPr>
      <w:r w:rsidRPr="00C938F9">
        <w:rPr>
          <w:lang w:val="fr-FR"/>
        </w:rPr>
        <w:t>Changement de la politique fiscal</w:t>
      </w:r>
    </w:p>
    <w:p w14:paraId="09E01EE5" w14:textId="77777777" w:rsidR="00C938F9" w:rsidRPr="00C938F9" w:rsidRDefault="00C938F9" w:rsidP="00C938F9">
      <w:pPr>
        <w:numPr>
          <w:ilvl w:val="1"/>
          <w:numId w:val="5"/>
        </w:numPr>
      </w:pPr>
      <w:r w:rsidRPr="00C938F9">
        <w:rPr>
          <w:lang w:val="fr-FR"/>
        </w:rPr>
        <w:t>Le frein imposé par L’Allemagne depuis plusieurs décennies est retiré</w:t>
      </w:r>
    </w:p>
    <w:p w14:paraId="760DE08D" w14:textId="77777777" w:rsidR="00C938F9" w:rsidRPr="00C938F9" w:rsidRDefault="00C938F9" w:rsidP="00C938F9">
      <w:pPr>
        <w:numPr>
          <w:ilvl w:val="1"/>
          <w:numId w:val="5"/>
        </w:numPr>
      </w:pPr>
      <w:r w:rsidRPr="00C938F9">
        <w:rPr>
          <w:lang w:val="fr-FR"/>
        </w:rPr>
        <w:t>La limite d’expansion fiscal des USA tire à sa fin</w:t>
      </w:r>
    </w:p>
    <w:p w14:paraId="0D6C6541" w14:textId="77777777" w:rsidR="00C938F9" w:rsidRPr="00C938F9" w:rsidRDefault="00C938F9" w:rsidP="00C938F9">
      <w:pPr>
        <w:numPr>
          <w:ilvl w:val="0"/>
          <w:numId w:val="5"/>
        </w:numPr>
      </w:pPr>
      <w:r w:rsidRPr="00C938F9">
        <w:rPr>
          <w:i/>
          <w:iCs/>
          <w:lang w:val="fr-FR"/>
        </w:rPr>
        <w:t>Impact positif</w:t>
      </w:r>
      <w:r w:rsidRPr="00C938F9">
        <w:rPr>
          <w:lang w:val="fr-FR"/>
        </w:rPr>
        <w:t> : augmentation importante de la liquidité du marché obligataire européen</w:t>
      </w:r>
    </w:p>
    <w:p w14:paraId="127534F9" w14:textId="77777777" w:rsidR="00C938F9" w:rsidRPr="00C938F9" w:rsidRDefault="00C938F9" w:rsidP="00C938F9">
      <w:r w:rsidRPr="00C938F9">
        <w:rPr>
          <w:lang w:val="fr-FR"/>
        </w:rPr>
        <w:t> </w:t>
      </w:r>
    </w:p>
    <w:p w14:paraId="357DFD70" w14:textId="77777777" w:rsidR="00C938F9" w:rsidRPr="00C938F9" w:rsidRDefault="00C938F9" w:rsidP="00C938F9">
      <w:r w:rsidRPr="00C938F9">
        <w:rPr>
          <w:b/>
          <w:bCs/>
          <w:lang w:val="fr-FR"/>
        </w:rPr>
        <w:t>Obligations corpo européennes : moins chères et moins volatiles</w:t>
      </w:r>
    </w:p>
    <w:p w14:paraId="3D708861" w14:textId="77777777" w:rsidR="00C938F9" w:rsidRPr="00C938F9" w:rsidRDefault="00C938F9" w:rsidP="00C938F9">
      <w:pPr>
        <w:numPr>
          <w:ilvl w:val="0"/>
          <w:numId w:val="6"/>
        </w:numPr>
      </w:pPr>
      <w:r w:rsidRPr="00C938F9">
        <w:rPr>
          <w:lang w:val="fr-FR"/>
        </w:rPr>
        <w:t>Obligations corporatives EUR : jusqu’à 20% moins cher que le corpo US actuellement (selon les secteurs)</w:t>
      </w:r>
    </w:p>
    <w:p w14:paraId="212CD126" w14:textId="77777777" w:rsidR="00C938F9" w:rsidRPr="00C938F9" w:rsidRDefault="00C938F9" w:rsidP="00C938F9">
      <w:pPr>
        <w:numPr>
          <w:ilvl w:val="0"/>
          <w:numId w:val="6"/>
        </w:numPr>
      </w:pPr>
      <w:r w:rsidRPr="00C938F9">
        <w:rPr>
          <w:lang w:val="fr-FR"/>
        </w:rPr>
        <w:t>Depuis 2017, le crédit corporatif a été beaucoup moins volatile que les USA (voir graphique #2)</w:t>
      </w:r>
    </w:p>
    <w:p w14:paraId="4F606576" w14:textId="77777777" w:rsidR="00C938F9" w:rsidRPr="00C938F9" w:rsidRDefault="00C938F9" w:rsidP="00C938F9">
      <w:r w:rsidRPr="00C938F9">
        <w:rPr>
          <w:lang w:val="fr-FR"/>
        </w:rPr>
        <w:t> </w:t>
      </w:r>
    </w:p>
    <w:p w14:paraId="402144B9" w14:textId="77777777" w:rsidR="00C938F9" w:rsidRPr="00C938F9" w:rsidRDefault="00C938F9" w:rsidP="00C938F9">
      <w:r w:rsidRPr="00C938F9">
        <w:rPr>
          <w:b/>
          <w:bCs/>
          <w:u w:val="single"/>
          <w:lang w:val="fr-FR"/>
        </w:rPr>
        <w:t>Caractéristiques du portefeuille</w:t>
      </w:r>
    </w:p>
    <w:p w14:paraId="5756336A" w14:textId="77777777" w:rsidR="00C938F9" w:rsidRPr="00C938F9" w:rsidRDefault="00C938F9" w:rsidP="00C938F9">
      <w:r w:rsidRPr="00C938F9">
        <w:rPr>
          <w:lang w:val="fr-FR"/>
        </w:rPr>
        <w:t> </w:t>
      </w:r>
    </w:p>
    <w:p w14:paraId="20FF4AEB" w14:textId="31F213BB" w:rsidR="00C938F9" w:rsidRPr="00C938F9" w:rsidRDefault="00C938F9" w:rsidP="00C938F9">
      <w:r w:rsidRPr="00C938F9">
        <w:rPr>
          <w:lang w:val="fr-FR"/>
        </w:rPr>
        <w:drawing>
          <wp:inline distT="0" distB="0" distL="0" distR="0" wp14:anchorId="70253BD9" wp14:editId="6CB9FB84">
            <wp:extent cx="5486400" cy="492125"/>
            <wp:effectExtent l="0" t="0" r="0" b="3175"/>
            <wp:docPr id="1248165572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9D1F0" w14:textId="77777777" w:rsidR="00C938F9" w:rsidRPr="00C938F9" w:rsidRDefault="00C938F9" w:rsidP="00C938F9">
      <w:r w:rsidRPr="00C938F9">
        <w:rPr>
          <w:b/>
          <w:bCs/>
          <w:lang w:val="fr-FR"/>
        </w:rPr>
        <w:t> </w:t>
      </w:r>
    </w:p>
    <w:p w14:paraId="3127E9B6" w14:textId="77777777" w:rsidR="00C938F9" w:rsidRPr="00C938F9" w:rsidRDefault="00C938F9" w:rsidP="00C938F9">
      <w:r w:rsidRPr="00C938F9">
        <w:t> </w:t>
      </w:r>
    </w:p>
    <w:p w14:paraId="633DB8F7" w14:textId="77777777" w:rsidR="00C938F9" w:rsidRPr="00C938F9" w:rsidRDefault="00C938F9" w:rsidP="00C938F9">
      <w:r w:rsidRPr="00C938F9">
        <w:rPr>
          <w:b/>
          <w:bCs/>
          <w:u w:val="single"/>
          <w:lang w:val="fr-FR"/>
        </w:rPr>
        <w:t>Graphique #1 : Performance depuis les changements en avril</w:t>
      </w:r>
    </w:p>
    <w:p w14:paraId="51EDD15E" w14:textId="77777777" w:rsidR="00C938F9" w:rsidRPr="00C938F9" w:rsidRDefault="00C938F9" w:rsidP="00C938F9">
      <w:r w:rsidRPr="00C938F9">
        <w:rPr>
          <w:lang w:val="fr-FR"/>
        </w:rPr>
        <w:lastRenderedPageBreak/>
        <w:t> </w:t>
      </w:r>
    </w:p>
    <w:p w14:paraId="2B85E3BC" w14:textId="20CC3153" w:rsidR="00C938F9" w:rsidRPr="00C938F9" w:rsidRDefault="00C938F9" w:rsidP="00C938F9">
      <w:r w:rsidRPr="00C938F9">
        <w:rPr>
          <w:lang w:val="fr-FR"/>
        </w:rPr>
        <w:drawing>
          <wp:inline distT="0" distB="0" distL="0" distR="0" wp14:anchorId="5F75ECB1" wp14:editId="4287BF12">
            <wp:extent cx="5486400" cy="3837940"/>
            <wp:effectExtent l="0" t="0" r="0" b="0"/>
            <wp:docPr id="1153049477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E5BF1" w14:textId="77777777" w:rsidR="00C938F9" w:rsidRPr="00C938F9" w:rsidRDefault="00C938F9" w:rsidP="00C938F9">
      <w:r w:rsidRPr="00C938F9">
        <w:rPr>
          <w:lang w:val="fr-FR"/>
        </w:rPr>
        <w:t> </w:t>
      </w:r>
    </w:p>
    <w:p w14:paraId="6C9A12AD" w14:textId="77777777" w:rsidR="00C938F9" w:rsidRPr="00C938F9" w:rsidRDefault="00C938F9" w:rsidP="00C938F9">
      <w:r w:rsidRPr="00C938F9">
        <w:rPr>
          <w:lang w:val="fr-FR"/>
        </w:rPr>
        <w:t> </w:t>
      </w:r>
    </w:p>
    <w:p w14:paraId="6DCB66CA" w14:textId="77777777" w:rsidR="00C938F9" w:rsidRPr="00C938F9" w:rsidRDefault="00C938F9" w:rsidP="00C938F9">
      <w:r w:rsidRPr="00C938F9">
        <w:rPr>
          <w:b/>
          <w:bCs/>
          <w:u w:val="single"/>
          <w:lang w:val="fr-FR"/>
        </w:rPr>
        <w:t>Graphique #2 : Volatilité du crédit corporatif – USD vs EUR</w:t>
      </w:r>
    </w:p>
    <w:p w14:paraId="2F333B9C" w14:textId="77777777" w:rsidR="00C938F9" w:rsidRPr="00C938F9" w:rsidRDefault="00C938F9" w:rsidP="00C938F9">
      <w:r w:rsidRPr="00C938F9">
        <w:rPr>
          <w:lang w:val="fr-FR"/>
        </w:rPr>
        <w:t> </w:t>
      </w:r>
    </w:p>
    <w:p w14:paraId="5B829C9F" w14:textId="36ED9C7C" w:rsidR="00C938F9" w:rsidRPr="00C938F9" w:rsidRDefault="00C938F9" w:rsidP="00C938F9">
      <w:r w:rsidRPr="00C938F9">
        <w:rPr>
          <w:lang w:val="fr-FR"/>
        </w:rPr>
        <w:drawing>
          <wp:inline distT="0" distB="0" distL="0" distR="0" wp14:anchorId="4A061BB1" wp14:editId="45430397">
            <wp:extent cx="5486400" cy="2281555"/>
            <wp:effectExtent l="0" t="0" r="0" b="4445"/>
            <wp:docPr id="104468505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F6E82" w14:textId="77777777" w:rsidR="00C938F9" w:rsidRPr="00C938F9" w:rsidRDefault="00C938F9" w:rsidP="00C938F9">
      <w:r w:rsidRPr="00C938F9">
        <w:rPr>
          <w:lang w:val="fr-FR"/>
        </w:rPr>
        <w:t> </w:t>
      </w:r>
    </w:p>
    <w:p w14:paraId="16FF368A" w14:textId="77777777" w:rsidR="00C938F9" w:rsidRPr="00C938F9" w:rsidRDefault="00C938F9" w:rsidP="00C938F9">
      <w:r w:rsidRPr="00C938F9">
        <w:rPr>
          <w:b/>
          <w:bCs/>
          <w:u w:val="single"/>
          <w:lang w:val="fr-FR"/>
        </w:rPr>
        <w:lastRenderedPageBreak/>
        <w:t>Sources :</w:t>
      </w:r>
    </w:p>
    <w:p w14:paraId="57DC0048" w14:textId="77777777" w:rsidR="00C938F9" w:rsidRPr="00C938F9" w:rsidRDefault="00C938F9" w:rsidP="00C938F9">
      <w:hyperlink r:id="rId8" w:tooltip="https://urldefense.com/v3/__https:/www.consilium.europa.eu/en/press/press-releases/2025/05/13/recovery-and-resilience-fund-council-gives-green-light-to-amended-plans-of-the-netherlands-portugal-slovakia-and-spain/__;!!C_xIDw!vJHwiyyFPYTnLJ5JQkgedpBjsB-4wzzrrUnXGlDfG54nHTBzRbFmsniBv20upntM0KEl4b7XwBkOgaleYsCx8rbe7WrMdqI82i9zWw$" w:history="1">
        <w:r w:rsidRPr="00C938F9">
          <w:rPr>
            <w:rStyle w:val="Hyperlien"/>
            <w:lang w:val="fr-FR"/>
          </w:rPr>
          <w:t>https://www.consilium.europa.eu/en/press/press-releases/2025/05/13/recovery-and-resilience-fund-council-gives-green-light-to-amended-plans-of-the-netherlands-portugal-slovakia-and-spain/</w:t>
        </w:r>
      </w:hyperlink>
    </w:p>
    <w:p w14:paraId="2E03B42E" w14:textId="77777777" w:rsidR="00C938F9" w:rsidRPr="00C938F9" w:rsidRDefault="00C938F9" w:rsidP="00C938F9">
      <w:hyperlink r:id="rId9" w:tooltip="https://urldefense.com/v3/__https:/tvpworld.com/87164061/eus-investment-bank-ready-to-triple-funding-for-defense-projects-this-year__;!!C_xIDw!vJHwiyyFPYTnLJ5JQkgedpBjsB-4wzzrrUnXGlDfG54nHTBzRbFmsniBv20upntM0KEl4b7XwBkOgaleYsCx8rbe7WrMdqLBgM6whg$" w:history="1">
        <w:r w:rsidRPr="00C938F9">
          <w:rPr>
            <w:rStyle w:val="Hyperlien"/>
            <w:lang w:val="fr-FR"/>
          </w:rPr>
          <w:t>https://tvpworld.com/87164061/eus-investment-bank-ready-to-triple-funding-for-defense-projects-this-year</w:t>
        </w:r>
      </w:hyperlink>
    </w:p>
    <w:p w14:paraId="5F24235F" w14:textId="77777777" w:rsidR="00C938F9" w:rsidRPr="00C938F9" w:rsidRDefault="00C938F9" w:rsidP="00C938F9">
      <w:hyperlink r:id="rId10" w:tooltip="https://urldefense.com/v3/__https:/ca.finance.yahoo.com/news/canadian-dollar-could-see-boost-135704019.html__;!!C_xIDw!vJHwiyyFPYTnLJ5JQkgedpBjsB-4wzzrrUnXGlDfG54nHTBzRbFmsniBv20upntM0KEl4b7XwBkOgaleYsCx8rbe7WrMdqLlgmC9Pw$" w:history="1">
        <w:r w:rsidRPr="00C938F9">
          <w:rPr>
            <w:rStyle w:val="Hyperlien"/>
            <w:lang w:val="fr-FR"/>
          </w:rPr>
          <w:t>https://ca.finance.yahoo.com/news/canadian-dollar-could-see-boost-135704019.html</w:t>
        </w:r>
      </w:hyperlink>
    </w:p>
    <w:p w14:paraId="086DEB7A" w14:textId="77777777" w:rsidR="00C938F9" w:rsidRPr="00C938F9" w:rsidRDefault="00C938F9" w:rsidP="00C938F9">
      <w:hyperlink r:id="rId11" w:tooltip="https://urldefense.com/v3/__https:/www.goldmansachs.com/insights/articles/how-higher-rates-affect-us-stocks__;!!C_xIDw!vJHwiyyFPYTnLJ5JQkgedpBjsB-4wzzrrUnXGlDfG54nHTBzRbFmsniBv20upntM0KEl4b7XwBkOgaleYsCx8rbe7WrMdqIIgM8U2g$" w:history="1">
        <w:r w:rsidRPr="00C938F9">
          <w:rPr>
            <w:rStyle w:val="Hyperlien"/>
            <w:lang w:val="fr-FR"/>
          </w:rPr>
          <w:t>https://www.goldmansachs.com/insights/articles/how-higher-rates-affect-us-stocks</w:t>
        </w:r>
      </w:hyperlink>
    </w:p>
    <w:p w14:paraId="7BEF5360" w14:textId="77777777" w:rsidR="00C938F9" w:rsidRPr="00C938F9" w:rsidRDefault="00C938F9" w:rsidP="00C938F9">
      <w:pPr>
        <w:rPr>
          <w:lang w:val="en-CA"/>
        </w:rPr>
      </w:pPr>
      <w:r w:rsidRPr="00C938F9">
        <w:rPr>
          <w:lang w:val="en-CA"/>
        </w:rPr>
        <w:t>(BN) ECB’s Schnabel Says Now Is Right Time to Boost Role of Euro (2)</w:t>
      </w:r>
    </w:p>
    <w:p w14:paraId="275E8296" w14:textId="77777777" w:rsidR="00C938F9" w:rsidRPr="00C938F9" w:rsidRDefault="00C938F9" w:rsidP="00C938F9">
      <w:pPr>
        <w:rPr>
          <w:lang w:val="en-CA"/>
        </w:rPr>
      </w:pPr>
      <w:r w:rsidRPr="00C938F9">
        <w:rPr>
          <w:lang w:val="en-CA"/>
        </w:rPr>
        <w:t>(BN) </w:t>
      </w:r>
      <w:r w:rsidRPr="00C938F9">
        <w:rPr>
          <w:lang w:val="en"/>
        </w:rPr>
        <w:t>Trump Turmoil Has Macron Eyeing Euro Challenge to Dollar</w:t>
      </w:r>
      <w:r w:rsidRPr="00C938F9">
        <w:rPr>
          <w:lang w:val="en"/>
        </w:rPr>
        <w:br/>
      </w:r>
      <w:hyperlink r:id="rId12" w:tooltip="https://urldefense.com/v3/__https:/blinks.bloomberg.com/news/stories/SXJ6W5DWRGG0__;!!C_xIDw!sgljfEFGzN9VeuVF1Dovb8qc7EwAP-a9ZMnzGnr3mu3_JFM3msG9iGz-F-9eqXd0wGhUToO8_pm_Ujn7G3vuQmuw$" w:history="1">
        <w:r w:rsidRPr="00C938F9">
          <w:rPr>
            <w:rStyle w:val="Hyperlien"/>
            <w:lang w:val="en"/>
          </w:rPr>
          <w:t>https://blinks.bloomberg.com/news/stories/SXJ6W5DWRGG0</w:t>
        </w:r>
      </w:hyperlink>
    </w:p>
    <w:p w14:paraId="6FC47FF1" w14:textId="77777777" w:rsidR="00C938F9" w:rsidRPr="00C938F9" w:rsidRDefault="00C938F9" w:rsidP="00C938F9">
      <w:pPr>
        <w:rPr>
          <w:lang w:val="en-CA"/>
        </w:rPr>
      </w:pPr>
      <w:hyperlink r:id="rId13" w:tooltip="https://urldefense.com/v3/__https:/pensionpulse.blogspot.com/2025/05/cdpq-to-invest-over-us10-billion-in-uk.html__;!!C_xIDw!vJHwiyyFPYTnLJ5JQkgedpBjsB-4wzzrrUnXGlDfG54nHTBzRbFmsniBv20upntM0KEl4b7XwBkOgaleYsCx8rbe7WrMdqI1jOuHJw$" w:history="1">
        <w:r w:rsidRPr="00C938F9">
          <w:rPr>
            <w:rStyle w:val="Hyperlien"/>
            <w:lang w:val="en-CA"/>
          </w:rPr>
          <w:t>CDPQ to Invest Over US$10 Billion in the UK Over the Next Five Years</w:t>
        </w:r>
      </w:hyperlink>
    </w:p>
    <w:p w14:paraId="606D3D61" w14:textId="77777777" w:rsidR="00C938F9" w:rsidRPr="00C938F9" w:rsidRDefault="00C938F9" w:rsidP="00C938F9">
      <w:pPr>
        <w:rPr>
          <w:lang w:val="en-CA"/>
        </w:rPr>
      </w:pPr>
      <w:r w:rsidRPr="00C938F9">
        <w:rPr>
          <w:lang w:val="en-CA"/>
        </w:rPr>
        <w:t> </w:t>
      </w:r>
    </w:p>
    <w:p w14:paraId="6E3527A9" w14:textId="77777777" w:rsidR="00C938F9" w:rsidRPr="00C938F9" w:rsidRDefault="00C938F9">
      <w:pPr>
        <w:rPr>
          <w:lang w:val="en-CA"/>
        </w:rPr>
      </w:pPr>
    </w:p>
    <w:sectPr w:rsidR="00C938F9" w:rsidRPr="00C938F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F6D13"/>
    <w:multiLevelType w:val="multilevel"/>
    <w:tmpl w:val="8FC8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655E48"/>
    <w:multiLevelType w:val="multilevel"/>
    <w:tmpl w:val="98DC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E77707B"/>
    <w:multiLevelType w:val="multilevel"/>
    <w:tmpl w:val="E152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19532E"/>
    <w:multiLevelType w:val="multilevel"/>
    <w:tmpl w:val="860A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A6F6EFB"/>
    <w:multiLevelType w:val="multilevel"/>
    <w:tmpl w:val="DD1E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9DC4002"/>
    <w:multiLevelType w:val="multilevel"/>
    <w:tmpl w:val="A7BA1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3184180">
    <w:abstractNumId w:val="5"/>
  </w:num>
  <w:num w:numId="2" w16cid:durableId="845435519">
    <w:abstractNumId w:val="1"/>
  </w:num>
  <w:num w:numId="3" w16cid:durableId="1841697090">
    <w:abstractNumId w:val="0"/>
  </w:num>
  <w:num w:numId="4" w16cid:durableId="1766998159">
    <w:abstractNumId w:val="3"/>
  </w:num>
  <w:num w:numId="5" w16cid:durableId="2016569429">
    <w:abstractNumId w:val="4"/>
  </w:num>
  <w:num w:numId="6" w16cid:durableId="1723018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F9"/>
    <w:rsid w:val="00C938F9"/>
    <w:rsid w:val="00D5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61564"/>
  <w15:chartTrackingRefBased/>
  <w15:docId w15:val="{F3D53691-A731-4E6E-8D09-577383064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93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3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3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3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3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3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3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3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3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93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93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93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938F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938F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938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938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938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938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93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93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3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93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93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938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938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938F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3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38F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938F9"/>
    <w:rPr>
      <w:b/>
      <w:bCs/>
      <w:smallCaps/>
      <w:color w:val="0F4761" w:themeColor="accent1" w:themeShade="BF"/>
      <w:spacing w:val="5"/>
    </w:rPr>
  </w:style>
  <w:style w:type="character" w:styleId="Hyperlien">
    <w:name w:val="Hyperlink"/>
    <w:basedOn w:val="Policepardfaut"/>
    <w:uiPriority w:val="99"/>
    <w:unhideWhenUsed/>
    <w:rsid w:val="00C938F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938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1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ldefense.com/v3/__https:/www.consilium.europa.eu/en/press/press-releases/2025/05/13/recovery-and-resilience-fund-council-gives-green-light-to-amended-plans-of-the-netherlands-portugal-slovakia-and-spain/__;!!C_xIDw!vJHwiyyFPYTnLJ5JQkgedpBjsB-4wzzrrUnXGlDfG54nHTBzRbFmsniBv20upntM0KEl4b7XwBkOgaleYsCx8rbe7WrMdqI82i9zWw$" TargetMode="External"/><Relationship Id="rId13" Type="http://schemas.openxmlformats.org/officeDocument/2006/relationships/hyperlink" Target="https://urldefense.com/v3/__https:/pensionpulse.blogspot.com/2025/05/cdpq-to-invest-over-us10-billion-in-uk.html__;!!C_xIDw!vJHwiyyFPYTnLJ5JQkgedpBjsB-4wzzrrUnXGlDfG54nHTBzRbFmsniBv20upntM0KEl4b7XwBkOgaleYsCx8rbe7WrMdqI1jOuHJw$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urldefense.com/v3/__https:/blinks.bloomberg.com/news/stories/SXJ6W5DWRGG0__;!!C_xIDw!sgljfEFGzN9VeuVF1Dovb8qc7EwAP-a9ZMnzGnr3mu3_JFM3msG9iGz-F-9eqXd0wGhUToO8_pm_Ujn7G3vuQmuw$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urldefense.com/v3/__https:/www.goldmansachs.com/insights/articles/how-higher-rates-affect-us-stocks__;!!C_xIDw!vJHwiyyFPYTnLJ5JQkgedpBjsB-4wzzrrUnXGlDfG54nHTBzRbFmsniBv20upntM0KEl4b7XwBkOgaleYsCx8rbe7WrMdqIIgM8U2g$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urldefense.com/v3/__https:/ca.finance.yahoo.com/news/canadian-dollar-could-see-boost-135704019.html__;!!C_xIDw!vJHwiyyFPYTnLJ5JQkgedpBjsB-4wzzrrUnXGlDfG54nHTBzRbFmsniBv20upntM0KEl4b7XwBkOgaleYsCx8rbe7WrMdqLlgmC9Pw$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rldefense.com/v3/__https:/tvpworld.com/87164061/eus-investment-bank-ready-to-triple-funding-for-defense-projects-this-year__;!!C_xIDw!vJHwiyyFPYTnLJ5JQkgedpBjsB-4wzzrrUnXGlDfG54nHTBzRbFmsniBv20upntM0KEl4b7XwBkOgaleYsCx8rbe7WrMdqLBgM6whg$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889</Words>
  <Characters>4892</Characters>
  <Application>Microsoft Office Word</Application>
  <DocSecurity>0</DocSecurity>
  <Lines>40</Lines>
  <Paragraphs>11</Paragraphs>
  <ScaleCrop>false</ScaleCrop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Perron</dc:creator>
  <cp:keywords/>
  <dc:description/>
  <cp:lastModifiedBy>Nicolas Perron</cp:lastModifiedBy>
  <cp:revision>1</cp:revision>
  <dcterms:created xsi:type="dcterms:W3CDTF">2025-06-17T18:19:00Z</dcterms:created>
  <dcterms:modified xsi:type="dcterms:W3CDTF">2025-06-17T18:20:00Z</dcterms:modified>
</cp:coreProperties>
</file>