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rial" w:hAnsi="Arial"/>
          <w:b/>
          <w:i w:val="0"/>
          <w:color w:val="1F4E79"/>
          <w:sz w:val="44"/>
        </w:rPr>
        <w:t>GUÍA TEÓRICA Y DE USO</w:t>
      </w:r>
    </w:p>
    <w:p>
      <w:pPr>
        <w:jc w:val="center"/>
      </w:pPr>
      <w:r>
        <w:rPr>
          <w:rFonts w:ascii="Arial" w:hAnsi="Arial"/>
          <w:b/>
          <w:i w:val="0"/>
          <w:sz w:val="36"/>
        </w:rPr>
        <w:t>Simulador de Estación de Servicio</w:t>
      </w:r>
    </w:p>
    <w:p>
      <w:pPr>
        <w:jc w:val="center"/>
      </w:pPr>
      <w:r>
        <w:rPr>
          <w:rFonts w:ascii="Arial" w:hAnsi="Arial"/>
          <w:b w:val="0"/>
          <w:i w:val="0"/>
          <w:color w:val="595959"/>
          <w:sz w:val="26"/>
        </w:rPr>
        <w:t>Investigación Operativa</w:t>
      </w:r>
    </w:p>
    <w:p/>
    <w:tbl>
      <w:tblPr>
        <w:tblW w:type="dxa" w:w="9360"/>
        <w:jc w:val="left"/>
        <w:tblLayout w:type="fixed"/>
        <w:tblLook w:firstColumn="1" w:firstRow="1" w:lastColumn="0" w:lastRow="0" w:noHBand="0" w:noVBand="1" w:val="04A0"/>
        <w:tblInd w:type="dxa" w:w="0"/>
      </w:tblPr>
      <w:tblGrid>
        <w:gridCol w:w="9360"/>
      </w:tblGrid>
      <w:tr>
        <w:trPr/>
        <w:tc>
          <w:tcPr>
            <w:tcW w:type="dxa" w:w="9360"/>
            <w:shd w:fill="F3F7FA"/>
            <w:tcMar>
              <w:top w:w="80" w:type="dxa"/>
              <w:start w:w="120" w:type="dxa"/>
              <w:bottom w:w="80" w:type="dxa"/>
              <w:end w:w="120" w:type="dxa"/>
            </w:tcMar>
          </w:tcPr>
          <w:p>
            <w:r>
              <w:rPr>
                <w:rFonts w:ascii="Arial" w:hAnsi="Arial"/>
                <w:b/>
                <w:i w:val="0"/>
                <w:color w:val="1F4E79"/>
                <w:sz w:val="24"/>
              </w:rPr>
              <w:t xml:space="preserve">Propósito. </w:t>
            </w:r>
            <w:r>
              <w:rPr>
                <w:rFonts w:ascii="Arial" w:hAnsi="Arial"/>
                <w:b w:val="0"/>
                <w:i w:val="0"/>
                <w:sz w:val="24"/>
              </w:rPr>
              <w:t>Este documento sirve para estudiar antes de una exposición: presenta la teoría desde cero y explica cómo leer cada resultado de la aplicación. No contiene código ni instrucciones técnicas de desarrollo.</w:t>
            </w:r>
          </w:p>
        </w:tc>
      </w:tr>
    </w:tbl>
    <w:p/>
    <w:p>
      <w:pPr>
        <w:pStyle w:val="Heading2"/>
      </w:pPr>
      <w:r>
        <w:rPr>
          <w:rFonts w:ascii="Arial" w:hAnsi="Arial"/>
          <w:b/>
          <w:i w:val="0"/>
          <w:color w:val="1F4E79"/>
          <w:sz w:val="28"/>
        </w:rPr>
        <w:t>Cómo usar esta guía</w:t>
      </w:r>
    </w:p>
    <w:p>
      <w:pPr>
        <w:pStyle w:val="ListNumber"/>
      </w:pPr>
      <w:r>
        <w:rPr>
          <w:rFonts w:ascii="Arial" w:hAnsi="Arial"/>
          <w:b w:val="0"/>
          <w:i w:val="0"/>
          <w:sz w:val="24"/>
        </w:rPr>
        <w:t>Leé primero las secciones 1 a 4 para entender qué representa el sistema y cómo se forman las colas.</w:t>
      </w:r>
    </w:p>
    <w:p>
      <w:pPr>
        <w:pStyle w:val="ListNumber"/>
      </w:pPr>
      <w:r>
        <w:rPr>
          <w:rFonts w:ascii="Arial" w:hAnsi="Arial"/>
          <w:b w:val="0"/>
          <w:i w:val="0"/>
          <w:sz w:val="24"/>
        </w:rPr>
        <w:t>Continuá con Monte Carlo e inventario: son las dos fuentes principales de variabilidad y decisión del modelo.</w:t>
      </w:r>
    </w:p>
    <w:p>
      <w:pPr>
        <w:pStyle w:val="ListNumber"/>
      </w:pPr>
      <w:r>
        <w:rPr>
          <w:rFonts w:ascii="Arial" w:hAnsi="Arial"/>
          <w:b w:val="0"/>
          <w:i w:val="0"/>
          <w:sz w:val="24"/>
        </w:rPr>
        <w:t>Terminá con las secciones de indicadores, escenarios y guion oral para relacionar la teoría con lo que muestra la aplicación.</w:t>
      </w:r>
    </w:p>
    <w:p>
      <w:r>
        <w:br w:type="page"/>
      </w:r>
    </w:p>
    <w:p>
      <w:pPr>
        <w:pStyle w:val="Heading1"/>
      </w:pPr>
      <w:r>
        <w:rPr>
          <w:rFonts w:ascii="Arial" w:hAnsi="Arial"/>
          <w:b/>
          <w:i w:val="0"/>
          <w:color w:val="1F4E79"/>
          <w:sz w:val="32"/>
        </w:rPr>
        <w:t>1. Idea general: qué problema estudia el simulador</w:t>
      </w:r>
    </w:p>
    <w:p>
      <w:r>
        <w:rPr>
          <w:rFonts w:ascii="Arial" w:hAnsi="Arial"/>
          <w:b w:val="0"/>
          <w:i w:val="0"/>
          <w:sz w:val="24"/>
        </w:rPr>
        <w:t>Una estación de servicio recibe autos a lo largo del día. Cada auto puede necesitar combustible y, en algunos casos, pasar por la caja del minimarket. Mientras tanto, el combustible es un recurso limitado: el nivel del tanque baja con las ventas y debe reponerse antes de que se produzca un faltante.</w:t>
      </w:r>
    </w:p>
    <w:p>
      <w:r>
        <w:rPr>
          <w:rFonts w:ascii="Arial" w:hAnsi="Arial"/>
          <w:b w:val="0"/>
          <w:i w:val="0"/>
          <w:sz w:val="24"/>
        </w:rPr>
        <w:t>El sistema es aleatorio. No llegan exactamente la misma cantidad de autos todos los días, no todos requieren el mismo tiempo de carga y el camión no tarda siempre lo mismo. Por eso no alcanza con una cuenta única: se representa la operación muchas veces y se estudian promedios, variabilidad y costos.</w:t>
      </w:r>
    </w:p>
    <w:tbl>
      <w:tblPr>
        <w:tblW w:type="dxa" w:w="9360"/>
        <w:jc w:val="left"/>
        <w:tblLayout w:type="fixed"/>
        <w:tblLook w:firstColumn="1" w:firstRow="1" w:lastColumn="0" w:lastRow="0" w:noHBand="0" w:noVBand="1" w:val="04A0"/>
        <w:tblInd w:type="dxa" w:w="0"/>
      </w:tblPr>
      <w:tblGrid>
        <w:gridCol w:w="9360"/>
      </w:tblGrid>
      <w:tr>
        <w:trPr/>
        <w:tc>
          <w:tcPr>
            <w:tcW w:type="dxa" w:w="9360"/>
            <w:shd w:fill="F3F7FA"/>
            <w:tcMar>
              <w:top w:w="80" w:type="dxa"/>
              <w:start w:w="120" w:type="dxa"/>
              <w:bottom w:w="80" w:type="dxa"/>
              <w:end w:w="120" w:type="dxa"/>
            </w:tcMar>
          </w:tcPr>
          <w:p>
            <w:r>
              <w:rPr>
                <w:rFonts w:ascii="Arial" w:hAnsi="Arial"/>
                <w:b/>
                <w:i w:val="0"/>
                <w:color w:val="1F4E79"/>
                <w:sz w:val="24"/>
              </w:rPr>
              <w:t xml:space="preserve">Idea central. </w:t>
            </w:r>
            <w:r>
              <w:rPr>
                <w:rFonts w:ascii="Arial" w:hAnsi="Arial"/>
                <w:b w:val="0"/>
                <w:i w:val="0"/>
                <w:sz w:val="24"/>
              </w:rPr>
              <w:t>La simulación no pretende adivinar un día particular. Sirve para comparar decisiones bajo condiciones equivalentes y estimar qué ocurriría en el largo plazo.</w:t>
            </w:r>
          </w:p>
        </w:tc>
      </w:tr>
    </w:tbl>
    <w:p/>
    <w:p>
      <w:pPr>
        <w:pStyle w:val="Heading2"/>
      </w:pPr>
      <w:r>
        <w:rPr>
          <w:rFonts w:ascii="Arial" w:hAnsi="Arial"/>
          <w:b/>
          <w:i w:val="0"/>
          <w:color w:val="1F4E79"/>
          <w:sz w:val="28"/>
        </w:rPr>
        <w:t>Decisiones que se comparan</w:t>
      </w:r>
    </w:p>
    <w:tbl>
      <w:tblPr>
        <w:tblStyle w:val="TableGrid"/>
        <w:tblW w:type="dxa" w:w="9360"/>
        <w:jc w:val="left"/>
        <w:tblLayout w:type="fixed"/>
        <w:tblLook w:firstColumn="1" w:firstRow="1" w:lastColumn="0" w:lastRow="0" w:noHBand="0" w:noVBand="1" w:val="04A0"/>
        <w:tblInd w:type="dxa" w:w="0"/>
      </w:tblPr>
      <w:tblGrid>
        <w:gridCol w:w="1849"/>
        <w:gridCol w:w="2889"/>
        <w:gridCol w:w="4622"/>
      </w:tblGrid>
      <w:tr>
        <w:trPr>
          <w:tblHeader w:val="true"/>
        </w:trPr>
        <w:tc>
          <w:tcPr>
            <w:tcW w:type="dxa" w:w="1849"/>
            <w:shd w:fill="EAF2F8"/>
            <w:tcMar>
              <w:top w:w="80" w:type="dxa"/>
              <w:start w:w="120" w:type="dxa"/>
              <w:bottom w:w="80" w:type="dxa"/>
              <w:end w:w="120" w:type="dxa"/>
            </w:tcMar>
            <w:vAlign w:val="center"/>
          </w:tcPr>
          <w:p>
            <w:r/>
            <w:r>
              <w:rPr>
                <w:rFonts w:ascii="Arial" w:hAnsi="Arial"/>
                <w:b/>
                <w:i w:val="0"/>
                <w:color w:val="1F4E79"/>
                <w:sz w:val="20"/>
              </w:rPr>
              <w:t>Decisión</w:t>
            </w:r>
          </w:p>
        </w:tc>
        <w:tc>
          <w:tcPr>
            <w:tcW w:type="dxa" w:w="2889"/>
            <w:shd w:fill="EAF2F8"/>
            <w:tcMar>
              <w:top w:w="80" w:type="dxa"/>
              <w:start w:w="120" w:type="dxa"/>
              <w:bottom w:w="80" w:type="dxa"/>
              <w:end w:w="120" w:type="dxa"/>
            </w:tcMar>
            <w:vAlign w:val="center"/>
          </w:tcPr>
          <w:p>
            <w:r/>
            <w:r>
              <w:rPr>
                <w:rFonts w:ascii="Arial" w:hAnsi="Arial"/>
                <w:b/>
                <w:i w:val="0"/>
                <w:color w:val="1F4E79"/>
                <w:sz w:val="20"/>
              </w:rPr>
              <w:t>Pregunta</w:t>
            </w:r>
          </w:p>
        </w:tc>
        <w:tc>
          <w:tcPr>
            <w:tcW w:type="dxa" w:w="4622"/>
            <w:shd w:fill="EAF2F8"/>
            <w:tcMar>
              <w:top w:w="80" w:type="dxa"/>
              <w:start w:w="120" w:type="dxa"/>
              <w:bottom w:w="80" w:type="dxa"/>
              <w:end w:w="120" w:type="dxa"/>
            </w:tcMar>
            <w:vAlign w:val="center"/>
          </w:tcPr>
          <w:p>
            <w:r/>
            <w:r>
              <w:rPr>
                <w:rFonts w:ascii="Arial" w:hAnsi="Arial"/>
                <w:b/>
                <w:i w:val="0"/>
                <w:color w:val="1F4E79"/>
                <w:sz w:val="20"/>
              </w:rPr>
              <w:t>Efecto que se busca medir</w:t>
            </w:r>
          </w:p>
        </w:tc>
      </w:tr>
      <w:tr>
        <w:trPr/>
        <w:tc>
          <w:tcPr>
            <w:tcW w:type="dxa" w:w="1849"/>
            <w:tcMar>
              <w:top w:w="80" w:type="dxa"/>
              <w:start w:w="120" w:type="dxa"/>
              <w:bottom w:w="80" w:type="dxa"/>
              <w:end w:w="120" w:type="dxa"/>
            </w:tcMar>
            <w:vAlign w:val="center"/>
          </w:tcPr>
          <w:p>
            <w:r/>
            <w:r>
              <w:rPr>
                <w:rFonts w:ascii="Arial" w:hAnsi="Arial"/>
                <w:b w:val="0"/>
                <w:i w:val="0"/>
                <w:sz w:val="20"/>
              </w:rPr>
              <w:t>Capacidad</w:t>
            </w:r>
          </w:p>
        </w:tc>
        <w:tc>
          <w:tcPr>
            <w:tcW w:type="dxa" w:w="2889"/>
            <w:tcMar>
              <w:top w:w="80" w:type="dxa"/>
              <w:start w:w="120" w:type="dxa"/>
              <w:bottom w:w="80" w:type="dxa"/>
              <w:end w:w="120" w:type="dxa"/>
            </w:tcMar>
            <w:vAlign w:val="center"/>
          </w:tcPr>
          <w:p>
            <w:r/>
            <w:r>
              <w:rPr>
                <w:rFonts w:ascii="Arial" w:hAnsi="Arial"/>
                <w:b w:val="0"/>
                <w:i w:val="0"/>
                <w:sz w:val="20"/>
              </w:rPr>
              <w:t>¿Agregar un surtidor o un cajero?</w:t>
            </w:r>
          </w:p>
        </w:tc>
        <w:tc>
          <w:tcPr>
            <w:tcW w:type="dxa" w:w="4622"/>
            <w:tcMar>
              <w:top w:w="80" w:type="dxa"/>
              <w:start w:w="120" w:type="dxa"/>
              <w:bottom w:w="80" w:type="dxa"/>
              <w:end w:w="120" w:type="dxa"/>
            </w:tcMar>
            <w:vAlign w:val="center"/>
          </w:tcPr>
          <w:p>
            <w:r/>
            <w:r>
              <w:rPr>
                <w:rFonts w:ascii="Arial" w:hAnsi="Arial"/>
                <w:b w:val="0"/>
                <w:i w:val="0"/>
                <w:sz w:val="20"/>
              </w:rPr>
              <w:t>Menos espera, menor abandono y mayor costo de inversión.</w:t>
            </w:r>
          </w:p>
        </w:tc>
      </w:tr>
      <w:tr>
        <w:trPr/>
        <w:tc>
          <w:tcPr>
            <w:tcW w:type="dxa" w:w="1849"/>
            <w:tcMar>
              <w:top w:w="80" w:type="dxa"/>
              <w:start w:w="120" w:type="dxa"/>
              <w:bottom w:w="80" w:type="dxa"/>
              <w:end w:w="120" w:type="dxa"/>
            </w:tcMar>
            <w:vAlign w:val="center"/>
          </w:tcPr>
          <w:p>
            <w:r/>
            <w:r>
              <w:rPr>
                <w:rFonts w:ascii="Arial" w:hAnsi="Arial"/>
                <w:b w:val="0"/>
                <w:i w:val="0"/>
                <w:sz w:val="20"/>
              </w:rPr>
              <w:t>Inventario</w:t>
            </w:r>
          </w:p>
        </w:tc>
        <w:tc>
          <w:tcPr>
            <w:tcW w:type="dxa" w:w="2889"/>
            <w:tcMar>
              <w:top w:w="80" w:type="dxa"/>
              <w:start w:w="120" w:type="dxa"/>
              <w:bottom w:w="80" w:type="dxa"/>
              <w:end w:w="120" w:type="dxa"/>
            </w:tcMar>
            <w:vAlign w:val="center"/>
          </w:tcPr>
          <w:p>
            <w:r/>
            <w:r>
              <w:rPr>
                <w:rFonts w:ascii="Arial" w:hAnsi="Arial"/>
                <w:b w:val="0"/>
                <w:i w:val="0"/>
                <w:sz w:val="20"/>
              </w:rPr>
              <w:t>¿Cuándo y cuánto pedir combustible?</w:t>
            </w:r>
          </w:p>
        </w:tc>
        <w:tc>
          <w:tcPr>
            <w:tcW w:type="dxa" w:w="4622"/>
            <w:tcMar>
              <w:top w:w="80" w:type="dxa"/>
              <w:start w:w="120" w:type="dxa"/>
              <w:bottom w:w="80" w:type="dxa"/>
              <w:end w:w="120" w:type="dxa"/>
            </w:tcMar>
            <w:vAlign w:val="center"/>
          </w:tcPr>
          <w:p>
            <w:r/>
            <w:r>
              <w:rPr>
                <w:rFonts w:ascii="Arial" w:hAnsi="Arial"/>
                <w:b w:val="0"/>
                <w:i w:val="0"/>
                <w:sz w:val="20"/>
              </w:rPr>
              <w:t>Equilibrio entre flete, almacenamiento y faltantes.</w:t>
            </w:r>
          </w:p>
        </w:tc>
      </w:tr>
    </w:tbl>
    <w:p/>
    <w:p>
      <w:pPr>
        <w:pStyle w:val="Heading1"/>
      </w:pPr>
      <w:r>
        <w:rPr>
          <w:rFonts w:ascii="Arial" w:hAnsi="Arial"/>
          <w:b/>
          <w:i w:val="0"/>
          <w:color w:val="1F4E79"/>
          <w:sz w:val="32"/>
        </w:rPr>
        <w:t>2. Simulación de eventos discretos</w:t>
      </w:r>
    </w:p>
    <w:p>
      <w:r>
        <w:rPr>
          <w:rFonts w:ascii="Arial" w:hAnsi="Arial"/>
          <w:b w:val="0"/>
          <w:i w:val="0"/>
          <w:sz w:val="24"/>
        </w:rPr>
        <w:t>Una simulación de eventos discretos representa un sistema cuyo estado cambia en momentos identificables: llega un auto, empieza una carga, termina el servicio, un cliente abandona, se emite un pedido o llega el camión. Entre dos eventos no es necesario recalcular todo; el reloj salta al próximo cambio relevante.</w:t>
      </w:r>
    </w:p>
    <w:p>
      <w:pPr>
        <w:pStyle w:val="Heading2"/>
      </w:pPr>
      <w:r>
        <w:rPr>
          <w:rFonts w:ascii="Arial" w:hAnsi="Arial"/>
          <w:b/>
          <w:i w:val="0"/>
          <w:color w:val="1F4E79"/>
          <w:sz w:val="28"/>
        </w:rPr>
        <w:t>Conceptos básicos</w:t>
      </w:r>
    </w:p>
    <w:tbl>
      <w:tblPr>
        <w:tblStyle w:val="TableGrid"/>
        <w:tblW w:type="dxa" w:w="9360"/>
        <w:jc w:val="left"/>
        <w:tblLayout w:type="fixed"/>
        <w:tblLook w:firstColumn="1" w:firstRow="1" w:lastColumn="0" w:lastRow="0" w:noHBand="0" w:noVBand="1" w:val="04A0"/>
        <w:tblInd w:type="dxa" w:w="0"/>
      </w:tblPr>
      <w:tblGrid>
        <w:gridCol w:w="2311"/>
        <w:gridCol w:w="7049"/>
      </w:tblGrid>
      <w:tr>
        <w:trPr>
          <w:tblHeader w:val="true"/>
        </w:trPr>
        <w:tc>
          <w:tcPr>
            <w:tcW w:type="dxa" w:w="2311"/>
            <w:shd w:fill="EAF2F8"/>
            <w:tcMar>
              <w:top w:w="80" w:type="dxa"/>
              <w:start w:w="120" w:type="dxa"/>
              <w:bottom w:w="80" w:type="dxa"/>
              <w:end w:w="120" w:type="dxa"/>
            </w:tcMar>
            <w:vAlign w:val="center"/>
          </w:tcPr>
          <w:p>
            <w:r/>
            <w:r>
              <w:rPr>
                <w:rFonts w:ascii="Arial" w:hAnsi="Arial"/>
                <w:b/>
                <w:i w:val="0"/>
                <w:color w:val="1F4E79"/>
                <w:sz w:val="20"/>
              </w:rPr>
              <w:t>Concepto</w:t>
            </w:r>
          </w:p>
        </w:tc>
        <w:tc>
          <w:tcPr>
            <w:tcW w:type="dxa" w:w="7049"/>
            <w:shd w:fill="EAF2F8"/>
            <w:tcMar>
              <w:top w:w="80" w:type="dxa"/>
              <w:start w:w="120" w:type="dxa"/>
              <w:bottom w:w="80" w:type="dxa"/>
              <w:end w:w="120" w:type="dxa"/>
            </w:tcMar>
            <w:vAlign w:val="center"/>
          </w:tcPr>
          <w:p>
            <w:r/>
            <w:r>
              <w:rPr>
                <w:rFonts w:ascii="Arial" w:hAnsi="Arial"/>
                <w:b/>
                <w:i w:val="0"/>
                <w:color w:val="1F4E79"/>
                <w:sz w:val="20"/>
              </w:rPr>
              <w:t>Significado en este caso</w:t>
            </w:r>
          </w:p>
        </w:tc>
      </w:tr>
      <w:tr>
        <w:trPr/>
        <w:tc>
          <w:tcPr>
            <w:tcW w:type="dxa" w:w="2311"/>
            <w:tcMar>
              <w:top w:w="80" w:type="dxa"/>
              <w:start w:w="120" w:type="dxa"/>
              <w:bottom w:w="80" w:type="dxa"/>
              <w:end w:w="120" w:type="dxa"/>
            </w:tcMar>
            <w:vAlign w:val="center"/>
          </w:tcPr>
          <w:p>
            <w:r/>
            <w:r>
              <w:rPr>
                <w:rFonts w:ascii="Arial" w:hAnsi="Arial"/>
                <w:b w:val="0"/>
                <w:i w:val="0"/>
                <w:sz w:val="20"/>
              </w:rPr>
              <w:t>Entidad</w:t>
            </w:r>
          </w:p>
        </w:tc>
        <w:tc>
          <w:tcPr>
            <w:tcW w:type="dxa" w:w="7049"/>
            <w:tcMar>
              <w:top w:w="80" w:type="dxa"/>
              <w:start w:w="120" w:type="dxa"/>
              <w:bottom w:w="80" w:type="dxa"/>
              <w:end w:w="120" w:type="dxa"/>
            </w:tcMar>
            <w:vAlign w:val="center"/>
          </w:tcPr>
          <w:p>
            <w:r/>
            <w:r>
              <w:rPr>
                <w:rFonts w:ascii="Arial" w:hAnsi="Arial"/>
                <w:b w:val="0"/>
                <w:i w:val="0"/>
                <w:sz w:val="20"/>
              </w:rPr>
              <w:t>El auto o cliente que circula por el sistema.</w:t>
            </w:r>
          </w:p>
        </w:tc>
      </w:tr>
      <w:tr>
        <w:trPr/>
        <w:tc>
          <w:tcPr>
            <w:tcW w:type="dxa" w:w="2311"/>
            <w:tcMar>
              <w:top w:w="80" w:type="dxa"/>
              <w:start w:w="120" w:type="dxa"/>
              <w:bottom w:w="80" w:type="dxa"/>
              <w:end w:w="120" w:type="dxa"/>
            </w:tcMar>
            <w:vAlign w:val="center"/>
          </w:tcPr>
          <w:p>
            <w:r/>
            <w:r>
              <w:rPr>
                <w:rFonts w:ascii="Arial" w:hAnsi="Arial"/>
                <w:b w:val="0"/>
                <w:i w:val="0"/>
                <w:sz w:val="20"/>
              </w:rPr>
              <w:t>Atributo</w:t>
            </w:r>
          </w:p>
        </w:tc>
        <w:tc>
          <w:tcPr>
            <w:tcW w:type="dxa" w:w="7049"/>
            <w:tcMar>
              <w:top w:w="80" w:type="dxa"/>
              <w:start w:w="120" w:type="dxa"/>
              <w:bottom w:w="80" w:type="dxa"/>
              <w:end w:w="120" w:type="dxa"/>
            </w:tcMar>
            <w:vAlign w:val="center"/>
          </w:tcPr>
          <w:p>
            <w:r/>
            <w:r>
              <w:rPr>
                <w:rFonts w:ascii="Arial" w:hAnsi="Arial"/>
                <w:b w:val="0"/>
                <w:i w:val="0"/>
                <w:sz w:val="20"/>
              </w:rPr>
              <w:t>Información propia de la entidad: litros solicitados o si visita el minimarket.</w:t>
            </w:r>
          </w:p>
        </w:tc>
      </w:tr>
      <w:tr>
        <w:trPr/>
        <w:tc>
          <w:tcPr>
            <w:tcW w:type="dxa" w:w="2311"/>
            <w:tcMar>
              <w:top w:w="80" w:type="dxa"/>
              <w:start w:w="120" w:type="dxa"/>
              <w:bottom w:w="80" w:type="dxa"/>
              <w:end w:w="120" w:type="dxa"/>
            </w:tcMar>
            <w:vAlign w:val="center"/>
          </w:tcPr>
          <w:p>
            <w:r/>
            <w:r>
              <w:rPr>
                <w:rFonts w:ascii="Arial" w:hAnsi="Arial"/>
                <w:b w:val="0"/>
                <w:i w:val="0"/>
                <w:sz w:val="20"/>
              </w:rPr>
              <w:t>Recurso</w:t>
            </w:r>
          </w:p>
        </w:tc>
        <w:tc>
          <w:tcPr>
            <w:tcW w:type="dxa" w:w="7049"/>
            <w:tcMar>
              <w:top w:w="80" w:type="dxa"/>
              <w:start w:w="120" w:type="dxa"/>
              <w:bottom w:w="80" w:type="dxa"/>
              <w:end w:w="120" w:type="dxa"/>
            </w:tcMar>
            <w:vAlign w:val="center"/>
          </w:tcPr>
          <w:p>
            <w:r/>
            <w:r>
              <w:rPr>
                <w:rFonts w:ascii="Arial" w:hAnsi="Arial"/>
                <w:b w:val="0"/>
                <w:i w:val="0"/>
                <w:sz w:val="20"/>
              </w:rPr>
              <w:t>Capacidad limitada que se usa para atender: surtidores, caja y combustible disponible.</w:t>
            </w:r>
          </w:p>
        </w:tc>
      </w:tr>
      <w:tr>
        <w:trPr/>
        <w:tc>
          <w:tcPr>
            <w:tcW w:type="dxa" w:w="2311"/>
            <w:tcMar>
              <w:top w:w="80" w:type="dxa"/>
              <w:start w:w="120" w:type="dxa"/>
              <w:bottom w:w="80" w:type="dxa"/>
              <w:end w:w="120" w:type="dxa"/>
            </w:tcMar>
            <w:vAlign w:val="center"/>
          </w:tcPr>
          <w:p>
            <w:r/>
            <w:r>
              <w:rPr>
                <w:rFonts w:ascii="Arial" w:hAnsi="Arial"/>
                <w:b w:val="0"/>
                <w:i w:val="0"/>
                <w:sz w:val="20"/>
              </w:rPr>
              <w:t>Evento</w:t>
            </w:r>
          </w:p>
        </w:tc>
        <w:tc>
          <w:tcPr>
            <w:tcW w:type="dxa" w:w="7049"/>
            <w:tcMar>
              <w:top w:w="80" w:type="dxa"/>
              <w:start w:w="120" w:type="dxa"/>
              <w:bottom w:w="80" w:type="dxa"/>
              <w:end w:w="120" w:type="dxa"/>
            </w:tcMar>
            <w:vAlign w:val="center"/>
          </w:tcPr>
          <w:p>
            <w:r/>
            <w:r>
              <w:rPr>
                <w:rFonts w:ascii="Arial" w:hAnsi="Arial"/>
                <w:b w:val="0"/>
                <w:i w:val="0"/>
                <w:sz w:val="20"/>
              </w:rPr>
              <w:t>Cambio instantáneo: llegada, inicio o fin de servicio, abandono, pedido o entrega.</w:t>
            </w:r>
          </w:p>
        </w:tc>
      </w:tr>
      <w:tr>
        <w:trPr/>
        <w:tc>
          <w:tcPr>
            <w:tcW w:type="dxa" w:w="2311"/>
            <w:tcMar>
              <w:top w:w="80" w:type="dxa"/>
              <w:start w:w="120" w:type="dxa"/>
              <w:bottom w:w="80" w:type="dxa"/>
              <w:end w:w="120" w:type="dxa"/>
            </w:tcMar>
            <w:vAlign w:val="center"/>
          </w:tcPr>
          <w:p>
            <w:r/>
            <w:r>
              <w:rPr>
                <w:rFonts w:ascii="Arial" w:hAnsi="Arial"/>
                <w:b w:val="0"/>
                <w:i w:val="0"/>
                <w:sz w:val="20"/>
              </w:rPr>
              <w:t>Réplica</w:t>
            </w:r>
          </w:p>
        </w:tc>
        <w:tc>
          <w:tcPr>
            <w:tcW w:type="dxa" w:w="7049"/>
            <w:tcMar>
              <w:top w:w="80" w:type="dxa"/>
              <w:start w:w="120" w:type="dxa"/>
              <w:bottom w:w="80" w:type="dxa"/>
              <w:end w:w="120" w:type="dxa"/>
            </w:tcMar>
            <w:vAlign w:val="center"/>
          </w:tcPr>
          <w:p>
            <w:r/>
            <w:r>
              <w:rPr>
                <w:rFonts w:ascii="Arial" w:hAnsi="Arial"/>
                <w:b w:val="0"/>
                <w:i w:val="0"/>
                <w:sz w:val="20"/>
              </w:rPr>
              <w:t>Una corrida completa del experimento. En este modelo representa un mes de 30 días.</w:t>
            </w:r>
          </w:p>
        </w:tc>
      </w:tr>
    </w:tbl>
    <w:p/>
    <w:p>
      <w:r>
        <w:rPr>
          <w:rFonts w:ascii="Arial" w:hAnsi="Arial"/>
          <w:b w:val="0"/>
          <w:i w:val="0"/>
          <w:sz w:val="24"/>
        </w:rPr>
        <w:t>La animación muestra una trayectoria posible. Los indicadores, en cambio, resumen muchas trayectorias o réplicas. Esta diferencia es importante: la animación ayuda a comprender el mecanismo, pero una decisión debe basarse en resultados agregados.</w:t>
      </w:r>
    </w:p>
    <w:p>
      <w:pPr>
        <w:pStyle w:val="Heading1"/>
      </w:pPr>
      <w:r>
        <w:rPr>
          <w:rFonts w:ascii="Arial" w:hAnsi="Arial"/>
          <w:b/>
          <w:i w:val="0"/>
          <w:color w:val="1F4E79"/>
          <w:sz w:val="32"/>
        </w:rPr>
        <w:t>3. Teoría de colas</w:t>
      </w:r>
    </w:p>
    <w:p>
      <w:r>
        <w:rPr>
          <w:rFonts w:ascii="Arial" w:hAnsi="Arial"/>
          <w:b w:val="0"/>
          <w:i w:val="0"/>
          <w:sz w:val="24"/>
        </w:rPr>
        <w:t>Un sistema de colas aparece cuando las llegadas demandan un servicio y la capacidad disponible no siempre alcanza para atenderlas de inmediato. El cliente puede recibir servicio en el acto, esperar, abandonar o no ingresar si falta combustible.</w:t>
      </w:r>
    </w:p>
    <w:p>
      <w:pPr>
        <w:pStyle w:val="Heading2"/>
      </w:pPr>
      <w:r>
        <w:rPr>
          <w:rFonts w:ascii="Arial" w:hAnsi="Arial"/>
          <w:b/>
          <w:i w:val="0"/>
          <w:color w:val="1F4E79"/>
          <w:sz w:val="28"/>
        </w:rPr>
        <w:t>Componentes de un sistema de colas</w:t>
      </w:r>
    </w:p>
    <w:tbl>
      <w:tblPr>
        <w:tblStyle w:val="TableGrid"/>
        <w:tblW w:type="dxa" w:w="9360"/>
        <w:jc w:val="left"/>
        <w:tblLayout w:type="fixed"/>
        <w:tblLook w:firstColumn="1" w:firstRow="1" w:lastColumn="0" w:lastRow="0" w:noHBand="0" w:noVBand="1" w:val="04A0"/>
        <w:tblInd w:type="dxa" w:w="0"/>
      </w:tblPr>
      <w:tblGrid>
        <w:gridCol w:w="2311"/>
        <w:gridCol w:w="7049"/>
      </w:tblGrid>
      <w:tr>
        <w:trPr>
          <w:tblHeader w:val="true"/>
        </w:trPr>
        <w:tc>
          <w:tcPr>
            <w:tcW w:type="dxa" w:w="2311"/>
            <w:shd w:fill="EAF2F8"/>
            <w:tcMar>
              <w:top w:w="80" w:type="dxa"/>
              <w:start w:w="120" w:type="dxa"/>
              <w:bottom w:w="80" w:type="dxa"/>
              <w:end w:w="120" w:type="dxa"/>
            </w:tcMar>
            <w:vAlign w:val="center"/>
          </w:tcPr>
          <w:p>
            <w:r/>
            <w:r>
              <w:rPr>
                <w:rFonts w:ascii="Arial" w:hAnsi="Arial"/>
                <w:b/>
                <w:i w:val="0"/>
                <w:color w:val="1F4E79"/>
                <w:sz w:val="20"/>
              </w:rPr>
              <w:t>Componente</w:t>
            </w:r>
          </w:p>
        </w:tc>
        <w:tc>
          <w:tcPr>
            <w:tcW w:type="dxa" w:w="7049"/>
            <w:shd w:fill="EAF2F8"/>
            <w:tcMar>
              <w:top w:w="80" w:type="dxa"/>
              <w:start w:w="120" w:type="dxa"/>
              <w:bottom w:w="80" w:type="dxa"/>
              <w:end w:w="120" w:type="dxa"/>
            </w:tcMar>
            <w:vAlign w:val="center"/>
          </w:tcPr>
          <w:p>
            <w:r/>
            <w:r>
              <w:rPr>
                <w:rFonts w:ascii="Arial" w:hAnsi="Arial"/>
                <w:b/>
                <w:i w:val="0"/>
                <w:color w:val="1F4E79"/>
                <w:sz w:val="20"/>
              </w:rPr>
              <w:t>Interpretación</w:t>
            </w:r>
          </w:p>
        </w:tc>
      </w:tr>
      <w:tr>
        <w:trPr/>
        <w:tc>
          <w:tcPr>
            <w:tcW w:type="dxa" w:w="2311"/>
            <w:tcMar>
              <w:top w:w="80" w:type="dxa"/>
              <w:start w:w="120" w:type="dxa"/>
              <w:bottom w:w="80" w:type="dxa"/>
              <w:end w:w="120" w:type="dxa"/>
            </w:tcMar>
            <w:vAlign w:val="center"/>
          </w:tcPr>
          <w:p>
            <w:r/>
            <w:r>
              <w:rPr>
                <w:rFonts w:ascii="Arial" w:hAnsi="Arial"/>
                <w:b w:val="0"/>
                <w:i w:val="0"/>
                <w:sz w:val="20"/>
              </w:rPr>
              <w:t>Población</w:t>
            </w:r>
          </w:p>
        </w:tc>
        <w:tc>
          <w:tcPr>
            <w:tcW w:type="dxa" w:w="7049"/>
            <w:tcMar>
              <w:top w:w="80" w:type="dxa"/>
              <w:start w:w="120" w:type="dxa"/>
              <w:bottom w:w="80" w:type="dxa"/>
              <w:end w:w="120" w:type="dxa"/>
            </w:tcMar>
            <w:vAlign w:val="center"/>
          </w:tcPr>
          <w:p>
            <w:r/>
            <w:r>
              <w:rPr>
                <w:rFonts w:ascii="Arial" w:hAnsi="Arial"/>
                <w:b w:val="0"/>
                <w:i w:val="0"/>
                <w:sz w:val="20"/>
              </w:rPr>
              <w:t>Conjunto de posibles clientes. En el modelo se considera suficientemente grande para tratar las llegadas como externas al sistema.</w:t>
            </w:r>
          </w:p>
        </w:tc>
      </w:tr>
      <w:tr>
        <w:trPr/>
        <w:tc>
          <w:tcPr>
            <w:tcW w:type="dxa" w:w="2311"/>
            <w:tcMar>
              <w:top w:w="80" w:type="dxa"/>
              <w:start w:w="120" w:type="dxa"/>
              <w:bottom w:w="80" w:type="dxa"/>
              <w:end w:w="120" w:type="dxa"/>
            </w:tcMar>
            <w:vAlign w:val="center"/>
          </w:tcPr>
          <w:p>
            <w:r/>
            <w:r>
              <w:rPr>
                <w:rFonts w:ascii="Arial" w:hAnsi="Arial"/>
                <w:b w:val="0"/>
                <w:i w:val="0"/>
                <w:sz w:val="20"/>
              </w:rPr>
              <w:t>Proceso de llegada</w:t>
            </w:r>
          </w:p>
        </w:tc>
        <w:tc>
          <w:tcPr>
            <w:tcW w:type="dxa" w:w="7049"/>
            <w:tcMar>
              <w:top w:w="80" w:type="dxa"/>
              <w:start w:w="120" w:type="dxa"/>
              <w:bottom w:w="80" w:type="dxa"/>
              <w:end w:w="120" w:type="dxa"/>
            </w:tcMar>
            <w:vAlign w:val="center"/>
          </w:tcPr>
          <w:p>
            <w:r/>
            <w:r>
              <w:rPr>
                <w:rFonts w:ascii="Arial" w:hAnsi="Arial"/>
                <w:b w:val="0"/>
                <w:i w:val="0"/>
                <w:sz w:val="20"/>
              </w:rPr>
              <w:t>Forma y ritmo con que los autos arriban. Se expresa mediante la tasa λ.</w:t>
            </w:r>
          </w:p>
        </w:tc>
      </w:tr>
      <w:tr>
        <w:trPr/>
        <w:tc>
          <w:tcPr>
            <w:tcW w:type="dxa" w:w="2311"/>
            <w:tcMar>
              <w:top w:w="80" w:type="dxa"/>
              <w:start w:w="120" w:type="dxa"/>
              <w:bottom w:w="80" w:type="dxa"/>
              <w:end w:w="120" w:type="dxa"/>
            </w:tcMar>
            <w:vAlign w:val="center"/>
          </w:tcPr>
          <w:p>
            <w:r/>
            <w:r>
              <w:rPr>
                <w:rFonts w:ascii="Arial" w:hAnsi="Arial"/>
                <w:b w:val="0"/>
                <w:i w:val="0"/>
                <w:sz w:val="20"/>
              </w:rPr>
              <w:t>Cola</w:t>
            </w:r>
          </w:p>
        </w:tc>
        <w:tc>
          <w:tcPr>
            <w:tcW w:type="dxa" w:w="7049"/>
            <w:tcMar>
              <w:top w:w="80" w:type="dxa"/>
              <w:start w:w="120" w:type="dxa"/>
              <w:bottom w:w="80" w:type="dxa"/>
              <w:end w:w="120" w:type="dxa"/>
            </w:tcMar>
            <w:vAlign w:val="center"/>
          </w:tcPr>
          <w:p>
            <w:r/>
            <w:r>
              <w:rPr>
                <w:rFonts w:ascii="Arial" w:hAnsi="Arial"/>
                <w:b w:val="0"/>
                <w:i w:val="0"/>
                <w:sz w:val="20"/>
              </w:rPr>
              <w:t>Lugar donde esperan los autos que no encuentran un surtidor libre.</w:t>
            </w:r>
          </w:p>
        </w:tc>
      </w:tr>
      <w:tr>
        <w:trPr/>
        <w:tc>
          <w:tcPr>
            <w:tcW w:type="dxa" w:w="2311"/>
            <w:tcMar>
              <w:top w:w="80" w:type="dxa"/>
              <w:start w:w="120" w:type="dxa"/>
              <w:bottom w:w="80" w:type="dxa"/>
              <w:end w:w="120" w:type="dxa"/>
            </w:tcMar>
            <w:vAlign w:val="center"/>
          </w:tcPr>
          <w:p>
            <w:r/>
            <w:r>
              <w:rPr>
                <w:rFonts w:ascii="Arial" w:hAnsi="Arial"/>
                <w:b w:val="0"/>
                <w:i w:val="0"/>
                <w:sz w:val="20"/>
              </w:rPr>
              <w:t>Disciplina</w:t>
            </w:r>
          </w:p>
        </w:tc>
        <w:tc>
          <w:tcPr>
            <w:tcW w:type="dxa" w:w="7049"/>
            <w:tcMar>
              <w:top w:w="80" w:type="dxa"/>
              <w:start w:w="120" w:type="dxa"/>
              <w:bottom w:w="80" w:type="dxa"/>
              <w:end w:w="120" w:type="dxa"/>
            </w:tcMar>
            <w:vAlign w:val="center"/>
          </w:tcPr>
          <w:p>
            <w:r/>
            <w:r>
              <w:rPr>
                <w:rFonts w:ascii="Arial" w:hAnsi="Arial"/>
                <w:b w:val="0"/>
                <w:i w:val="0"/>
                <w:sz w:val="20"/>
              </w:rPr>
              <w:t>Regla de atención. La más habitual es PEPS/FIFO: primero en entrar, primero en salir.</w:t>
            </w:r>
          </w:p>
        </w:tc>
      </w:tr>
      <w:tr>
        <w:trPr/>
        <w:tc>
          <w:tcPr>
            <w:tcW w:type="dxa" w:w="2311"/>
            <w:tcMar>
              <w:top w:w="80" w:type="dxa"/>
              <w:start w:w="120" w:type="dxa"/>
              <w:bottom w:w="80" w:type="dxa"/>
              <w:end w:w="120" w:type="dxa"/>
            </w:tcMar>
            <w:vAlign w:val="center"/>
          </w:tcPr>
          <w:p>
            <w:r/>
            <w:r>
              <w:rPr>
                <w:rFonts w:ascii="Arial" w:hAnsi="Arial"/>
                <w:b w:val="0"/>
                <w:i w:val="0"/>
                <w:sz w:val="20"/>
              </w:rPr>
              <w:t>Canales y fases</w:t>
            </w:r>
          </w:p>
        </w:tc>
        <w:tc>
          <w:tcPr>
            <w:tcW w:type="dxa" w:w="7049"/>
            <w:tcMar>
              <w:top w:w="80" w:type="dxa"/>
              <w:start w:w="120" w:type="dxa"/>
              <w:bottom w:w="80" w:type="dxa"/>
              <w:end w:w="120" w:type="dxa"/>
            </w:tcMar>
            <w:vAlign w:val="center"/>
          </w:tcPr>
          <w:p>
            <w:r/>
            <w:r>
              <w:rPr>
                <w:rFonts w:ascii="Arial" w:hAnsi="Arial"/>
                <w:b w:val="0"/>
                <w:i w:val="0"/>
                <w:sz w:val="20"/>
              </w:rPr>
              <w:t>Canales son servidores paralelos; fases son etapas sucesivas. Aquí hay surtidores paralelos y una segunda etapa opcional de caja.</w:t>
            </w:r>
          </w:p>
        </w:tc>
      </w:tr>
      <w:tr>
        <w:trPr/>
        <w:tc>
          <w:tcPr>
            <w:tcW w:type="dxa" w:w="2311"/>
            <w:tcMar>
              <w:top w:w="80" w:type="dxa"/>
              <w:start w:w="120" w:type="dxa"/>
              <w:bottom w:w="80" w:type="dxa"/>
              <w:end w:w="120" w:type="dxa"/>
            </w:tcMar>
            <w:vAlign w:val="center"/>
          </w:tcPr>
          <w:p>
            <w:r/>
            <w:r>
              <w:rPr>
                <w:rFonts w:ascii="Arial" w:hAnsi="Arial"/>
                <w:b w:val="0"/>
                <w:i w:val="0"/>
                <w:sz w:val="20"/>
              </w:rPr>
              <w:t>Proceso de servicio</w:t>
            </w:r>
          </w:p>
        </w:tc>
        <w:tc>
          <w:tcPr>
            <w:tcW w:type="dxa" w:w="7049"/>
            <w:tcMar>
              <w:top w:w="80" w:type="dxa"/>
              <w:start w:w="120" w:type="dxa"/>
              <w:bottom w:w="80" w:type="dxa"/>
              <w:end w:w="120" w:type="dxa"/>
            </w:tcMar>
            <w:vAlign w:val="center"/>
          </w:tcPr>
          <w:p>
            <w:r/>
            <w:r>
              <w:rPr>
                <w:rFonts w:ascii="Arial" w:hAnsi="Arial"/>
                <w:b w:val="0"/>
                <w:i w:val="0"/>
                <w:sz w:val="20"/>
              </w:rPr>
              <w:t>Tiempo y forma en que se realiza la carga o el pago.</w:t>
            </w:r>
          </w:p>
        </w:tc>
      </w:tr>
    </w:tbl>
    <w:p/>
    <w:p>
      <w:pPr>
        <w:pStyle w:val="Heading2"/>
      </w:pPr>
      <w:r>
        <w:rPr>
          <w:rFonts w:ascii="Arial" w:hAnsi="Arial"/>
          <w:b/>
          <w:i w:val="0"/>
          <w:color w:val="1F4E79"/>
          <w:sz w:val="28"/>
        </w:rPr>
        <w:t>La red de colas del simulador</w:t>
      </w:r>
    </w:p>
    <w:p>
      <w:r>
        <w:rPr>
          <w:rFonts w:ascii="Arial" w:hAnsi="Arial"/>
          <w:b w:val="0"/>
          <w:i w:val="0"/>
          <w:sz w:val="24"/>
        </w:rPr>
        <w:t>La estación no es una cola aislada: es una red. El auto llega, intenta cargar combustible y, si completa esa etapa, una proporción de los clientes pasa al minimarket. Por eso la caja es una fase posterior y no bloquea un surtidor. Si el tanque está vacío, el auto queda fuera antes de generar cola de carga.</w:t>
      </w:r>
    </w:p>
    <w:p>
      <w:pPr>
        <w:pStyle w:val="Heading2"/>
      </w:pPr>
      <w:r>
        <w:rPr>
          <w:rFonts w:ascii="Arial" w:hAnsi="Arial"/>
          <w:b/>
          <w:i w:val="0"/>
          <w:color w:val="1F4E79"/>
          <w:sz w:val="28"/>
        </w:rPr>
        <w:t>Llegadas: tasa, Poisson y exponencial</w:t>
      </w:r>
    </w:p>
    <w:p>
      <w:r>
        <w:rPr>
          <w:rFonts w:ascii="Arial" w:hAnsi="Arial"/>
          <w:b w:val="0"/>
          <w:i w:val="0"/>
          <w:sz w:val="24"/>
        </w:rPr>
        <w:t>La tasa media de llegadas se denota λ (lambda) y mide cuántos clientes llegan, en promedio, por unidad de tiempo. Si λ = 20 clientes por hora, el tiempo medio entre llegadas es 1/λ = 0,05 horas, es decir, 3 minutos.</w:t>
      </w:r>
    </w:p>
    <w:p>
      <w:r>
        <w:rPr>
          <w:rFonts w:ascii="Arial" w:hAnsi="Arial"/>
          <w:b w:val="0"/>
          <w:i w:val="0"/>
          <w:sz w:val="24"/>
        </w:rPr>
        <w:t>La distribución de Poisson describe el número de llegadas en un intervalo fijo. La distribución exponencial describe el tiempo que transcurre hasta la próxima llegada. Son dos miradas del mismo proceso cuando las llegadas son independientes y la tasa se mantiene constante dentro del intervalo analizado.</w:t>
      </w:r>
    </w:p>
    <w:tbl>
      <w:tblPr>
        <w:tblW w:type="dxa" w:w="9360"/>
        <w:jc w:val="left"/>
        <w:tblLayout w:type="fixed"/>
        <w:tblLook w:firstColumn="1" w:firstRow="1" w:lastColumn="0" w:lastRow="0" w:noHBand="0" w:noVBand="1" w:val="04A0"/>
        <w:tblInd w:type="dxa" w:w="0"/>
      </w:tblPr>
      <w:tblGrid>
        <w:gridCol w:w="9360"/>
      </w:tblGrid>
      <w:tr>
        <w:trPr/>
        <w:tc>
          <w:tcPr>
            <w:tcW w:type="dxa" w:w="9360"/>
            <w:shd w:fill="F3F7FA"/>
            <w:tcMar>
              <w:top w:w="80" w:type="dxa"/>
              <w:start w:w="120" w:type="dxa"/>
              <w:bottom w:w="80" w:type="dxa"/>
              <w:end w:w="120" w:type="dxa"/>
            </w:tcMar>
          </w:tcPr>
          <w:p>
            <w:r>
              <w:rPr>
                <w:rFonts w:ascii="Arial" w:hAnsi="Arial"/>
                <w:b/>
                <w:i w:val="0"/>
                <w:color w:val="1F4E79"/>
                <w:sz w:val="24"/>
              </w:rPr>
              <w:t xml:space="preserve">Relación útil. </w:t>
            </w:r>
            <w:r>
              <w:rPr>
                <w:rFonts w:ascii="Arial" w:hAnsi="Arial"/>
                <w:b w:val="0"/>
                <w:i w:val="0"/>
                <w:sz w:val="24"/>
              </w:rPr>
              <w:t>Poisson responde “¿cuántos llegan en una hora?”; exponencial responde “¿cuánto falta para que llegue el próximo?”.</w:t>
            </w:r>
          </w:p>
        </w:tc>
      </w:tr>
    </w:tbl>
    <w:p/>
    <w:p>
      <w:r>
        <w:rPr>
          <w:rFonts w:ascii="Arial" w:hAnsi="Arial"/>
          <w:b w:val="0"/>
          <w:i w:val="0"/>
          <w:sz w:val="24"/>
        </w:rPr>
        <w:t>En la estación la demanda no es uniforme durante el día. Por eso la tasa cambia por franja horaria: hay horas pico y horas valle. El promedio diario puede parecer aceptable mientras que, en los picos, se forman colas relevantes.</w:t>
      </w:r>
    </w:p>
    <w:p>
      <w:pPr>
        <w:pStyle w:val="Heading2"/>
      </w:pPr>
      <w:r>
        <w:rPr>
          <w:rFonts w:ascii="Arial" w:hAnsi="Arial"/>
          <w:b/>
          <w:i w:val="0"/>
          <w:color w:val="1F4E79"/>
          <w:sz w:val="28"/>
        </w:rPr>
        <w:t>Servicio, tasa μ y distribución triangular</w:t>
      </w:r>
    </w:p>
    <w:p>
      <w:r>
        <w:rPr>
          <w:rFonts w:ascii="Arial" w:hAnsi="Arial"/>
          <w:b w:val="0"/>
          <w:i w:val="0"/>
          <w:sz w:val="24"/>
        </w:rPr>
        <w:t>La tasa media de servicio se denota μ (mu). Si un servidor atiende en promedio 25 clientes por hora, el tiempo medio de servicio es 1/μ = 2,4 minutos. En la práctica, cada carga puede durar más o menos que ese promedio.</w:t>
      </w:r>
    </w:p>
    <w:p>
      <w:r>
        <w:rPr>
          <w:rFonts w:ascii="Arial" w:hAnsi="Arial"/>
          <w:b w:val="0"/>
          <w:i w:val="0"/>
          <w:sz w:val="24"/>
        </w:rPr>
        <w:t>Cuando no existe una base histórica suficiente para ajustar una distribución compleja, se puede usar una distribución triangular. Se especifican tres valores: mínimo, más probable y máximo. Es una forma transparente de incorporar juicio experto sin afirmar una precisión inexistente.</w:t>
      </w:r>
    </w:p>
    <w:p>
      <w:pPr>
        <w:pStyle w:val="Heading2"/>
      </w:pPr>
      <w:r>
        <w:rPr>
          <w:rFonts w:ascii="Arial" w:hAnsi="Arial"/>
          <w:b/>
          <w:i w:val="0"/>
          <w:color w:val="1F4E79"/>
          <w:sz w:val="28"/>
        </w:rPr>
        <w:t>Utilización y estabilidad</w:t>
      </w:r>
    </w:p>
    <w:p>
      <w:r>
        <w:rPr>
          <w:rFonts w:ascii="Arial" w:hAnsi="Arial"/>
          <w:b w:val="0"/>
          <w:i w:val="0"/>
          <w:sz w:val="24"/>
        </w:rPr>
        <w:t>La utilización ρ (rho) compara la demanda de servicio con la capacidad disponible. En un caso simple de un servidor, ρ = λ/μ. En varios servidores se interpreta como la fracción promedio de capacidad ocupada. Una utilización muy cercana al 100 % vuelve al sistema frágil: una variación pequeña en las llegadas puede producir esperas grandes.</w:t>
      </w:r>
    </w:p>
    <w:p>
      <w:r>
        <w:rPr>
          <w:rFonts w:ascii="Arial" w:hAnsi="Arial"/>
          <w:b w:val="0"/>
          <w:i w:val="0"/>
          <w:sz w:val="24"/>
        </w:rPr>
        <w:t>Para que una cola simple alcance un comportamiento estable, la capacidad media debe superar la llegada media. Aun así, esto no elimina las colas: la variabilidad y las horas pico siguen generando espera.</w:t>
      </w:r>
    </w:p>
    <w:p>
      <w:pPr>
        <w:pStyle w:val="Heading1"/>
      </w:pPr>
      <w:r>
        <w:rPr>
          <w:rFonts w:ascii="Arial" w:hAnsi="Arial"/>
          <w:b/>
          <w:i w:val="0"/>
          <w:color w:val="1F4E79"/>
          <w:sz w:val="32"/>
        </w:rPr>
        <w:t>4. Medidas de rendimiento de colas</w:t>
      </w:r>
    </w:p>
    <w:p>
      <w:r>
        <w:rPr>
          <w:rFonts w:ascii="Arial" w:hAnsi="Arial"/>
          <w:b w:val="0"/>
          <w:i w:val="0"/>
          <w:sz w:val="24"/>
        </w:rPr>
        <w:t>Las medidas de rendimiento permiten traducir el comportamiento de la simulación a preguntas gerenciales: cuánto espera un cliente, cuántos se acumulan y cuán exigidos están los recursos.</w:t>
      </w:r>
    </w:p>
    <w:tbl>
      <w:tblPr>
        <w:tblStyle w:val="TableGrid"/>
        <w:tblW w:type="dxa" w:w="9360"/>
        <w:jc w:val="left"/>
        <w:tblLayout w:type="fixed"/>
        <w:tblLook w:firstColumn="1" w:firstRow="1" w:lastColumn="0" w:lastRow="0" w:noHBand="0" w:noVBand="1" w:val="04A0"/>
        <w:tblInd w:type="dxa" w:w="0"/>
      </w:tblPr>
      <w:tblGrid>
        <w:gridCol w:w="1156"/>
        <w:gridCol w:w="2658"/>
        <w:gridCol w:w="5546"/>
      </w:tblGrid>
      <w:tr>
        <w:trPr>
          <w:tblHeader w:val="true"/>
        </w:trPr>
        <w:tc>
          <w:tcPr>
            <w:tcW w:type="dxa" w:w="1156"/>
            <w:shd w:fill="EAF2F8"/>
            <w:tcMar>
              <w:top w:w="80" w:type="dxa"/>
              <w:start w:w="120" w:type="dxa"/>
              <w:bottom w:w="80" w:type="dxa"/>
              <w:end w:w="120" w:type="dxa"/>
            </w:tcMar>
            <w:vAlign w:val="center"/>
          </w:tcPr>
          <w:p>
            <w:r/>
            <w:r>
              <w:rPr>
                <w:rFonts w:ascii="Arial" w:hAnsi="Arial"/>
                <w:b/>
                <w:i w:val="0"/>
                <w:color w:val="1F4E79"/>
                <w:sz w:val="20"/>
              </w:rPr>
              <w:t>Símbolo</w:t>
            </w:r>
          </w:p>
        </w:tc>
        <w:tc>
          <w:tcPr>
            <w:tcW w:type="dxa" w:w="2658"/>
            <w:shd w:fill="EAF2F8"/>
            <w:tcMar>
              <w:top w:w="80" w:type="dxa"/>
              <w:start w:w="120" w:type="dxa"/>
              <w:bottom w:w="80" w:type="dxa"/>
              <w:end w:w="120" w:type="dxa"/>
            </w:tcMar>
            <w:vAlign w:val="center"/>
          </w:tcPr>
          <w:p>
            <w:r/>
            <w:r>
              <w:rPr>
                <w:rFonts w:ascii="Arial" w:hAnsi="Arial"/>
                <w:b/>
                <w:i w:val="0"/>
                <w:color w:val="1F4E79"/>
                <w:sz w:val="20"/>
              </w:rPr>
              <w:t>Medida</w:t>
            </w:r>
          </w:p>
        </w:tc>
        <w:tc>
          <w:tcPr>
            <w:tcW w:type="dxa" w:w="5546"/>
            <w:shd w:fill="EAF2F8"/>
            <w:tcMar>
              <w:top w:w="80" w:type="dxa"/>
              <w:start w:w="120" w:type="dxa"/>
              <w:bottom w:w="80" w:type="dxa"/>
              <w:end w:w="120" w:type="dxa"/>
            </w:tcMar>
            <w:vAlign w:val="center"/>
          </w:tcPr>
          <w:p>
            <w:r/>
            <w:r>
              <w:rPr>
                <w:rFonts w:ascii="Arial" w:hAnsi="Arial"/>
                <w:b/>
                <w:i w:val="0"/>
                <w:color w:val="1F4E79"/>
                <w:sz w:val="20"/>
              </w:rPr>
              <w:t>Cómo interpretarla</w:t>
            </w:r>
          </w:p>
        </w:tc>
      </w:tr>
      <w:tr>
        <w:trPr/>
        <w:tc>
          <w:tcPr>
            <w:tcW w:type="dxa" w:w="1156"/>
            <w:tcMar>
              <w:top w:w="80" w:type="dxa"/>
              <w:start w:w="120" w:type="dxa"/>
              <w:bottom w:w="80" w:type="dxa"/>
              <w:end w:w="120" w:type="dxa"/>
            </w:tcMar>
            <w:vAlign w:val="center"/>
          </w:tcPr>
          <w:p>
            <w:r/>
            <w:r>
              <w:rPr>
                <w:rFonts w:ascii="Arial" w:hAnsi="Arial"/>
                <w:b w:val="0"/>
                <w:i w:val="0"/>
                <w:sz w:val="20"/>
              </w:rPr>
              <w:t>Wq</w:t>
            </w:r>
          </w:p>
        </w:tc>
        <w:tc>
          <w:tcPr>
            <w:tcW w:type="dxa" w:w="2658"/>
            <w:tcMar>
              <w:top w:w="80" w:type="dxa"/>
              <w:start w:w="120" w:type="dxa"/>
              <w:bottom w:w="80" w:type="dxa"/>
              <w:end w:w="120" w:type="dxa"/>
            </w:tcMar>
            <w:vAlign w:val="center"/>
          </w:tcPr>
          <w:p>
            <w:r/>
            <w:r>
              <w:rPr>
                <w:rFonts w:ascii="Arial" w:hAnsi="Arial"/>
                <w:b w:val="0"/>
                <w:i w:val="0"/>
                <w:sz w:val="20"/>
              </w:rPr>
              <w:t>Tiempo medio de espera en cola</w:t>
            </w:r>
          </w:p>
        </w:tc>
        <w:tc>
          <w:tcPr>
            <w:tcW w:type="dxa" w:w="5546"/>
            <w:tcMar>
              <w:top w:w="80" w:type="dxa"/>
              <w:start w:w="120" w:type="dxa"/>
              <w:bottom w:w="80" w:type="dxa"/>
              <w:end w:w="120" w:type="dxa"/>
            </w:tcMar>
            <w:vAlign w:val="center"/>
          </w:tcPr>
          <w:p>
            <w:r/>
            <w:r>
              <w:rPr>
                <w:rFonts w:ascii="Arial" w:hAnsi="Arial"/>
                <w:b w:val="0"/>
                <w:i w:val="0"/>
                <w:sz w:val="20"/>
              </w:rPr>
              <w:t>Tiempo previo a iniciar el servicio. Cuanto menor, mejor experiencia del cliente.</w:t>
            </w:r>
          </w:p>
        </w:tc>
      </w:tr>
      <w:tr>
        <w:trPr/>
        <w:tc>
          <w:tcPr>
            <w:tcW w:type="dxa" w:w="1156"/>
            <w:tcMar>
              <w:top w:w="80" w:type="dxa"/>
              <w:start w:w="120" w:type="dxa"/>
              <w:bottom w:w="80" w:type="dxa"/>
              <w:end w:w="120" w:type="dxa"/>
            </w:tcMar>
            <w:vAlign w:val="center"/>
          </w:tcPr>
          <w:p>
            <w:r/>
            <w:r>
              <w:rPr>
                <w:rFonts w:ascii="Arial" w:hAnsi="Arial"/>
                <w:b w:val="0"/>
                <w:i w:val="0"/>
                <w:sz w:val="20"/>
              </w:rPr>
              <w:t>Lq</w:t>
            </w:r>
          </w:p>
        </w:tc>
        <w:tc>
          <w:tcPr>
            <w:tcW w:type="dxa" w:w="2658"/>
            <w:tcMar>
              <w:top w:w="80" w:type="dxa"/>
              <w:start w:w="120" w:type="dxa"/>
              <w:bottom w:w="80" w:type="dxa"/>
              <w:end w:w="120" w:type="dxa"/>
            </w:tcMar>
            <w:vAlign w:val="center"/>
          </w:tcPr>
          <w:p>
            <w:r/>
            <w:r>
              <w:rPr>
                <w:rFonts w:ascii="Arial" w:hAnsi="Arial"/>
                <w:b w:val="0"/>
                <w:i w:val="0"/>
                <w:sz w:val="20"/>
              </w:rPr>
              <w:t>Longitud media de cola</w:t>
            </w:r>
          </w:p>
        </w:tc>
        <w:tc>
          <w:tcPr>
            <w:tcW w:type="dxa" w:w="5546"/>
            <w:tcMar>
              <w:top w:w="80" w:type="dxa"/>
              <w:start w:w="120" w:type="dxa"/>
              <w:bottom w:w="80" w:type="dxa"/>
              <w:end w:w="120" w:type="dxa"/>
            </w:tcMar>
            <w:vAlign w:val="center"/>
          </w:tcPr>
          <w:p>
            <w:r/>
            <w:r>
              <w:rPr>
                <w:rFonts w:ascii="Arial" w:hAnsi="Arial"/>
                <w:b w:val="0"/>
                <w:i w:val="0"/>
                <w:sz w:val="20"/>
              </w:rPr>
              <w:t>Promedio temporal de clientes esperando, no una foto de un instante.</w:t>
            </w:r>
          </w:p>
        </w:tc>
      </w:tr>
      <w:tr>
        <w:trPr/>
        <w:tc>
          <w:tcPr>
            <w:tcW w:type="dxa" w:w="1156"/>
            <w:tcMar>
              <w:top w:w="80" w:type="dxa"/>
              <w:start w:w="120" w:type="dxa"/>
              <w:bottom w:w="80" w:type="dxa"/>
              <w:end w:w="120" w:type="dxa"/>
            </w:tcMar>
            <w:vAlign w:val="center"/>
          </w:tcPr>
          <w:p>
            <w:r/>
            <w:r>
              <w:rPr>
                <w:rFonts w:ascii="Arial" w:hAnsi="Arial"/>
                <w:b w:val="0"/>
                <w:i w:val="0"/>
                <w:sz w:val="20"/>
              </w:rPr>
              <w:t>W</w:t>
            </w:r>
          </w:p>
        </w:tc>
        <w:tc>
          <w:tcPr>
            <w:tcW w:type="dxa" w:w="2658"/>
            <w:tcMar>
              <w:top w:w="80" w:type="dxa"/>
              <w:start w:w="120" w:type="dxa"/>
              <w:bottom w:w="80" w:type="dxa"/>
              <w:end w:w="120" w:type="dxa"/>
            </w:tcMar>
            <w:vAlign w:val="center"/>
          </w:tcPr>
          <w:p>
            <w:r/>
            <w:r>
              <w:rPr>
                <w:rFonts w:ascii="Arial" w:hAnsi="Arial"/>
                <w:b w:val="0"/>
                <w:i w:val="0"/>
                <w:sz w:val="20"/>
              </w:rPr>
              <w:t>Tiempo medio en el sistema</w:t>
            </w:r>
          </w:p>
        </w:tc>
        <w:tc>
          <w:tcPr>
            <w:tcW w:type="dxa" w:w="5546"/>
            <w:tcMar>
              <w:top w:w="80" w:type="dxa"/>
              <w:start w:w="120" w:type="dxa"/>
              <w:bottom w:w="80" w:type="dxa"/>
              <w:end w:w="120" w:type="dxa"/>
            </w:tcMar>
            <w:vAlign w:val="center"/>
          </w:tcPr>
          <w:p>
            <w:r/>
            <w:r>
              <w:rPr>
                <w:rFonts w:ascii="Arial" w:hAnsi="Arial"/>
                <w:b w:val="0"/>
                <w:i w:val="0"/>
                <w:sz w:val="20"/>
              </w:rPr>
              <w:t>Espera más tiempo de servicio.</w:t>
            </w:r>
          </w:p>
        </w:tc>
      </w:tr>
      <w:tr>
        <w:trPr/>
        <w:tc>
          <w:tcPr>
            <w:tcW w:type="dxa" w:w="1156"/>
            <w:tcMar>
              <w:top w:w="80" w:type="dxa"/>
              <w:start w:w="120" w:type="dxa"/>
              <w:bottom w:w="80" w:type="dxa"/>
              <w:end w:w="120" w:type="dxa"/>
            </w:tcMar>
            <w:vAlign w:val="center"/>
          </w:tcPr>
          <w:p>
            <w:r/>
            <w:r>
              <w:rPr>
                <w:rFonts w:ascii="Arial" w:hAnsi="Arial"/>
                <w:b w:val="0"/>
                <w:i w:val="0"/>
                <w:sz w:val="20"/>
              </w:rPr>
              <w:t>L</w:t>
            </w:r>
          </w:p>
        </w:tc>
        <w:tc>
          <w:tcPr>
            <w:tcW w:type="dxa" w:w="2658"/>
            <w:tcMar>
              <w:top w:w="80" w:type="dxa"/>
              <w:start w:w="120" w:type="dxa"/>
              <w:bottom w:w="80" w:type="dxa"/>
              <w:end w:w="120" w:type="dxa"/>
            </w:tcMar>
            <w:vAlign w:val="center"/>
          </w:tcPr>
          <w:p>
            <w:r/>
            <w:r>
              <w:rPr>
                <w:rFonts w:ascii="Arial" w:hAnsi="Arial"/>
                <w:b w:val="0"/>
                <w:i w:val="0"/>
                <w:sz w:val="20"/>
              </w:rPr>
              <w:t>Número medio en el sistema</w:t>
            </w:r>
          </w:p>
        </w:tc>
        <w:tc>
          <w:tcPr>
            <w:tcW w:type="dxa" w:w="5546"/>
            <w:tcMar>
              <w:top w:w="80" w:type="dxa"/>
              <w:start w:w="120" w:type="dxa"/>
              <w:bottom w:w="80" w:type="dxa"/>
              <w:end w:w="120" w:type="dxa"/>
            </w:tcMar>
            <w:vAlign w:val="center"/>
          </w:tcPr>
          <w:p>
            <w:r/>
            <w:r>
              <w:rPr>
                <w:rFonts w:ascii="Arial" w:hAnsi="Arial"/>
                <w:b w:val="0"/>
                <w:i w:val="0"/>
                <w:sz w:val="20"/>
              </w:rPr>
              <w:t>Clientes esperando y en servicio.</w:t>
            </w:r>
          </w:p>
        </w:tc>
      </w:tr>
      <w:tr>
        <w:trPr/>
        <w:tc>
          <w:tcPr>
            <w:tcW w:type="dxa" w:w="1156"/>
            <w:tcMar>
              <w:top w:w="80" w:type="dxa"/>
              <w:start w:w="120" w:type="dxa"/>
              <w:bottom w:w="80" w:type="dxa"/>
              <w:end w:w="120" w:type="dxa"/>
            </w:tcMar>
            <w:vAlign w:val="center"/>
          </w:tcPr>
          <w:p>
            <w:r/>
            <w:r>
              <w:rPr>
                <w:rFonts w:ascii="Arial" w:hAnsi="Arial"/>
                <w:b w:val="0"/>
                <w:i w:val="0"/>
                <w:sz w:val="20"/>
              </w:rPr>
              <w:t>ρ</w:t>
            </w:r>
          </w:p>
        </w:tc>
        <w:tc>
          <w:tcPr>
            <w:tcW w:type="dxa" w:w="2658"/>
            <w:tcMar>
              <w:top w:w="80" w:type="dxa"/>
              <w:start w:w="120" w:type="dxa"/>
              <w:bottom w:w="80" w:type="dxa"/>
              <w:end w:w="120" w:type="dxa"/>
            </w:tcMar>
            <w:vAlign w:val="center"/>
          </w:tcPr>
          <w:p>
            <w:r/>
            <w:r>
              <w:rPr>
                <w:rFonts w:ascii="Arial" w:hAnsi="Arial"/>
                <w:b w:val="0"/>
                <w:i w:val="0"/>
                <w:sz w:val="20"/>
              </w:rPr>
              <w:t>Utilización</w:t>
            </w:r>
          </w:p>
        </w:tc>
        <w:tc>
          <w:tcPr>
            <w:tcW w:type="dxa" w:w="5546"/>
            <w:tcMar>
              <w:top w:w="80" w:type="dxa"/>
              <w:start w:w="120" w:type="dxa"/>
              <w:bottom w:w="80" w:type="dxa"/>
              <w:end w:w="120" w:type="dxa"/>
            </w:tcMar>
            <w:vAlign w:val="center"/>
          </w:tcPr>
          <w:p>
            <w:r/>
            <w:r>
              <w:rPr>
                <w:rFonts w:ascii="Arial" w:hAnsi="Arial"/>
                <w:b w:val="0"/>
                <w:i w:val="0"/>
                <w:sz w:val="20"/>
              </w:rPr>
              <w:t>Proporción de tiempo que un recurso está ocupado.</w:t>
            </w:r>
          </w:p>
        </w:tc>
      </w:tr>
      <w:tr>
        <w:trPr/>
        <w:tc>
          <w:tcPr>
            <w:tcW w:type="dxa" w:w="1156"/>
            <w:tcMar>
              <w:top w:w="80" w:type="dxa"/>
              <w:start w:w="120" w:type="dxa"/>
              <w:bottom w:w="80" w:type="dxa"/>
              <w:end w:w="120" w:type="dxa"/>
            </w:tcMar>
            <w:vAlign w:val="center"/>
          </w:tcPr>
          <w:p>
            <w:r/>
            <w:r>
              <w:rPr>
                <w:rFonts w:ascii="Arial" w:hAnsi="Arial"/>
                <w:b w:val="0"/>
                <w:i w:val="0"/>
                <w:sz w:val="20"/>
              </w:rPr>
              <w:t>Pw</w:t>
            </w:r>
          </w:p>
        </w:tc>
        <w:tc>
          <w:tcPr>
            <w:tcW w:type="dxa" w:w="2658"/>
            <w:tcMar>
              <w:top w:w="80" w:type="dxa"/>
              <w:start w:w="120" w:type="dxa"/>
              <w:bottom w:w="80" w:type="dxa"/>
              <w:end w:w="120" w:type="dxa"/>
            </w:tcMar>
            <w:vAlign w:val="center"/>
          </w:tcPr>
          <w:p>
            <w:r/>
            <w:r>
              <w:rPr>
                <w:rFonts w:ascii="Arial" w:hAnsi="Arial"/>
                <w:b w:val="0"/>
                <w:i w:val="0"/>
                <w:sz w:val="20"/>
              </w:rPr>
              <w:t>Probabilidad de espera</w:t>
            </w:r>
          </w:p>
        </w:tc>
        <w:tc>
          <w:tcPr>
            <w:tcW w:type="dxa" w:w="5546"/>
            <w:tcMar>
              <w:top w:w="80" w:type="dxa"/>
              <w:start w:w="120" w:type="dxa"/>
              <w:bottom w:w="80" w:type="dxa"/>
              <w:end w:w="120" w:type="dxa"/>
            </w:tcMar>
            <w:vAlign w:val="center"/>
          </w:tcPr>
          <w:p>
            <w:r/>
            <w:r>
              <w:rPr>
                <w:rFonts w:ascii="Arial" w:hAnsi="Arial"/>
                <w:b w:val="0"/>
                <w:i w:val="0"/>
                <w:sz w:val="20"/>
              </w:rPr>
              <w:t>Proporción de llegadas que encuentran todos los servidores ocupados.</w:t>
            </w:r>
          </w:p>
        </w:tc>
      </w:tr>
    </w:tbl>
    <w:p/>
    <w:p>
      <w:pPr>
        <w:pStyle w:val="Heading2"/>
      </w:pPr>
      <w:r>
        <w:rPr>
          <w:rFonts w:ascii="Arial" w:hAnsi="Arial"/>
          <w:b/>
          <w:i w:val="0"/>
          <w:color w:val="1F4E79"/>
          <w:sz w:val="28"/>
        </w:rPr>
        <w:t>Ley de Little</w:t>
      </w:r>
    </w:p>
    <w:p>
      <w:r>
        <w:rPr>
          <w:rFonts w:ascii="Arial" w:hAnsi="Arial"/>
          <w:b w:val="0"/>
          <w:i w:val="0"/>
          <w:sz w:val="24"/>
        </w:rPr>
        <w:t>La ley de Little vincula las medidas centrales: L = λ × W. Para la cola, Lq = λ × Wq, usando una tasa coherente con los clientes que realmente ingresan a la cola. La relación es muy valiosa porque actúa como control de consistencia: si se conoce la llegada y la espera, se puede anticipar el tamaño medio de cola.</w:t>
      </w:r>
    </w:p>
    <w:tbl>
      <w:tblPr>
        <w:tblW w:type="dxa" w:w="9360"/>
        <w:jc w:val="left"/>
        <w:tblLayout w:type="fixed"/>
        <w:tblLook w:firstColumn="1" w:firstRow="1" w:lastColumn="0" w:lastRow="0" w:noHBand="0" w:noVBand="1" w:val="04A0"/>
        <w:tblInd w:type="dxa" w:w="0"/>
      </w:tblPr>
      <w:tblGrid>
        <w:gridCol w:w="9360"/>
      </w:tblGrid>
      <w:tr>
        <w:trPr/>
        <w:tc>
          <w:tcPr>
            <w:tcW w:type="dxa" w:w="9360"/>
            <w:shd w:fill="F3F7FA"/>
            <w:tcMar>
              <w:top w:w="80" w:type="dxa"/>
              <w:start w:w="120" w:type="dxa"/>
              <w:bottom w:w="80" w:type="dxa"/>
              <w:end w:w="120" w:type="dxa"/>
            </w:tcMar>
          </w:tcPr>
          <w:p>
            <w:r>
              <w:rPr>
                <w:rFonts w:ascii="Arial" w:hAnsi="Arial"/>
                <w:b/>
                <w:i w:val="0"/>
                <w:color w:val="1F4E79"/>
                <w:sz w:val="24"/>
              </w:rPr>
              <w:t xml:space="preserve">Cómo explicarla oralmente. </w:t>
            </w:r>
            <w:r>
              <w:rPr>
                <w:rFonts w:ascii="Arial" w:hAnsi="Arial"/>
                <w:b w:val="0"/>
                <w:i w:val="0"/>
                <w:sz w:val="24"/>
              </w:rPr>
              <w:t>Si llegan más clientes por minuto o cada cliente espera más, se acumula más gente. La ley de Little formaliza exactamente esa intuición.</w:t>
            </w:r>
          </w:p>
        </w:tc>
      </w:tr>
    </w:tbl>
    <w:p/>
    <w:p>
      <w:pPr>
        <w:pStyle w:val="Heading1"/>
      </w:pPr>
      <w:r>
        <w:rPr>
          <w:rFonts w:ascii="Arial" w:hAnsi="Arial"/>
          <w:b/>
          <w:i w:val="0"/>
          <w:color w:val="1F4E79"/>
          <w:sz w:val="32"/>
        </w:rPr>
        <w:t>5. Monte Carlo: simulación de la demanda diaria</w:t>
      </w:r>
    </w:p>
    <w:p>
      <w:r>
        <w:rPr>
          <w:rFonts w:ascii="Arial" w:hAnsi="Arial"/>
          <w:b w:val="0"/>
          <w:i w:val="0"/>
          <w:sz w:val="24"/>
        </w:rPr>
        <w:t>El método Monte Carlo usa números aleatorios para representar variables inciertas. En este proyecto se aplica a la cantidad de autos que demandan servicio cada día. En lugar de imponer una distribución teórica, se parte de una tabla de frecuencias observadas o definida como supuesto del problema.</w:t>
      </w:r>
    </w:p>
    <w:p>
      <w:pPr>
        <w:pStyle w:val="Heading2"/>
      </w:pPr>
      <w:r>
        <w:rPr>
          <w:rFonts w:ascii="Arial" w:hAnsi="Arial"/>
          <w:b/>
          <w:i w:val="0"/>
          <w:color w:val="1F4E79"/>
          <w:sz w:val="28"/>
        </w:rPr>
        <w:t>Lectura de la tabla de Monte Carlo</w:t>
      </w:r>
    </w:p>
    <w:tbl>
      <w:tblPr>
        <w:tblStyle w:val="TableGrid"/>
        <w:tblW w:type="dxa" w:w="9360"/>
        <w:jc w:val="left"/>
        <w:tblLayout w:type="fixed"/>
        <w:tblLook w:firstColumn="1" w:firstRow="1" w:lastColumn="0" w:lastRow="0" w:noHBand="0" w:noVBand="1" w:val="04A0"/>
        <w:tblInd w:type="dxa" w:w="0"/>
      </w:tblPr>
      <w:tblGrid>
        <w:gridCol w:w="1964"/>
        <w:gridCol w:w="3524"/>
        <w:gridCol w:w="3872"/>
      </w:tblGrid>
      <w:tr>
        <w:trPr>
          <w:tblHeader w:val="true"/>
        </w:trPr>
        <w:tc>
          <w:tcPr>
            <w:tcW w:type="dxa" w:w="1964"/>
            <w:shd w:fill="EAF2F8"/>
            <w:tcMar>
              <w:top w:w="80" w:type="dxa"/>
              <w:start w:w="120" w:type="dxa"/>
              <w:bottom w:w="80" w:type="dxa"/>
              <w:end w:w="120" w:type="dxa"/>
            </w:tcMar>
            <w:vAlign w:val="center"/>
          </w:tcPr>
          <w:p>
            <w:r/>
            <w:r>
              <w:rPr>
                <w:rFonts w:ascii="Arial" w:hAnsi="Arial"/>
                <w:b/>
                <w:i w:val="0"/>
                <w:color w:val="1F4E79"/>
                <w:sz w:val="20"/>
              </w:rPr>
              <w:t>Columna</w:t>
            </w:r>
          </w:p>
        </w:tc>
        <w:tc>
          <w:tcPr>
            <w:tcW w:type="dxa" w:w="3524"/>
            <w:shd w:fill="EAF2F8"/>
            <w:tcMar>
              <w:top w:w="80" w:type="dxa"/>
              <w:start w:w="120" w:type="dxa"/>
              <w:bottom w:w="80" w:type="dxa"/>
              <w:end w:w="120" w:type="dxa"/>
            </w:tcMar>
            <w:vAlign w:val="center"/>
          </w:tcPr>
          <w:p>
            <w:r/>
            <w:r>
              <w:rPr>
                <w:rFonts w:ascii="Arial" w:hAnsi="Arial"/>
                <w:b/>
                <w:i w:val="0"/>
                <w:color w:val="1F4E79"/>
                <w:sz w:val="20"/>
              </w:rPr>
              <w:t>Qué representa</w:t>
            </w:r>
          </w:p>
        </w:tc>
        <w:tc>
          <w:tcPr>
            <w:tcW w:type="dxa" w:w="3872"/>
            <w:shd w:fill="EAF2F8"/>
            <w:tcMar>
              <w:top w:w="80" w:type="dxa"/>
              <w:start w:w="120" w:type="dxa"/>
              <w:bottom w:w="80" w:type="dxa"/>
              <w:end w:w="120" w:type="dxa"/>
            </w:tcMar>
            <w:vAlign w:val="center"/>
          </w:tcPr>
          <w:p>
            <w:r/>
            <w:r>
              <w:rPr>
                <w:rFonts w:ascii="Arial" w:hAnsi="Arial"/>
                <w:b/>
                <w:i w:val="0"/>
                <w:color w:val="1F4E79"/>
                <w:sz w:val="20"/>
              </w:rPr>
              <w:t>Para qué sirve</w:t>
            </w:r>
          </w:p>
        </w:tc>
      </w:tr>
      <w:tr>
        <w:trPr/>
        <w:tc>
          <w:tcPr>
            <w:tcW w:type="dxa" w:w="1964"/>
            <w:tcMar>
              <w:top w:w="80" w:type="dxa"/>
              <w:start w:w="120" w:type="dxa"/>
              <w:bottom w:w="80" w:type="dxa"/>
              <w:end w:w="120" w:type="dxa"/>
            </w:tcMar>
            <w:vAlign w:val="center"/>
          </w:tcPr>
          <w:p>
            <w:r/>
            <w:r>
              <w:rPr>
                <w:rFonts w:ascii="Arial" w:hAnsi="Arial"/>
                <w:b w:val="0"/>
                <w:i w:val="0"/>
                <w:sz w:val="20"/>
              </w:rPr>
              <w:t>Demanda posible</w:t>
            </w:r>
          </w:p>
        </w:tc>
        <w:tc>
          <w:tcPr>
            <w:tcW w:type="dxa" w:w="3524"/>
            <w:tcMar>
              <w:top w:w="80" w:type="dxa"/>
              <w:start w:w="120" w:type="dxa"/>
              <w:bottom w:w="80" w:type="dxa"/>
              <w:end w:w="120" w:type="dxa"/>
            </w:tcMar>
            <w:vAlign w:val="center"/>
          </w:tcPr>
          <w:p>
            <w:r/>
            <w:r>
              <w:rPr>
                <w:rFonts w:ascii="Arial" w:hAnsi="Arial"/>
                <w:b w:val="0"/>
                <w:i w:val="0"/>
                <w:sz w:val="20"/>
              </w:rPr>
              <w:t>Cantidad de autos que podría ocurrir en un día.</w:t>
            </w:r>
          </w:p>
        </w:tc>
        <w:tc>
          <w:tcPr>
            <w:tcW w:type="dxa" w:w="3872"/>
            <w:tcMar>
              <w:top w:w="80" w:type="dxa"/>
              <w:start w:w="120" w:type="dxa"/>
              <w:bottom w:w="80" w:type="dxa"/>
              <w:end w:w="120" w:type="dxa"/>
            </w:tcMar>
            <w:vAlign w:val="center"/>
          </w:tcPr>
          <w:p>
            <w:r/>
            <w:r>
              <w:rPr>
                <w:rFonts w:ascii="Arial" w:hAnsi="Arial"/>
                <w:b w:val="0"/>
                <w:i w:val="0"/>
                <w:sz w:val="20"/>
              </w:rPr>
              <w:t>Define los resultados que se pueden sortear.</w:t>
            </w:r>
          </w:p>
        </w:tc>
      </w:tr>
      <w:tr>
        <w:trPr/>
        <w:tc>
          <w:tcPr>
            <w:tcW w:type="dxa" w:w="1964"/>
            <w:tcMar>
              <w:top w:w="80" w:type="dxa"/>
              <w:start w:w="120" w:type="dxa"/>
              <w:bottom w:w="80" w:type="dxa"/>
              <w:end w:w="120" w:type="dxa"/>
            </w:tcMar>
            <w:vAlign w:val="center"/>
          </w:tcPr>
          <w:p>
            <w:r/>
            <w:r>
              <w:rPr>
                <w:rFonts w:ascii="Arial" w:hAnsi="Arial"/>
                <w:b w:val="0"/>
                <w:i w:val="0"/>
                <w:sz w:val="20"/>
              </w:rPr>
              <w:t>Frecuencia</w:t>
            </w:r>
          </w:p>
        </w:tc>
        <w:tc>
          <w:tcPr>
            <w:tcW w:type="dxa" w:w="3524"/>
            <w:tcMar>
              <w:top w:w="80" w:type="dxa"/>
              <w:start w:w="120" w:type="dxa"/>
              <w:bottom w:w="80" w:type="dxa"/>
              <w:end w:w="120" w:type="dxa"/>
            </w:tcMar>
            <w:vAlign w:val="center"/>
          </w:tcPr>
          <w:p>
            <w:r/>
            <w:r>
              <w:rPr>
                <w:rFonts w:ascii="Arial" w:hAnsi="Arial"/>
                <w:b w:val="0"/>
                <w:i w:val="0"/>
                <w:sz w:val="20"/>
              </w:rPr>
              <w:t>Cantidad de veces que se observó cada demanda.</w:t>
            </w:r>
          </w:p>
        </w:tc>
        <w:tc>
          <w:tcPr>
            <w:tcW w:type="dxa" w:w="3872"/>
            <w:tcMar>
              <w:top w:w="80" w:type="dxa"/>
              <w:start w:w="120" w:type="dxa"/>
              <w:bottom w:w="80" w:type="dxa"/>
              <w:end w:w="120" w:type="dxa"/>
            </w:tcMar>
            <w:vAlign w:val="center"/>
          </w:tcPr>
          <w:p>
            <w:r/>
            <w:r>
              <w:rPr>
                <w:rFonts w:ascii="Arial" w:hAnsi="Arial"/>
                <w:b w:val="0"/>
                <w:i w:val="0"/>
                <w:sz w:val="20"/>
              </w:rPr>
              <w:t>Es la evidencia de partida.</w:t>
            </w:r>
          </w:p>
        </w:tc>
      </w:tr>
      <w:tr>
        <w:trPr/>
        <w:tc>
          <w:tcPr>
            <w:tcW w:type="dxa" w:w="1964"/>
            <w:tcMar>
              <w:top w:w="80" w:type="dxa"/>
              <w:start w:w="120" w:type="dxa"/>
              <w:bottom w:w="80" w:type="dxa"/>
              <w:end w:w="120" w:type="dxa"/>
            </w:tcMar>
            <w:vAlign w:val="center"/>
          </w:tcPr>
          <w:p>
            <w:r/>
            <w:r>
              <w:rPr>
                <w:rFonts w:ascii="Arial" w:hAnsi="Arial"/>
                <w:b w:val="0"/>
                <w:i w:val="0"/>
                <w:sz w:val="20"/>
              </w:rPr>
              <w:t>Probabilidad</w:t>
            </w:r>
          </w:p>
        </w:tc>
        <w:tc>
          <w:tcPr>
            <w:tcW w:type="dxa" w:w="3524"/>
            <w:tcMar>
              <w:top w:w="80" w:type="dxa"/>
              <w:start w:w="120" w:type="dxa"/>
              <w:bottom w:w="80" w:type="dxa"/>
              <w:end w:w="120" w:type="dxa"/>
            </w:tcMar>
            <w:vAlign w:val="center"/>
          </w:tcPr>
          <w:p>
            <w:r/>
            <w:r>
              <w:rPr>
                <w:rFonts w:ascii="Arial" w:hAnsi="Arial"/>
                <w:b w:val="0"/>
                <w:i w:val="0"/>
                <w:sz w:val="20"/>
              </w:rPr>
              <w:t>Frecuencia dividida por el total.</w:t>
            </w:r>
          </w:p>
        </w:tc>
        <w:tc>
          <w:tcPr>
            <w:tcW w:type="dxa" w:w="3872"/>
            <w:tcMar>
              <w:top w:w="80" w:type="dxa"/>
              <w:start w:w="120" w:type="dxa"/>
              <w:bottom w:w="80" w:type="dxa"/>
              <w:end w:w="120" w:type="dxa"/>
            </w:tcMar>
            <w:vAlign w:val="center"/>
          </w:tcPr>
          <w:p>
            <w:r/>
            <w:r>
              <w:rPr>
                <w:rFonts w:ascii="Arial" w:hAnsi="Arial"/>
                <w:b w:val="0"/>
                <w:i w:val="0"/>
                <w:sz w:val="20"/>
              </w:rPr>
              <w:t>Transforma los datos en chances de ocurrencia.</w:t>
            </w:r>
          </w:p>
        </w:tc>
      </w:tr>
      <w:tr>
        <w:trPr/>
        <w:tc>
          <w:tcPr>
            <w:tcW w:type="dxa" w:w="1964"/>
            <w:tcMar>
              <w:top w:w="80" w:type="dxa"/>
              <w:start w:w="120" w:type="dxa"/>
              <w:bottom w:w="80" w:type="dxa"/>
              <w:end w:w="120" w:type="dxa"/>
            </w:tcMar>
            <w:vAlign w:val="center"/>
          </w:tcPr>
          <w:p>
            <w:r/>
            <w:r>
              <w:rPr>
                <w:rFonts w:ascii="Arial" w:hAnsi="Arial"/>
                <w:b w:val="0"/>
                <w:i w:val="0"/>
                <w:sz w:val="20"/>
              </w:rPr>
              <w:t>Probabilidad acumulada</w:t>
            </w:r>
          </w:p>
        </w:tc>
        <w:tc>
          <w:tcPr>
            <w:tcW w:type="dxa" w:w="3524"/>
            <w:tcMar>
              <w:top w:w="80" w:type="dxa"/>
              <w:start w:w="120" w:type="dxa"/>
              <w:bottom w:w="80" w:type="dxa"/>
              <w:end w:w="120" w:type="dxa"/>
            </w:tcMar>
            <w:vAlign w:val="center"/>
          </w:tcPr>
          <w:p>
            <w:r/>
            <w:r>
              <w:rPr>
                <w:rFonts w:ascii="Arial" w:hAnsi="Arial"/>
                <w:b w:val="0"/>
                <w:i w:val="0"/>
                <w:sz w:val="20"/>
              </w:rPr>
              <w:t>Suma progresiva de probabilidades.</w:t>
            </w:r>
          </w:p>
        </w:tc>
        <w:tc>
          <w:tcPr>
            <w:tcW w:type="dxa" w:w="3872"/>
            <w:tcMar>
              <w:top w:w="80" w:type="dxa"/>
              <w:start w:w="120" w:type="dxa"/>
              <w:bottom w:w="80" w:type="dxa"/>
              <w:end w:w="120" w:type="dxa"/>
            </w:tcMar>
            <w:vAlign w:val="center"/>
          </w:tcPr>
          <w:p>
            <w:r/>
            <w:r>
              <w:rPr>
                <w:rFonts w:ascii="Arial" w:hAnsi="Arial"/>
                <w:b w:val="0"/>
                <w:i w:val="0"/>
                <w:sz w:val="20"/>
              </w:rPr>
              <w:t>Construye los límites de los intervalos.</w:t>
            </w:r>
          </w:p>
        </w:tc>
      </w:tr>
      <w:tr>
        <w:trPr/>
        <w:tc>
          <w:tcPr>
            <w:tcW w:type="dxa" w:w="1964"/>
            <w:tcMar>
              <w:top w:w="80" w:type="dxa"/>
              <w:start w:w="120" w:type="dxa"/>
              <w:bottom w:w="80" w:type="dxa"/>
              <w:end w:w="120" w:type="dxa"/>
            </w:tcMar>
            <w:vAlign w:val="center"/>
          </w:tcPr>
          <w:p>
            <w:r/>
            <w:r>
              <w:rPr>
                <w:rFonts w:ascii="Arial" w:hAnsi="Arial"/>
                <w:b w:val="0"/>
                <w:i w:val="0"/>
                <w:sz w:val="20"/>
              </w:rPr>
              <w:t>Intervalo aleatorio</w:t>
            </w:r>
          </w:p>
        </w:tc>
        <w:tc>
          <w:tcPr>
            <w:tcW w:type="dxa" w:w="3524"/>
            <w:tcMar>
              <w:top w:w="80" w:type="dxa"/>
              <w:start w:w="120" w:type="dxa"/>
              <w:bottom w:w="80" w:type="dxa"/>
              <w:end w:w="120" w:type="dxa"/>
            </w:tcMar>
            <w:vAlign w:val="center"/>
          </w:tcPr>
          <w:p>
            <w:r/>
            <w:r>
              <w:rPr>
                <w:rFonts w:ascii="Arial" w:hAnsi="Arial"/>
                <w:b w:val="0"/>
                <w:i w:val="0"/>
                <w:sz w:val="20"/>
              </w:rPr>
              <w:t>Rango asociado a cada demanda posible.</w:t>
            </w:r>
          </w:p>
        </w:tc>
        <w:tc>
          <w:tcPr>
            <w:tcW w:type="dxa" w:w="3872"/>
            <w:tcMar>
              <w:top w:w="80" w:type="dxa"/>
              <w:start w:w="120" w:type="dxa"/>
              <w:bottom w:w="80" w:type="dxa"/>
              <w:end w:w="120" w:type="dxa"/>
            </w:tcMar>
            <w:vAlign w:val="center"/>
          </w:tcPr>
          <w:p>
            <w:r/>
            <w:r>
              <w:rPr>
                <w:rFonts w:ascii="Arial" w:hAnsi="Arial"/>
                <w:b w:val="0"/>
                <w:i w:val="0"/>
                <w:sz w:val="20"/>
              </w:rPr>
              <w:t>Convierte un número aleatorio en una demanda simulada.</w:t>
            </w:r>
          </w:p>
        </w:tc>
      </w:tr>
      <w:tr>
        <w:trPr/>
        <w:tc>
          <w:tcPr>
            <w:tcW w:type="dxa" w:w="1964"/>
            <w:tcMar>
              <w:top w:w="80" w:type="dxa"/>
              <w:start w:w="120" w:type="dxa"/>
              <w:bottom w:w="80" w:type="dxa"/>
              <w:end w:w="120" w:type="dxa"/>
            </w:tcMar>
            <w:vAlign w:val="center"/>
          </w:tcPr>
          <w:p>
            <w:r/>
            <w:r>
              <w:rPr>
                <w:rFonts w:ascii="Arial" w:hAnsi="Arial"/>
                <w:b w:val="0"/>
                <w:i w:val="0"/>
                <w:sz w:val="20"/>
              </w:rPr>
              <w:t>Número aleatorio y resultado</w:t>
            </w:r>
          </w:p>
        </w:tc>
        <w:tc>
          <w:tcPr>
            <w:tcW w:type="dxa" w:w="3524"/>
            <w:tcMar>
              <w:top w:w="80" w:type="dxa"/>
              <w:start w:w="120" w:type="dxa"/>
              <w:bottom w:w="80" w:type="dxa"/>
              <w:end w:w="120" w:type="dxa"/>
            </w:tcMar>
            <w:vAlign w:val="center"/>
          </w:tcPr>
          <w:p>
            <w:r/>
            <w:r>
              <w:rPr>
                <w:rFonts w:ascii="Arial" w:hAnsi="Arial"/>
                <w:b w:val="0"/>
                <w:i w:val="0"/>
                <w:sz w:val="20"/>
              </w:rPr>
              <w:t>Sorteo de cada día y demanda asignada.</w:t>
            </w:r>
          </w:p>
        </w:tc>
        <w:tc>
          <w:tcPr>
            <w:tcW w:type="dxa" w:w="3872"/>
            <w:tcMar>
              <w:top w:w="80" w:type="dxa"/>
              <w:start w:w="120" w:type="dxa"/>
              <w:bottom w:w="80" w:type="dxa"/>
              <w:end w:w="120" w:type="dxa"/>
            </w:tcMar>
            <w:vAlign w:val="center"/>
          </w:tcPr>
          <w:p>
            <w:r/>
            <w:r>
              <w:rPr>
                <w:rFonts w:ascii="Arial" w:hAnsi="Arial"/>
                <w:b w:val="0"/>
                <w:i w:val="0"/>
                <w:sz w:val="20"/>
              </w:rPr>
              <w:t>Deja trazable el procedimiento completo.</w:t>
            </w:r>
          </w:p>
        </w:tc>
      </w:tr>
    </w:tbl>
    <w:p/>
    <w:p>
      <w:pPr>
        <w:pStyle w:val="Heading2"/>
      </w:pPr>
      <w:r>
        <w:rPr>
          <w:rFonts w:ascii="Arial" w:hAnsi="Arial"/>
          <w:b/>
          <w:i w:val="0"/>
          <w:color w:val="1F4E79"/>
          <w:sz w:val="28"/>
        </w:rPr>
        <w:t>Los cinco pasos</w:t>
      </w:r>
    </w:p>
    <w:p>
      <w:pPr>
        <w:pStyle w:val="ListNumber"/>
      </w:pPr>
      <w:r>
        <w:rPr>
          <w:rFonts w:ascii="Arial" w:hAnsi="Arial"/>
          <w:b w:val="0"/>
          <w:i w:val="0"/>
          <w:sz w:val="24"/>
        </w:rPr>
        <w:t>Listar los valores posibles de demanda y sus frecuencias.</w:t>
      </w:r>
    </w:p>
    <w:p>
      <w:pPr>
        <w:pStyle w:val="ListNumber"/>
      </w:pPr>
      <w:r>
        <w:rPr>
          <w:rFonts w:ascii="Arial" w:hAnsi="Arial"/>
          <w:b w:val="0"/>
          <w:i w:val="0"/>
          <w:sz w:val="24"/>
        </w:rPr>
        <w:t>Calcular la probabilidad de cada valor y comprobar que sumen 1.</w:t>
      </w:r>
    </w:p>
    <w:p>
      <w:pPr>
        <w:pStyle w:val="ListNumber"/>
      </w:pPr>
      <w:r>
        <w:rPr>
          <w:rFonts w:ascii="Arial" w:hAnsi="Arial"/>
          <w:b w:val="0"/>
          <w:i w:val="0"/>
          <w:sz w:val="24"/>
        </w:rPr>
        <w:t>Obtener la probabilidad acumulada.</w:t>
      </w:r>
    </w:p>
    <w:p>
      <w:pPr>
        <w:pStyle w:val="ListNumber"/>
      </w:pPr>
      <w:r>
        <w:rPr>
          <w:rFonts w:ascii="Arial" w:hAnsi="Arial"/>
          <w:b w:val="0"/>
          <w:i w:val="0"/>
          <w:sz w:val="24"/>
        </w:rPr>
        <w:t>Asignar a cada resultado un intervalo de números aleatorios entre 0 y 1 (o entre 00 y 99).</w:t>
      </w:r>
    </w:p>
    <w:p>
      <w:pPr>
        <w:pStyle w:val="ListNumber"/>
      </w:pPr>
      <w:r>
        <w:rPr>
          <w:rFonts w:ascii="Arial" w:hAnsi="Arial"/>
          <w:b w:val="0"/>
          <w:i w:val="0"/>
          <w:sz w:val="24"/>
        </w:rPr>
        <w:t>Generar un número aleatorio por día y seleccionar la demanda cuyo intervalo lo contiene.</w:t>
      </w:r>
    </w:p>
    <w:p>
      <w:r>
        <w:rPr>
          <w:rFonts w:ascii="Arial" w:hAnsi="Arial"/>
          <w:b w:val="0"/>
          <w:i w:val="0"/>
          <w:sz w:val="24"/>
        </w:rPr>
        <w:t>La tabla no pronostica el valor exacto del próximo día. Genera días artificiales que conservan la estructura probabilística de la tabla original. Al repetir el experimento, se obtiene una visión del comportamiento esperado y de su variación.</w:t>
      </w:r>
    </w:p>
    <w:p>
      <w:pPr>
        <w:pStyle w:val="Heading1"/>
      </w:pPr>
      <w:r>
        <w:rPr>
          <w:rFonts w:ascii="Arial" w:hAnsi="Arial"/>
          <w:b/>
          <w:i w:val="0"/>
          <w:color w:val="1F4E79"/>
          <w:sz w:val="32"/>
        </w:rPr>
        <w:t>6. Inventario y reposición de combustible</w:t>
      </w:r>
    </w:p>
    <w:p>
      <w:r>
        <w:rPr>
          <w:rFonts w:ascii="Arial" w:hAnsi="Arial"/>
          <w:b w:val="0"/>
          <w:i w:val="0"/>
          <w:sz w:val="24"/>
        </w:rPr>
        <w:t>El tanque funciona como un inventario. Cada carga reduce su nivel; cuando se alcanza cierto umbral, se emite un pedido. El camión no llega instantáneamente: existe un plazo de entrega aleatorio. Durante ese plazo puede haber consumo suficiente para provocar un faltante.</w:t>
      </w:r>
    </w:p>
    <w:p>
      <w:pPr>
        <w:pStyle w:val="Heading2"/>
      </w:pPr>
      <w:r>
        <w:rPr>
          <w:rFonts w:ascii="Arial" w:hAnsi="Arial"/>
          <w:b/>
          <w:i w:val="0"/>
          <w:color w:val="1F4E79"/>
          <w:sz w:val="28"/>
        </w:rPr>
        <w:t>Política (s, Q)</w:t>
      </w:r>
    </w:p>
    <w:tbl>
      <w:tblPr>
        <w:tblStyle w:val="TableGrid"/>
        <w:tblW w:type="dxa" w:w="9360"/>
        <w:jc w:val="left"/>
        <w:tblLayout w:type="fixed"/>
        <w:tblLook w:firstColumn="1" w:firstRow="1" w:lastColumn="0" w:lastRow="0" w:noHBand="0" w:noVBand="1" w:val="04A0"/>
        <w:tblInd w:type="dxa" w:w="0"/>
      </w:tblPr>
      <w:tblGrid>
        <w:gridCol w:w="2022"/>
        <w:gridCol w:w="3236"/>
        <w:gridCol w:w="4102"/>
      </w:tblGrid>
      <w:tr>
        <w:trPr>
          <w:tblHeader w:val="true"/>
        </w:trPr>
        <w:tc>
          <w:tcPr>
            <w:tcW w:type="dxa" w:w="2022"/>
            <w:shd w:fill="EAF2F8"/>
            <w:tcMar>
              <w:top w:w="80" w:type="dxa"/>
              <w:start w:w="120" w:type="dxa"/>
              <w:bottom w:w="80" w:type="dxa"/>
              <w:end w:w="120" w:type="dxa"/>
            </w:tcMar>
            <w:vAlign w:val="center"/>
          </w:tcPr>
          <w:p>
            <w:r/>
            <w:r>
              <w:rPr>
                <w:rFonts w:ascii="Arial" w:hAnsi="Arial"/>
                <w:b/>
                <w:i w:val="0"/>
                <w:color w:val="1F4E79"/>
                <w:sz w:val="20"/>
              </w:rPr>
              <w:t>Elemento</w:t>
            </w:r>
          </w:p>
        </w:tc>
        <w:tc>
          <w:tcPr>
            <w:tcW w:type="dxa" w:w="3236"/>
            <w:shd w:fill="EAF2F8"/>
            <w:tcMar>
              <w:top w:w="80" w:type="dxa"/>
              <w:start w:w="120" w:type="dxa"/>
              <w:bottom w:w="80" w:type="dxa"/>
              <w:end w:w="120" w:type="dxa"/>
            </w:tcMar>
            <w:vAlign w:val="center"/>
          </w:tcPr>
          <w:p>
            <w:r/>
            <w:r>
              <w:rPr>
                <w:rFonts w:ascii="Arial" w:hAnsi="Arial"/>
                <w:b/>
                <w:i w:val="0"/>
                <w:color w:val="1F4E79"/>
                <w:sz w:val="20"/>
              </w:rPr>
              <w:t>Definición</w:t>
            </w:r>
          </w:p>
        </w:tc>
        <w:tc>
          <w:tcPr>
            <w:tcW w:type="dxa" w:w="4102"/>
            <w:shd w:fill="EAF2F8"/>
            <w:tcMar>
              <w:top w:w="80" w:type="dxa"/>
              <w:start w:w="120" w:type="dxa"/>
              <w:bottom w:w="80" w:type="dxa"/>
              <w:end w:w="120" w:type="dxa"/>
            </w:tcMar>
            <w:vAlign w:val="center"/>
          </w:tcPr>
          <w:p>
            <w:r/>
            <w:r>
              <w:rPr>
                <w:rFonts w:ascii="Arial" w:hAnsi="Arial"/>
                <w:b/>
                <w:i w:val="0"/>
                <w:color w:val="1F4E79"/>
                <w:sz w:val="20"/>
              </w:rPr>
              <w:t>Decisión involucrada</w:t>
            </w:r>
          </w:p>
        </w:tc>
      </w:tr>
      <w:tr>
        <w:trPr/>
        <w:tc>
          <w:tcPr>
            <w:tcW w:type="dxa" w:w="2022"/>
            <w:tcMar>
              <w:top w:w="80" w:type="dxa"/>
              <w:start w:w="120" w:type="dxa"/>
              <w:bottom w:w="80" w:type="dxa"/>
              <w:end w:w="120" w:type="dxa"/>
            </w:tcMar>
            <w:vAlign w:val="center"/>
          </w:tcPr>
          <w:p>
            <w:r/>
            <w:r>
              <w:rPr>
                <w:rFonts w:ascii="Arial" w:hAnsi="Arial"/>
                <w:b w:val="0"/>
                <w:i w:val="0"/>
                <w:sz w:val="20"/>
              </w:rPr>
              <w:t>s: punto de pedido</w:t>
            </w:r>
          </w:p>
        </w:tc>
        <w:tc>
          <w:tcPr>
            <w:tcW w:type="dxa" w:w="3236"/>
            <w:tcMar>
              <w:top w:w="80" w:type="dxa"/>
              <w:start w:w="120" w:type="dxa"/>
              <w:bottom w:w="80" w:type="dxa"/>
              <w:end w:w="120" w:type="dxa"/>
            </w:tcMar>
            <w:vAlign w:val="center"/>
          </w:tcPr>
          <w:p>
            <w:r/>
            <w:r>
              <w:rPr>
                <w:rFonts w:ascii="Arial" w:hAnsi="Arial"/>
                <w:b w:val="0"/>
                <w:i w:val="0"/>
                <w:sz w:val="20"/>
              </w:rPr>
              <w:t>Nivel de inventario que dispara un nuevo pedido.</w:t>
            </w:r>
          </w:p>
        </w:tc>
        <w:tc>
          <w:tcPr>
            <w:tcW w:type="dxa" w:w="4102"/>
            <w:tcMar>
              <w:top w:w="80" w:type="dxa"/>
              <w:start w:w="120" w:type="dxa"/>
              <w:bottom w:w="80" w:type="dxa"/>
              <w:end w:w="120" w:type="dxa"/>
            </w:tcMar>
            <w:vAlign w:val="center"/>
          </w:tcPr>
          <w:p>
            <w:r/>
            <w:r>
              <w:rPr>
                <w:rFonts w:ascii="Arial" w:hAnsi="Arial"/>
                <w:b w:val="0"/>
                <w:i w:val="0"/>
                <w:sz w:val="20"/>
              </w:rPr>
              <w:t>Un s mayor protege frente a faltantes, pero implica más stock promedio.</w:t>
            </w:r>
          </w:p>
        </w:tc>
      </w:tr>
      <w:tr>
        <w:trPr/>
        <w:tc>
          <w:tcPr>
            <w:tcW w:type="dxa" w:w="2022"/>
            <w:tcMar>
              <w:top w:w="80" w:type="dxa"/>
              <w:start w:w="120" w:type="dxa"/>
              <w:bottom w:w="80" w:type="dxa"/>
              <w:end w:w="120" w:type="dxa"/>
            </w:tcMar>
            <w:vAlign w:val="center"/>
          </w:tcPr>
          <w:p>
            <w:r/>
            <w:r>
              <w:rPr>
                <w:rFonts w:ascii="Arial" w:hAnsi="Arial"/>
                <w:b w:val="0"/>
                <w:i w:val="0"/>
                <w:sz w:val="20"/>
              </w:rPr>
              <w:t>Q: cantidad a pedir</w:t>
            </w:r>
          </w:p>
        </w:tc>
        <w:tc>
          <w:tcPr>
            <w:tcW w:type="dxa" w:w="3236"/>
            <w:tcMar>
              <w:top w:w="80" w:type="dxa"/>
              <w:start w:w="120" w:type="dxa"/>
              <w:bottom w:w="80" w:type="dxa"/>
              <w:end w:w="120" w:type="dxa"/>
            </w:tcMar>
            <w:vAlign w:val="center"/>
          </w:tcPr>
          <w:p>
            <w:r/>
            <w:r>
              <w:rPr>
                <w:rFonts w:ascii="Arial" w:hAnsi="Arial"/>
                <w:b w:val="0"/>
                <w:i w:val="0"/>
                <w:sz w:val="20"/>
              </w:rPr>
              <w:t>Cantidad de litros solicitada en cada pedido.</w:t>
            </w:r>
          </w:p>
        </w:tc>
        <w:tc>
          <w:tcPr>
            <w:tcW w:type="dxa" w:w="4102"/>
            <w:tcMar>
              <w:top w:w="80" w:type="dxa"/>
              <w:start w:w="120" w:type="dxa"/>
              <w:bottom w:w="80" w:type="dxa"/>
              <w:end w:w="120" w:type="dxa"/>
            </w:tcMar>
            <w:vAlign w:val="center"/>
          </w:tcPr>
          <w:p>
            <w:r/>
            <w:r>
              <w:rPr>
                <w:rFonts w:ascii="Arial" w:hAnsi="Arial"/>
                <w:b w:val="0"/>
                <w:i w:val="0"/>
                <w:sz w:val="20"/>
              </w:rPr>
              <w:t>Un Q grande reduce la frecuencia de fletes, pero aumenta el inventario inmovilizado.</w:t>
            </w:r>
          </w:p>
        </w:tc>
      </w:tr>
      <w:tr>
        <w:trPr/>
        <w:tc>
          <w:tcPr>
            <w:tcW w:type="dxa" w:w="2022"/>
            <w:tcMar>
              <w:top w:w="80" w:type="dxa"/>
              <w:start w:w="120" w:type="dxa"/>
              <w:bottom w:w="80" w:type="dxa"/>
              <w:end w:w="120" w:type="dxa"/>
            </w:tcMar>
            <w:vAlign w:val="center"/>
          </w:tcPr>
          <w:p>
            <w:r/>
            <w:r>
              <w:rPr>
                <w:rFonts w:ascii="Arial" w:hAnsi="Arial"/>
                <w:b w:val="0"/>
                <w:i w:val="0"/>
                <w:sz w:val="20"/>
              </w:rPr>
              <w:t>Plazo de entrega</w:t>
            </w:r>
          </w:p>
        </w:tc>
        <w:tc>
          <w:tcPr>
            <w:tcW w:type="dxa" w:w="3236"/>
            <w:tcMar>
              <w:top w:w="80" w:type="dxa"/>
              <w:start w:w="120" w:type="dxa"/>
              <w:bottom w:w="80" w:type="dxa"/>
              <w:end w:w="120" w:type="dxa"/>
            </w:tcMar>
            <w:vAlign w:val="center"/>
          </w:tcPr>
          <w:p>
            <w:r/>
            <w:r>
              <w:rPr>
                <w:rFonts w:ascii="Arial" w:hAnsi="Arial"/>
                <w:b w:val="0"/>
                <w:i w:val="0"/>
                <w:sz w:val="20"/>
              </w:rPr>
              <w:t>Tiempo entre emitir el pedido y recibir el camión.</w:t>
            </w:r>
          </w:p>
        </w:tc>
        <w:tc>
          <w:tcPr>
            <w:tcW w:type="dxa" w:w="4102"/>
            <w:tcMar>
              <w:top w:w="80" w:type="dxa"/>
              <w:start w:w="120" w:type="dxa"/>
              <w:bottom w:w="80" w:type="dxa"/>
              <w:end w:w="120" w:type="dxa"/>
            </w:tcMar>
            <w:vAlign w:val="center"/>
          </w:tcPr>
          <w:p>
            <w:r/>
            <w:r>
              <w:rPr>
                <w:rFonts w:ascii="Arial" w:hAnsi="Arial"/>
                <w:b w:val="0"/>
                <w:i w:val="0"/>
                <w:sz w:val="20"/>
              </w:rPr>
              <w:t>Su incertidumbre obliga a mantener stock de seguridad.</w:t>
            </w:r>
          </w:p>
        </w:tc>
      </w:tr>
    </w:tbl>
    <w:p/>
    <w:p>
      <w:pPr>
        <w:pStyle w:val="Heading2"/>
      </w:pPr>
      <w:r>
        <w:rPr>
          <w:rFonts w:ascii="Arial" w:hAnsi="Arial"/>
          <w:b/>
          <w:i w:val="0"/>
          <w:color w:val="1F4E79"/>
          <w:sz w:val="28"/>
        </w:rPr>
        <w:t>Costos y compromiso</w:t>
      </w:r>
    </w:p>
    <w:p>
      <w:r>
        <w:rPr>
          <w:rFonts w:ascii="Arial" w:hAnsi="Arial"/>
          <w:b w:val="0"/>
          <w:i w:val="0"/>
          <w:sz w:val="24"/>
        </w:rPr>
        <w:t>El modelo calcula el costo total mensual como la suma de tres componentes: flete de los pedidos, costo de almacenamiento y costo por ventas perdidas cuando no hay combustible. No existe una regla universal que minimice cada costo por separado; la política adecuada es la que minimiza su suma.</w:t>
      </w:r>
    </w:p>
    <w:p>
      <w:r>
        <w:rPr>
          <w:rFonts w:ascii="Arial" w:hAnsi="Arial"/>
          <w:b w:val="0"/>
          <w:i w:val="0"/>
          <w:sz w:val="24"/>
        </w:rPr>
        <w:t>En el gráfico de dientes de sierra, las bajadas reflejan ventas y los saltos hacia arriba corresponden a entregas. Si la curva toca el nivel cero, existe faltante. El gráfico permite explicar visualmente la política antes de hablar de costos.</w:t>
      </w:r>
    </w:p>
    <w:tbl>
      <w:tblPr>
        <w:tblW w:type="dxa" w:w="9360"/>
        <w:jc w:val="left"/>
        <w:tblLayout w:type="fixed"/>
        <w:tblLook w:firstColumn="1" w:firstRow="1" w:lastColumn="0" w:lastRow="0" w:noHBand="0" w:noVBand="1" w:val="04A0"/>
        <w:tblInd w:type="dxa" w:w="0"/>
      </w:tblPr>
      <w:tblGrid>
        <w:gridCol w:w="9360"/>
      </w:tblGrid>
      <w:tr>
        <w:trPr/>
        <w:tc>
          <w:tcPr>
            <w:tcW w:type="dxa" w:w="9360"/>
            <w:shd w:fill="F3F7FA"/>
            <w:tcMar>
              <w:top w:w="80" w:type="dxa"/>
              <w:start w:w="120" w:type="dxa"/>
              <w:bottom w:w="80" w:type="dxa"/>
              <w:end w:w="120" w:type="dxa"/>
            </w:tcMar>
          </w:tcPr>
          <w:p>
            <w:r>
              <w:rPr>
                <w:rFonts w:ascii="Arial" w:hAnsi="Arial"/>
                <w:b/>
                <w:i w:val="0"/>
                <w:color w:val="1F4E79"/>
                <w:sz w:val="24"/>
              </w:rPr>
              <w:t xml:space="preserve">Lectura rápida. </w:t>
            </w:r>
            <w:r>
              <w:rPr>
                <w:rFonts w:ascii="Arial" w:hAnsi="Arial"/>
                <w:b w:val="0"/>
                <w:i w:val="0"/>
                <w:sz w:val="24"/>
              </w:rPr>
              <w:t>Pedir muy tarde aumenta el riesgo de faltante. Pedir demasiado temprano o demasiado aumenta el stock promedio. La decisión consiste en balancear ambos riesgos.</w:t>
            </w:r>
          </w:p>
        </w:tc>
      </w:tr>
    </w:tbl>
    <w:p/>
    <w:p>
      <w:pPr>
        <w:pStyle w:val="Heading1"/>
      </w:pPr>
      <w:r>
        <w:rPr>
          <w:rFonts w:ascii="Arial" w:hAnsi="Arial"/>
          <w:b/>
          <w:i w:val="0"/>
          <w:color w:val="1F4E79"/>
          <w:sz w:val="32"/>
        </w:rPr>
        <w:t>7. Estadística de las réplicas</w:t>
      </w:r>
    </w:p>
    <w:p>
      <w:r>
        <w:rPr>
          <w:rFonts w:ascii="Arial" w:hAnsi="Arial"/>
          <w:b w:val="0"/>
          <w:i w:val="0"/>
          <w:sz w:val="24"/>
        </w:rPr>
        <w:t>Una sola corrida es una muestra de un proceso aleatorio. Por esa razón, el simulador ejecuta varias réplicas independientes con semillas distintas. Cada réplica produce una medida diferente; el promedio resume el resultado esperado y el intervalo de confianza expresa la precisión de esa estimación.</w:t>
      </w:r>
    </w:p>
    <w:p>
      <w:pPr>
        <w:pStyle w:val="Heading2"/>
      </w:pPr>
      <w:r>
        <w:rPr>
          <w:rFonts w:ascii="Arial" w:hAnsi="Arial"/>
          <w:b/>
          <w:i w:val="0"/>
          <w:color w:val="1F4E79"/>
          <w:sz w:val="28"/>
        </w:rPr>
        <w:t>Intervalo de confianza del 95 %</w:t>
      </w:r>
    </w:p>
    <w:p>
      <w:r>
        <w:rPr>
          <w:rFonts w:ascii="Arial" w:hAnsi="Arial"/>
          <w:b w:val="0"/>
          <w:i w:val="0"/>
          <w:sz w:val="24"/>
        </w:rPr>
        <w:t>Un intervalo de confianza del 95 % se informa alrededor de un promedio. Si el experimento completo se repitiera muchas veces, aproximadamente el 95 % de los intervalos construidos de la misma manera contendrían el valor medio verdadero del sistema. Un intervalo angosto indica una estimación más precisa que uno ancho.</w:t>
      </w:r>
    </w:p>
    <w:p>
      <w:pPr>
        <w:pStyle w:val="Heading2"/>
      </w:pPr>
      <w:r>
        <w:rPr>
          <w:rFonts w:ascii="Arial" w:hAnsi="Arial"/>
          <w:b/>
          <w:i w:val="0"/>
          <w:color w:val="1F4E79"/>
          <w:sz w:val="28"/>
        </w:rPr>
        <w:t>Calentamiento y números aleatorios comunes</w:t>
      </w:r>
    </w:p>
    <w:p>
      <w:r>
        <w:rPr>
          <w:rFonts w:ascii="Arial" w:hAnsi="Arial"/>
          <w:b w:val="0"/>
          <w:i w:val="0"/>
          <w:sz w:val="24"/>
        </w:rPr>
        <w:t>El período de calentamiento evita medir una condición inicial poco representativa: la estación comienza vacía y con el tanque lleno, algo que no necesariamente refleja la operación regular. Se simula ese transitorio, pero no se lo usa para calcular indicadores.</w:t>
      </w:r>
    </w:p>
    <w:p>
      <w:r>
        <w:rPr>
          <w:rFonts w:ascii="Arial" w:hAnsi="Arial"/>
          <w:b w:val="0"/>
          <w:i w:val="0"/>
          <w:sz w:val="24"/>
        </w:rPr>
        <w:t>Al comparar escenarios, se usan números aleatorios comunes: las alternativas reciben la misma secuencia de llegadas, demandas y plazos de entrega. Así, las diferencias observadas se deben principalmente a la decisión evaluada y no a que un escenario tuvo, por azar, un mes más fácil.</w:t>
      </w:r>
    </w:p>
    <w:p>
      <w:pPr>
        <w:pStyle w:val="Heading1"/>
      </w:pPr>
      <w:r>
        <w:rPr>
          <w:rFonts w:ascii="Arial" w:hAnsi="Arial"/>
          <w:b/>
          <w:i w:val="0"/>
          <w:color w:val="1F4E79"/>
          <w:sz w:val="32"/>
        </w:rPr>
        <w:t>8. Cómo recorrer la aplicación y explicar sus resultados</w:t>
      </w:r>
    </w:p>
    <w:p>
      <w:pPr>
        <w:pStyle w:val="Heading2"/>
      </w:pPr>
      <w:r>
        <w:rPr>
          <w:rFonts w:ascii="Arial" w:hAnsi="Arial"/>
          <w:b/>
          <w:i w:val="0"/>
          <w:color w:val="1F4E79"/>
          <w:sz w:val="28"/>
        </w:rPr>
        <w:t>Animación</w:t>
      </w:r>
    </w:p>
    <w:p>
      <w:r>
        <w:rPr>
          <w:rFonts w:ascii="Arial" w:hAnsi="Arial"/>
          <w:b w:val="0"/>
          <w:i w:val="0"/>
          <w:sz w:val="24"/>
        </w:rPr>
        <w:t>Usala para presentar el mecanismo. Mostrá el reloj, las llegadas, el estado de los surtidores, el crecimiento de la cola y la evolución del tanque. Aclaración importante: es una realización posible, no un promedio estadístico.</w:t>
      </w:r>
    </w:p>
    <w:p>
      <w:pPr>
        <w:pStyle w:val="Heading2"/>
      </w:pPr>
      <w:r>
        <w:rPr>
          <w:rFonts w:ascii="Arial" w:hAnsi="Arial"/>
          <w:b/>
          <w:i w:val="0"/>
          <w:color w:val="1F4E79"/>
          <w:sz w:val="28"/>
        </w:rPr>
        <w:t>Indicadores</w:t>
      </w:r>
    </w:p>
    <w:p>
      <w:r>
        <w:rPr>
          <w:rFonts w:ascii="Arial" w:hAnsi="Arial"/>
          <w:b w:val="0"/>
          <w:i w:val="0"/>
          <w:sz w:val="24"/>
        </w:rPr>
        <w:t>Empezá por Wq y Lq para describir la experiencia de espera. Después observá la utilización para identificar qué recurso está más exigido. Compará promedio e intervalo de confianza: un promedio solo no comunica toda la incertidumbre.</w:t>
      </w:r>
    </w:p>
    <w:p>
      <w:pPr>
        <w:pStyle w:val="Heading2"/>
      </w:pPr>
      <w:r>
        <w:rPr>
          <w:rFonts w:ascii="Arial" w:hAnsi="Arial"/>
          <w:b/>
          <w:i w:val="0"/>
          <w:color w:val="1F4E79"/>
          <w:sz w:val="28"/>
        </w:rPr>
        <w:t>Demanda</w:t>
      </w:r>
    </w:p>
    <w:p>
      <w:r>
        <w:rPr>
          <w:rFonts w:ascii="Arial" w:hAnsi="Arial"/>
          <w:b w:val="0"/>
          <w:i w:val="0"/>
          <w:sz w:val="24"/>
        </w:rPr>
        <w:t>Explicá que la tabla transforma frecuencias en probabilidades y luego en intervalos aleatorios. Mostrá que cada día recibe un número aleatorio y, por lo tanto, una demanda. El objetivo es respetar la evidencia empírica sin asumir una distribución arbitraria.</w:t>
      </w:r>
    </w:p>
    <w:p>
      <w:pPr>
        <w:pStyle w:val="Heading2"/>
      </w:pPr>
      <w:r>
        <w:rPr>
          <w:rFonts w:ascii="Arial" w:hAnsi="Arial"/>
          <w:b/>
          <w:i w:val="0"/>
          <w:color w:val="1F4E79"/>
          <w:sz w:val="28"/>
        </w:rPr>
        <w:t>Inventario</w:t>
      </w:r>
    </w:p>
    <w:p>
      <w:r>
        <w:rPr>
          <w:rFonts w:ascii="Arial" w:hAnsi="Arial"/>
          <w:b w:val="0"/>
          <w:i w:val="0"/>
          <w:sz w:val="24"/>
        </w:rPr>
        <w:t>Primero interpretá la serie del tanque. Luego compará políticas (s, Q) por costo total y por componentes. Una política barata por flete puede ser cara por faltantes; la tabla permite justificar por qué se prefiere una alternativa.</w:t>
      </w:r>
    </w:p>
    <w:p>
      <w:pPr>
        <w:pStyle w:val="Heading2"/>
      </w:pPr>
      <w:r>
        <w:rPr>
          <w:rFonts w:ascii="Arial" w:hAnsi="Arial"/>
          <w:b/>
          <w:i w:val="0"/>
          <w:color w:val="1F4E79"/>
          <w:sz w:val="28"/>
        </w:rPr>
        <w:t>Escenarios y economía</w:t>
      </w:r>
    </w:p>
    <w:p>
      <w:r>
        <w:rPr>
          <w:rFonts w:ascii="Arial" w:hAnsi="Arial"/>
          <w:b w:val="0"/>
          <w:i w:val="0"/>
          <w:sz w:val="24"/>
        </w:rPr>
        <w:t>Compará Base, A, B y C contra el mismo punto de partida. Separá el efecto operativo (esperas, abandono, utilización) del efecto económico (inversión, beneficio neto y repago). Una mejora operativa no necesariamente compensa su inversión.</w:t>
      </w:r>
    </w:p>
    <w:p>
      <w:pPr>
        <w:pStyle w:val="Heading2"/>
      </w:pPr>
      <w:r>
        <w:rPr>
          <w:rFonts w:ascii="Arial" w:hAnsi="Arial"/>
          <w:b/>
          <w:i w:val="0"/>
          <w:color w:val="1F4E79"/>
          <w:sz w:val="28"/>
        </w:rPr>
        <w:t>Conclusión</w:t>
      </w:r>
    </w:p>
    <w:p>
      <w:r>
        <w:rPr>
          <w:rFonts w:ascii="Arial" w:hAnsi="Arial"/>
          <w:b w:val="0"/>
          <w:i w:val="0"/>
          <w:sz w:val="24"/>
        </w:rPr>
        <w:t>La conclusión debe responder cuál es el cuello de botella y qué acción tiene mejor relación entre beneficio y costo. Relacioná siempre la recomendación con los indicadores observados, no solo con una intuición.</w:t>
      </w:r>
    </w:p>
    <w:p>
      <w:pPr>
        <w:pStyle w:val="Heading1"/>
      </w:pPr>
      <w:r>
        <w:rPr>
          <w:rFonts w:ascii="Arial" w:hAnsi="Arial"/>
          <w:b/>
          <w:i w:val="0"/>
          <w:color w:val="1F4E79"/>
          <w:sz w:val="32"/>
        </w:rPr>
        <w:t>9. Guion breve para una defensa oral</w:t>
      </w:r>
    </w:p>
    <w:p>
      <w:pPr>
        <w:pStyle w:val="ListNumber"/>
      </w:pPr>
      <w:r>
        <w:rPr>
          <w:rFonts w:ascii="Arial" w:hAnsi="Arial"/>
          <w:b w:val="0"/>
          <w:i w:val="0"/>
          <w:sz w:val="24"/>
        </w:rPr>
        <w:t>Presentar el sistema: una estación combina atención de autos, minimarket e inventario de combustible.</w:t>
      </w:r>
    </w:p>
    <w:p>
      <w:pPr>
        <w:pStyle w:val="ListNumber"/>
      </w:pPr>
      <w:r>
        <w:rPr>
          <w:rFonts w:ascii="Arial" w:hAnsi="Arial"/>
          <w:b w:val="0"/>
          <w:i w:val="0"/>
          <w:sz w:val="24"/>
        </w:rPr>
        <w:t>Explicar la incertidumbre: demanda diaria, llegadas, servicios y entrega de combustible son variables aleatorias.</w:t>
      </w:r>
    </w:p>
    <w:p>
      <w:pPr>
        <w:pStyle w:val="ListNumber"/>
      </w:pPr>
      <w:r>
        <w:rPr>
          <w:rFonts w:ascii="Arial" w:hAnsi="Arial"/>
          <w:b w:val="0"/>
          <w:i w:val="0"/>
          <w:sz w:val="24"/>
        </w:rPr>
        <w:t>Mostrar la lógica de colas: cuando la demanda supera temporalmente la capacidad, aparecen espera y abandono.</w:t>
      </w:r>
    </w:p>
    <w:p>
      <w:pPr>
        <w:pStyle w:val="ListNumber"/>
      </w:pPr>
      <w:r>
        <w:rPr>
          <w:rFonts w:ascii="Arial" w:hAnsi="Arial"/>
          <w:b w:val="0"/>
          <w:i w:val="0"/>
          <w:sz w:val="24"/>
        </w:rPr>
        <w:t>Explicar Monte Carlo: la demanda diaria se sortea desde una tabla de frecuencias, manteniendo sus probabilidades.</w:t>
      </w:r>
    </w:p>
    <w:p>
      <w:pPr>
        <w:pStyle w:val="ListNumber"/>
      </w:pPr>
      <w:r>
        <w:rPr>
          <w:rFonts w:ascii="Arial" w:hAnsi="Arial"/>
          <w:b w:val="0"/>
          <w:i w:val="0"/>
          <w:sz w:val="24"/>
        </w:rPr>
        <w:t>Explicar inventario: la política (s, Q) define cuándo y cuánto pedir, equilibrando faltantes, flete y almacenamiento.</w:t>
      </w:r>
    </w:p>
    <w:p>
      <w:pPr>
        <w:pStyle w:val="ListNumber"/>
      </w:pPr>
      <w:r>
        <w:rPr>
          <w:rFonts w:ascii="Arial" w:hAnsi="Arial"/>
          <w:b w:val="0"/>
          <w:i w:val="0"/>
          <w:sz w:val="24"/>
        </w:rPr>
        <w:t>Mostrar los indicadores y sus intervalos de confianza. Mencionar la ley de Little como validación de coherencia.</w:t>
      </w:r>
    </w:p>
    <w:p>
      <w:pPr>
        <w:pStyle w:val="ListNumber"/>
      </w:pPr>
      <w:r>
        <w:rPr>
          <w:rFonts w:ascii="Arial" w:hAnsi="Arial"/>
          <w:b w:val="0"/>
          <w:i w:val="0"/>
          <w:sz w:val="24"/>
        </w:rPr>
        <w:t>Comparar escenarios en igualdad de condiciones mediante números aleatorios comunes y cerrar con una recomendación económica.</w:t>
      </w:r>
    </w:p>
    <w:p>
      <w:pPr>
        <w:pStyle w:val="Heading1"/>
      </w:pPr>
      <w:r>
        <w:rPr>
          <w:rFonts w:ascii="Arial" w:hAnsi="Arial"/>
          <w:b/>
          <w:i w:val="0"/>
          <w:color w:val="1F4E79"/>
          <w:sz w:val="32"/>
        </w:rPr>
        <w:t>10. Preguntas frecuentes</w:t>
      </w:r>
    </w:p>
    <w:p>
      <w:pPr>
        <w:pStyle w:val="Heading3"/>
      </w:pPr>
      <w:r>
        <w:rPr>
          <w:rFonts w:ascii="Arial" w:hAnsi="Arial"/>
          <w:b/>
          <w:i w:val="0"/>
          <w:color w:val="1F4E79"/>
          <w:sz w:val="24"/>
        </w:rPr>
        <w:t>¿Por qué se usa una llegada exponencial?</w:t>
      </w:r>
    </w:p>
    <w:p>
      <w:r>
        <w:rPr>
          <w:rFonts w:ascii="Arial" w:hAnsi="Arial"/>
          <w:b w:val="0"/>
          <w:i w:val="0"/>
          <w:sz w:val="24"/>
        </w:rPr>
        <w:t>Porque describe tiempos entre llegadas independientes cuando la tasa es aproximadamente constante dentro de una franja horaria. La cantidad de llegadas en esa franja se vincula con la distribución de Poisson.</w:t>
      </w:r>
    </w:p>
    <w:p>
      <w:pPr>
        <w:pStyle w:val="Heading3"/>
      </w:pPr>
      <w:r>
        <w:rPr>
          <w:rFonts w:ascii="Arial" w:hAnsi="Arial"/>
          <w:b/>
          <w:i w:val="0"/>
          <w:color w:val="1F4E79"/>
          <w:sz w:val="24"/>
        </w:rPr>
        <w:t>¿Por qué la atención es triangular?</w:t>
      </w:r>
    </w:p>
    <w:p>
      <w:r>
        <w:rPr>
          <w:rFonts w:ascii="Arial" w:hAnsi="Arial"/>
          <w:b w:val="0"/>
          <w:i w:val="0"/>
          <w:sz w:val="24"/>
        </w:rPr>
        <w:t>Porque permite representar un mínimo, un valor más probable y un máximo cuando no hay suficientes datos para justificar una distribución más precisa.</w:t>
      </w:r>
    </w:p>
    <w:p>
      <w:pPr>
        <w:pStyle w:val="Heading3"/>
      </w:pPr>
      <w:r>
        <w:rPr>
          <w:rFonts w:ascii="Arial" w:hAnsi="Arial"/>
          <w:b/>
          <w:i w:val="0"/>
          <w:color w:val="1F4E79"/>
          <w:sz w:val="24"/>
        </w:rPr>
        <w:t>¿Por qué hay varias réplicas?</w:t>
      </w:r>
    </w:p>
    <w:p>
      <w:r>
        <w:rPr>
          <w:rFonts w:ascii="Arial" w:hAnsi="Arial"/>
          <w:b w:val="0"/>
          <w:i w:val="0"/>
          <w:sz w:val="24"/>
        </w:rPr>
        <w:t>Porque una sola corrida puede ser atípica. Varias réplicas permiten estimar un promedio y expresar la incertidumbre mediante un intervalo de confianza.</w:t>
      </w:r>
    </w:p>
    <w:p>
      <w:pPr>
        <w:pStyle w:val="Heading3"/>
      </w:pPr>
      <w:r>
        <w:rPr>
          <w:rFonts w:ascii="Arial" w:hAnsi="Arial"/>
          <w:b/>
          <w:i w:val="0"/>
          <w:color w:val="1F4E79"/>
          <w:sz w:val="24"/>
        </w:rPr>
        <w:t>¿Por qué una utilización moderada puede coexistir con esperas?</w:t>
      </w:r>
    </w:p>
    <w:p>
      <w:r>
        <w:rPr>
          <w:rFonts w:ascii="Arial" w:hAnsi="Arial"/>
          <w:b w:val="0"/>
          <w:i w:val="0"/>
          <w:sz w:val="24"/>
        </w:rPr>
        <w:t>La utilización es un promedio. En horas pico puede haber saturación transitoria aunque, al promediar las 24 horas, la capacidad parezca holgada.</w:t>
      </w:r>
    </w:p>
    <w:p>
      <w:pPr>
        <w:pStyle w:val="Heading3"/>
      </w:pPr>
      <w:r>
        <w:rPr>
          <w:rFonts w:ascii="Arial" w:hAnsi="Arial"/>
          <w:b/>
          <w:i w:val="0"/>
          <w:color w:val="1F4E79"/>
          <w:sz w:val="24"/>
        </w:rPr>
        <w:t>¿Qué valida que el modelo sea razonable?</w:t>
      </w:r>
    </w:p>
    <w:p>
      <w:r>
        <w:rPr>
          <w:rFonts w:ascii="Arial" w:hAnsi="Arial"/>
          <w:b w:val="0"/>
          <w:i w:val="0"/>
          <w:sz w:val="24"/>
        </w:rPr>
        <w:t>Se realizan controles de reproducibilidad, conservación de clientes y litros, ley de Little, límites de utilización, comportamiento de la demanda y reacción esperada ante cambios de capacidad e inventario.</w:t>
      </w:r>
    </w:p>
    <w:p>
      <w:pPr>
        <w:pStyle w:val="Heading1"/>
      </w:pPr>
      <w:r>
        <w:rPr>
          <w:rFonts w:ascii="Arial" w:hAnsi="Arial"/>
          <w:b/>
          <w:i w:val="0"/>
          <w:color w:val="1F4E79"/>
          <w:sz w:val="32"/>
        </w:rPr>
        <w:t>11. Glosario esencial</w:t>
      </w:r>
    </w:p>
    <w:tbl>
      <w:tblPr>
        <w:tblStyle w:val="TableGrid"/>
        <w:tblW w:type="dxa" w:w="9360"/>
        <w:jc w:val="left"/>
        <w:tblLayout w:type="fixed"/>
        <w:tblLook w:firstColumn="1" w:firstRow="1" w:lastColumn="0" w:lastRow="0" w:noHBand="0" w:noVBand="1" w:val="04A0"/>
        <w:tblInd w:type="dxa" w:w="0"/>
      </w:tblPr>
      <w:tblGrid>
        <w:gridCol w:w="2427"/>
        <w:gridCol w:w="6933"/>
      </w:tblGrid>
      <w:tr>
        <w:trPr>
          <w:tblHeader w:val="true"/>
        </w:trPr>
        <w:tc>
          <w:tcPr>
            <w:tcW w:type="dxa" w:w="2427"/>
            <w:shd w:fill="EAF2F8"/>
            <w:tcMar>
              <w:top w:w="80" w:type="dxa"/>
              <w:start w:w="120" w:type="dxa"/>
              <w:bottom w:w="80" w:type="dxa"/>
              <w:end w:w="120" w:type="dxa"/>
            </w:tcMar>
            <w:vAlign w:val="center"/>
          </w:tcPr>
          <w:p>
            <w:r/>
            <w:r>
              <w:rPr>
                <w:rFonts w:ascii="Arial" w:hAnsi="Arial"/>
                <w:b/>
                <w:i w:val="0"/>
                <w:color w:val="1F4E79"/>
                <w:sz w:val="20"/>
              </w:rPr>
              <w:t>Término</w:t>
            </w:r>
          </w:p>
        </w:tc>
        <w:tc>
          <w:tcPr>
            <w:tcW w:type="dxa" w:w="6933"/>
            <w:shd w:fill="EAF2F8"/>
            <w:tcMar>
              <w:top w:w="80" w:type="dxa"/>
              <w:start w:w="120" w:type="dxa"/>
              <w:bottom w:w="80" w:type="dxa"/>
              <w:end w:w="120" w:type="dxa"/>
            </w:tcMar>
            <w:vAlign w:val="center"/>
          </w:tcPr>
          <w:p>
            <w:r/>
            <w:r>
              <w:rPr>
                <w:rFonts w:ascii="Arial" w:hAnsi="Arial"/>
                <w:b/>
                <w:i w:val="0"/>
                <w:color w:val="1F4E79"/>
                <w:sz w:val="20"/>
              </w:rPr>
              <w:t>Definición breve</w:t>
            </w:r>
          </w:p>
        </w:tc>
      </w:tr>
      <w:tr>
        <w:trPr/>
        <w:tc>
          <w:tcPr>
            <w:tcW w:type="dxa" w:w="2427"/>
            <w:tcMar>
              <w:top w:w="80" w:type="dxa"/>
              <w:start w:w="120" w:type="dxa"/>
              <w:bottom w:w="80" w:type="dxa"/>
              <w:end w:w="120" w:type="dxa"/>
            </w:tcMar>
            <w:vAlign w:val="center"/>
          </w:tcPr>
          <w:p>
            <w:r/>
            <w:r>
              <w:rPr>
                <w:rFonts w:ascii="Arial" w:hAnsi="Arial"/>
                <w:b w:val="0"/>
                <w:i w:val="0"/>
                <w:sz w:val="20"/>
              </w:rPr>
              <w:t>Abandono</w:t>
            </w:r>
          </w:p>
        </w:tc>
        <w:tc>
          <w:tcPr>
            <w:tcW w:type="dxa" w:w="6933"/>
            <w:tcMar>
              <w:top w:w="80" w:type="dxa"/>
              <w:start w:w="120" w:type="dxa"/>
              <w:bottom w:w="80" w:type="dxa"/>
              <w:end w:w="120" w:type="dxa"/>
            </w:tcMar>
            <w:vAlign w:val="center"/>
          </w:tcPr>
          <w:p>
            <w:r/>
            <w:r>
              <w:rPr>
                <w:rFonts w:ascii="Arial" w:hAnsi="Arial"/>
                <w:b w:val="0"/>
                <w:i w:val="0"/>
                <w:sz w:val="20"/>
              </w:rPr>
              <w:t>Cliente que decide no esperar más y se retira sin recibir servicio.</w:t>
            </w:r>
          </w:p>
        </w:tc>
      </w:tr>
      <w:tr>
        <w:trPr/>
        <w:tc>
          <w:tcPr>
            <w:tcW w:type="dxa" w:w="2427"/>
            <w:tcMar>
              <w:top w:w="80" w:type="dxa"/>
              <w:start w:w="120" w:type="dxa"/>
              <w:bottom w:w="80" w:type="dxa"/>
              <w:end w:w="120" w:type="dxa"/>
            </w:tcMar>
            <w:vAlign w:val="center"/>
          </w:tcPr>
          <w:p>
            <w:r/>
            <w:r>
              <w:rPr>
                <w:rFonts w:ascii="Arial" w:hAnsi="Arial"/>
                <w:b w:val="0"/>
                <w:i w:val="0"/>
                <w:sz w:val="20"/>
              </w:rPr>
              <w:t>Cuello de botella</w:t>
            </w:r>
          </w:p>
        </w:tc>
        <w:tc>
          <w:tcPr>
            <w:tcW w:type="dxa" w:w="6933"/>
            <w:tcMar>
              <w:top w:w="80" w:type="dxa"/>
              <w:start w:w="120" w:type="dxa"/>
              <w:bottom w:w="80" w:type="dxa"/>
              <w:end w:w="120" w:type="dxa"/>
            </w:tcMar>
            <w:vAlign w:val="center"/>
          </w:tcPr>
          <w:p>
            <w:r/>
            <w:r>
              <w:rPr>
                <w:rFonts w:ascii="Arial" w:hAnsi="Arial"/>
                <w:b w:val="0"/>
                <w:i w:val="0"/>
                <w:sz w:val="20"/>
              </w:rPr>
              <w:t>Recurso o condición que limita el desempeño global del sistema.</w:t>
            </w:r>
          </w:p>
        </w:tc>
      </w:tr>
      <w:tr>
        <w:trPr/>
        <w:tc>
          <w:tcPr>
            <w:tcW w:type="dxa" w:w="2427"/>
            <w:tcMar>
              <w:top w:w="80" w:type="dxa"/>
              <w:start w:w="120" w:type="dxa"/>
              <w:bottom w:w="80" w:type="dxa"/>
              <w:end w:w="120" w:type="dxa"/>
            </w:tcMar>
            <w:vAlign w:val="center"/>
          </w:tcPr>
          <w:p>
            <w:r/>
            <w:r>
              <w:rPr>
                <w:rFonts w:ascii="Arial" w:hAnsi="Arial"/>
                <w:b w:val="0"/>
                <w:i w:val="0"/>
                <w:sz w:val="20"/>
              </w:rPr>
              <w:t>Demanda</w:t>
            </w:r>
          </w:p>
        </w:tc>
        <w:tc>
          <w:tcPr>
            <w:tcW w:type="dxa" w:w="6933"/>
            <w:tcMar>
              <w:top w:w="80" w:type="dxa"/>
              <w:start w:w="120" w:type="dxa"/>
              <w:bottom w:w="80" w:type="dxa"/>
              <w:end w:w="120" w:type="dxa"/>
            </w:tcMar>
            <w:vAlign w:val="center"/>
          </w:tcPr>
          <w:p>
            <w:r/>
            <w:r>
              <w:rPr>
                <w:rFonts w:ascii="Arial" w:hAnsi="Arial"/>
                <w:b w:val="0"/>
                <w:i w:val="0"/>
                <w:sz w:val="20"/>
              </w:rPr>
              <w:t>Cantidad de clientes o litros requeridos en un período.</w:t>
            </w:r>
          </w:p>
        </w:tc>
      </w:tr>
      <w:tr>
        <w:trPr/>
        <w:tc>
          <w:tcPr>
            <w:tcW w:type="dxa" w:w="2427"/>
            <w:tcMar>
              <w:top w:w="80" w:type="dxa"/>
              <w:start w:w="120" w:type="dxa"/>
              <w:bottom w:w="80" w:type="dxa"/>
              <w:end w:w="120" w:type="dxa"/>
            </w:tcMar>
            <w:vAlign w:val="center"/>
          </w:tcPr>
          <w:p>
            <w:r/>
            <w:r>
              <w:rPr>
                <w:rFonts w:ascii="Arial" w:hAnsi="Arial"/>
                <w:b w:val="0"/>
                <w:i w:val="0"/>
                <w:sz w:val="20"/>
              </w:rPr>
              <w:t>Evento discreto</w:t>
            </w:r>
          </w:p>
        </w:tc>
        <w:tc>
          <w:tcPr>
            <w:tcW w:type="dxa" w:w="6933"/>
            <w:tcMar>
              <w:top w:w="80" w:type="dxa"/>
              <w:start w:w="120" w:type="dxa"/>
              <w:bottom w:w="80" w:type="dxa"/>
              <w:end w:w="120" w:type="dxa"/>
            </w:tcMar>
            <w:vAlign w:val="center"/>
          </w:tcPr>
          <w:p>
            <w:r/>
            <w:r>
              <w:rPr>
                <w:rFonts w:ascii="Arial" w:hAnsi="Arial"/>
                <w:b w:val="0"/>
                <w:i w:val="0"/>
                <w:sz w:val="20"/>
              </w:rPr>
              <w:t>Cambio puntual que modifica el estado del sistema.</w:t>
            </w:r>
          </w:p>
        </w:tc>
      </w:tr>
      <w:tr>
        <w:trPr/>
        <w:tc>
          <w:tcPr>
            <w:tcW w:type="dxa" w:w="2427"/>
            <w:tcMar>
              <w:top w:w="80" w:type="dxa"/>
              <w:start w:w="120" w:type="dxa"/>
              <w:bottom w:w="80" w:type="dxa"/>
              <w:end w:w="120" w:type="dxa"/>
            </w:tcMar>
            <w:vAlign w:val="center"/>
          </w:tcPr>
          <w:p>
            <w:r/>
            <w:r>
              <w:rPr>
                <w:rFonts w:ascii="Arial" w:hAnsi="Arial"/>
                <w:b w:val="0"/>
                <w:i w:val="0"/>
                <w:sz w:val="20"/>
              </w:rPr>
              <w:t>IC 95 %</w:t>
            </w:r>
          </w:p>
        </w:tc>
        <w:tc>
          <w:tcPr>
            <w:tcW w:type="dxa" w:w="6933"/>
            <w:tcMar>
              <w:top w:w="80" w:type="dxa"/>
              <w:start w:w="120" w:type="dxa"/>
              <w:bottom w:w="80" w:type="dxa"/>
              <w:end w:w="120" w:type="dxa"/>
            </w:tcMar>
            <w:vAlign w:val="center"/>
          </w:tcPr>
          <w:p>
            <w:r/>
            <w:r>
              <w:rPr>
                <w:rFonts w:ascii="Arial" w:hAnsi="Arial"/>
                <w:b w:val="0"/>
                <w:i w:val="0"/>
                <w:sz w:val="20"/>
              </w:rPr>
              <w:t>Rango que expresa la precisión de una estimación basada en réplicas.</w:t>
            </w:r>
          </w:p>
        </w:tc>
      </w:tr>
      <w:tr>
        <w:trPr/>
        <w:tc>
          <w:tcPr>
            <w:tcW w:type="dxa" w:w="2427"/>
            <w:tcMar>
              <w:top w:w="80" w:type="dxa"/>
              <w:start w:w="120" w:type="dxa"/>
              <w:bottom w:w="80" w:type="dxa"/>
              <w:end w:w="120" w:type="dxa"/>
            </w:tcMar>
            <w:vAlign w:val="center"/>
          </w:tcPr>
          <w:p>
            <w:r/>
            <w:r>
              <w:rPr>
                <w:rFonts w:ascii="Arial" w:hAnsi="Arial"/>
                <w:b w:val="0"/>
                <w:i w:val="0"/>
                <w:sz w:val="20"/>
              </w:rPr>
              <w:t>PEPS/FIFO</w:t>
            </w:r>
          </w:p>
        </w:tc>
        <w:tc>
          <w:tcPr>
            <w:tcW w:type="dxa" w:w="6933"/>
            <w:tcMar>
              <w:top w:w="80" w:type="dxa"/>
              <w:start w:w="120" w:type="dxa"/>
              <w:bottom w:w="80" w:type="dxa"/>
              <w:end w:w="120" w:type="dxa"/>
            </w:tcMar>
            <w:vAlign w:val="center"/>
          </w:tcPr>
          <w:p>
            <w:r/>
            <w:r>
              <w:rPr>
                <w:rFonts w:ascii="Arial" w:hAnsi="Arial"/>
                <w:b w:val="0"/>
                <w:i w:val="0"/>
                <w:sz w:val="20"/>
              </w:rPr>
              <w:t>Primero en entrar, primero en salir.</w:t>
            </w:r>
          </w:p>
        </w:tc>
      </w:tr>
      <w:tr>
        <w:trPr/>
        <w:tc>
          <w:tcPr>
            <w:tcW w:type="dxa" w:w="2427"/>
            <w:tcMar>
              <w:top w:w="80" w:type="dxa"/>
              <w:start w:w="120" w:type="dxa"/>
              <w:bottom w:w="80" w:type="dxa"/>
              <w:end w:w="120" w:type="dxa"/>
            </w:tcMar>
            <w:vAlign w:val="center"/>
          </w:tcPr>
          <w:p>
            <w:r/>
            <w:r>
              <w:rPr>
                <w:rFonts w:ascii="Arial" w:hAnsi="Arial"/>
                <w:b w:val="0"/>
                <w:i w:val="0"/>
                <w:sz w:val="20"/>
              </w:rPr>
              <w:t>Réplica</w:t>
            </w:r>
          </w:p>
        </w:tc>
        <w:tc>
          <w:tcPr>
            <w:tcW w:type="dxa" w:w="6933"/>
            <w:tcMar>
              <w:top w:w="80" w:type="dxa"/>
              <w:start w:w="120" w:type="dxa"/>
              <w:bottom w:w="80" w:type="dxa"/>
              <w:end w:w="120" w:type="dxa"/>
            </w:tcMar>
            <w:vAlign w:val="center"/>
          </w:tcPr>
          <w:p>
            <w:r/>
            <w:r>
              <w:rPr>
                <w:rFonts w:ascii="Arial" w:hAnsi="Arial"/>
                <w:b w:val="0"/>
                <w:i w:val="0"/>
                <w:sz w:val="20"/>
              </w:rPr>
              <w:t>Ejecución independiente y completa de la simulación.</w:t>
            </w:r>
          </w:p>
        </w:tc>
      </w:tr>
      <w:tr>
        <w:trPr/>
        <w:tc>
          <w:tcPr>
            <w:tcW w:type="dxa" w:w="2427"/>
            <w:tcMar>
              <w:top w:w="80" w:type="dxa"/>
              <w:start w:w="120" w:type="dxa"/>
              <w:bottom w:w="80" w:type="dxa"/>
              <w:end w:w="120" w:type="dxa"/>
            </w:tcMar>
            <w:vAlign w:val="center"/>
          </w:tcPr>
          <w:p>
            <w:r/>
            <w:r>
              <w:rPr>
                <w:rFonts w:ascii="Arial" w:hAnsi="Arial"/>
                <w:b w:val="0"/>
                <w:i w:val="0"/>
                <w:sz w:val="20"/>
              </w:rPr>
              <w:t>Semilla</w:t>
            </w:r>
          </w:p>
        </w:tc>
        <w:tc>
          <w:tcPr>
            <w:tcW w:type="dxa" w:w="6933"/>
            <w:tcMar>
              <w:top w:w="80" w:type="dxa"/>
              <w:start w:w="120" w:type="dxa"/>
              <w:bottom w:w="80" w:type="dxa"/>
              <w:end w:w="120" w:type="dxa"/>
            </w:tcMar>
            <w:vAlign w:val="center"/>
          </w:tcPr>
          <w:p>
            <w:r/>
            <w:r>
              <w:rPr>
                <w:rFonts w:ascii="Arial" w:hAnsi="Arial"/>
                <w:b w:val="0"/>
                <w:i w:val="0"/>
                <w:sz w:val="20"/>
              </w:rPr>
              <w:t>Valor inicial que permite reproducir una secuencia aleatoria.</w:t>
            </w:r>
          </w:p>
        </w:tc>
      </w:tr>
      <w:tr>
        <w:trPr/>
        <w:tc>
          <w:tcPr>
            <w:tcW w:type="dxa" w:w="2427"/>
            <w:tcMar>
              <w:top w:w="80" w:type="dxa"/>
              <w:start w:w="120" w:type="dxa"/>
              <w:bottom w:w="80" w:type="dxa"/>
              <w:end w:w="120" w:type="dxa"/>
            </w:tcMar>
            <w:vAlign w:val="center"/>
          </w:tcPr>
          <w:p>
            <w:r/>
            <w:r>
              <w:rPr>
                <w:rFonts w:ascii="Arial" w:hAnsi="Arial"/>
                <w:b w:val="0"/>
                <w:i w:val="0"/>
                <w:sz w:val="20"/>
              </w:rPr>
              <w:t>Stock de seguridad</w:t>
            </w:r>
          </w:p>
        </w:tc>
        <w:tc>
          <w:tcPr>
            <w:tcW w:type="dxa" w:w="6933"/>
            <w:tcMar>
              <w:top w:w="80" w:type="dxa"/>
              <w:start w:w="120" w:type="dxa"/>
              <w:bottom w:w="80" w:type="dxa"/>
              <w:end w:w="120" w:type="dxa"/>
            </w:tcMar>
            <w:vAlign w:val="center"/>
          </w:tcPr>
          <w:p>
            <w:r/>
            <w:r>
              <w:rPr>
                <w:rFonts w:ascii="Arial" w:hAnsi="Arial"/>
                <w:b w:val="0"/>
                <w:i w:val="0"/>
                <w:sz w:val="20"/>
              </w:rPr>
              <w:t>Inventario adicional para protegerse ante variaciones de demanda o entrega.</w:t>
            </w:r>
          </w:p>
        </w:tc>
      </w:tr>
      <w:tr>
        <w:trPr/>
        <w:tc>
          <w:tcPr>
            <w:tcW w:type="dxa" w:w="2427"/>
            <w:tcMar>
              <w:top w:w="80" w:type="dxa"/>
              <w:start w:w="120" w:type="dxa"/>
              <w:bottom w:w="80" w:type="dxa"/>
              <w:end w:w="120" w:type="dxa"/>
            </w:tcMar>
            <w:vAlign w:val="center"/>
          </w:tcPr>
          <w:p>
            <w:r/>
            <w:r>
              <w:rPr>
                <w:rFonts w:ascii="Arial" w:hAnsi="Arial"/>
                <w:b w:val="0"/>
                <w:i w:val="0"/>
                <w:sz w:val="20"/>
              </w:rPr>
              <w:t>Tasa</w:t>
            </w:r>
          </w:p>
        </w:tc>
        <w:tc>
          <w:tcPr>
            <w:tcW w:type="dxa" w:w="6933"/>
            <w:tcMar>
              <w:top w:w="80" w:type="dxa"/>
              <w:start w:w="120" w:type="dxa"/>
              <w:bottom w:w="80" w:type="dxa"/>
              <w:end w:w="120" w:type="dxa"/>
            </w:tcMar>
            <w:vAlign w:val="center"/>
          </w:tcPr>
          <w:p>
            <w:r/>
            <w:r>
              <w:rPr>
                <w:rFonts w:ascii="Arial" w:hAnsi="Arial"/>
                <w:b w:val="0"/>
                <w:i w:val="0"/>
                <w:sz w:val="20"/>
              </w:rPr>
              <w:t>Cantidad promedio de eventos por unidad de tiempo.</w:t>
            </w:r>
          </w:p>
        </w:tc>
      </w:tr>
    </w:tbl>
    <w:p/>
    <w:p>
      <w:pPr>
        <w:pStyle w:val="Heading1"/>
      </w:pPr>
      <w:r>
        <w:rPr>
          <w:rFonts w:ascii="Arial" w:hAnsi="Arial"/>
          <w:b/>
          <w:i w:val="0"/>
          <w:color w:val="1F4E79"/>
          <w:sz w:val="32"/>
        </w:rPr>
        <w:t>Cierre</w:t>
      </w:r>
    </w:p>
    <w:p>
      <w:r>
        <w:rPr>
          <w:rFonts w:ascii="Arial" w:hAnsi="Arial"/>
          <w:b w:val="0"/>
          <w:i w:val="0"/>
          <w:sz w:val="24"/>
        </w:rPr>
        <w:t>La fortaleza del simulador es que reúne colas, Monte Carlo e inventario en una sola decisión operativa. La teoría permite interpretar cada gráfico y tabla con criterio: no se trata de mirar números aislados, sino de entender cómo la variabilidad, la capacidad y el abastecimiento se combinan para afectar el servicio y el resultado económico.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95959"/>
        <w:sz w:val="16"/>
      </w:rPr>
      <w:t xml:space="preserve">Investigación Operativa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color="B7C9D6"/>
      </w:pBdr>
    </w:pPr>
    <w:r>
      <w:rPr>
        <w:rFonts w:ascii="Arial" w:hAnsi="Arial"/>
        <w:b w:val="0"/>
        <w:i w:val="0"/>
        <w:color w:val="595959"/>
        <w:sz w:val="16"/>
      </w:rPr>
      <w:t>SIMULADOR DE ESTACIÓN DE SERVICIO | GUÍA DE ESTUDIO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teórica y de uso del Simulador de Estación de Servicio</dc:title>
  <dc:subject>Investigación Operativa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