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6B7280"/>
          <w:spacing w:val="20"/>
          <w:sz w:val="16"/>
          <w:szCs w:val="16"/>
        </w:rPr>
        <w:t xml:space="preserve">UNIVERSIDAD TECNOLÓGICA NACIONAL  ·  FACULTAD REGIONAL SAN RAFAEL</w:t>
      </w:r>
    </w:p>
    <w:p>
      <w:pPr>
        <w:spacing w:after="360"/>
        <w:jc w:val="center"/>
      </w:pPr>
      <w:r>
        <w:rPr>
          <w:color w:val="6B7280"/>
          <w:spacing w:val="20"/>
          <w:sz w:val="16"/>
          <w:szCs w:val="16"/>
        </w:rPr>
        <w:t xml:space="preserve">INVESTIGACIÓN OPERATIVA  ·  4.º AÑO  ·  SEGUNDO SEMESTRE</w:t>
      </w:r>
    </w:p>
    <w:p>
      <w:pPr>
        <w:spacing w:after="60"/>
        <w:jc w:val="center"/>
      </w:pPr>
      <w:r>
        <w:rPr>
          <w:b/>
          <w:bCs/>
          <w:color w:val="0F172A"/>
          <w:sz w:val="44"/>
          <w:szCs w:val="44"/>
        </w:rPr>
        <w:t xml:space="preserve">Simulación de una estación de servicio</w:t>
      </w:r>
    </w:p>
    <w:p>
      <w:pPr>
        <w:spacing w:after="160"/>
        <w:jc w:val="center"/>
      </w:pPr>
      <w:r>
        <w:rPr>
          <w:color w:val="B45309"/>
          <w:sz w:val="24"/>
          <w:szCs w:val="24"/>
        </w:rPr>
        <w:t xml:space="preserve">Líneas de espera, simulación Monte Carlo e inventario de combustible</w:t>
      </w:r>
    </w:p>
    <w:p>
      <w:pPr>
        <w:spacing w:after="320"/>
        <w:jc w:val="center"/>
      </w:pPr>
      <w:r>
        <w:rPr>
          <w:b/>
          <w:bCs/>
          <w:color w:val="6B7280"/>
          <w:spacing w:val="30"/>
          <w:sz w:val="16"/>
          <w:szCs w:val="16"/>
        </w:rPr>
        <w:t xml:space="preserve">ANTEPROYECTO  —  PRESENTACIÓN DE LA IDEA</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nil"/>
              <w:left w:val="single" w:color="B45309" w:sz="18"/>
              <w:bottom w:val="nil"/>
              <w:right w:val="nil"/>
            </w:tcBorders>
            <w:shd w:fill="F3F4F6" w:color="auto" w:val="clear"/>
            <w:tcMar>
              <w:top w:type="dxa" w:w="200"/>
              <w:left w:type="dxa" w:w="220"/>
              <w:bottom w:type="dxa" w:w="200"/>
              <w:right w:type="dxa" w:w="220"/>
            </w:tcMar>
          </w:tcPr>
          <w:p>
            <w:pPr>
              <w:spacing w:after="80"/>
            </w:pPr>
            <w:r>
              <w:rPr>
                <w:b/>
                <w:bCs/>
                <w:color w:val="B45309"/>
                <w:spacing w:val="20"/>
                <w:sz w:val="16"/>
                <w:szCs w:val="16"/>
              </w:rPr>
              <w:t xml:space="preserve">EN QUÉ CONSISTE</w:t>
            </w:r>
          </w:p>
          <w:p>
            <w:pPr>
              <w:spacing w:after="0" w:line="264"/>
            </w:pPr>
            <w:r>
              <w:rPr>
                <w:color w:val="1F2937"/>
                <w:sz w:val="19"/>
                <w:szCs w:val="19"/>
              </w:rPr>
              <w:t xml:space="preserve">Un simulador de eventos discretos que reproduce un mes completo de operación de una estación de servicio: los autos llegan, hacen cola en los surtidores, cargan combustible, una parte pasa por el minimarket, y el tanque se vacía y se repone con camiones cisterna. Sobre esa simulación se evalúa, en pesos, qué conviene hacer: ampliar la capacidad de atención o corregir la política de reposición de combustible.</w:t>
            </w:r>
          </w:p>
        </w:tc>
      </w:tr>
    </w:tbl>
    <w:p>
      <w:pPr>
        <w:spacing w:after="0" w:before="80"/>
        <w:jc w:val="center"/>
      </w:pPr>
      <w:r>
        <w:drawing>
          <wp:inline distT="0" distB="0" distL="0" distR="0">
            <wp:extent cx="59436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086100"/>
                    </a:xfrm>
                    <a:prstGeom prst="rect">
                      <a:avLst/>
                    </a:prstGeom>
                  </pic:spPr>
                </pic:pic>
              </a:graphicData>
            </a:graphic>
          </wp:inline>
        </w:drawing>
      </w:r>
    </w:p>
    <w:p>
      <w:pPr>
        <w:spacing w:after="200" w:before="60"/>
        <w:jc w:val="center"/>
      </w:pPr>
      <w:r>
        <w:rPr>
          <w:i/>
          <w:iCs/>
          <w:color w:val="6B7280"/>
          <w:sz w:val="16"/>
          <w:szCs w:val="16"/>
        </w:rPr>
        <w:t xml:space="preserve">Vista del simulador: la estación en la hora pico, con la cola de los surtidores, el minimarket y el nivel del tanque.</w:t>
      </w:r>
    </w:p>
    <w:p>
      <w:pPr>
        <w:pBdr>
          <w:bottom w:val="single" w:color="B45309" w:sz="6"/>
        </w:pBdr>
        <w:spacing w:after="160" w:before="900"/>
      </w:pPr>
    </w:p>
    <w:p>
      <w:pPr>
        <w:spacing w:after="40"/>
        <w:jc w:val="center"/>
      </w:pPr>
      <w:r>
        <w:rPr>
          <w:b/>
          <w:bCs/>
          <w:color w:val="1F2937"/>
          <w:sz w:val="18"/>
          <w:szCs w:val="18"/>
        </w:rPr>
        <w:t xml:space="preserve">Alumno: Nicolás Andino</w:t>
      </w:r>
    </w:p>
    <w:p>
      <w:pPr>
        <w:spacing w:after="0"/>
        <w:jc w:val="center"/>
      </w:pPr>
      <w:r>
        <w:rPr>
          <w:color w:val="6B7280"/>
          <w:sz w:val="17"/>
          <w:szCs w:val="17"/>
        </w:rPr>
        <w:t xml:space="preserve">Herramienta: simulador propio desarrollado en Python (SimPy + Streamlit)  ·  14 de septiembre de 2026</w:t>
      </w:r>
    </w:p>
    <w:p>
      <w:pPr>
        <w:pStyle w:val="Heading2"/>
        <w:pageBreakBefore/>
        <w:spacing w:after="120" w:before="0"/>
      </w:pPr>
      <w:r>
        <w:rPr>
          <w:b/>
          <w:bCs/>
          <w:color w:val="0F172A"/>
          <w:sz w:val="24"/>
          <w:szCs w:val="24"/>
        </w:rPr>
        <w:t xml:space="preserve">1.  Qué problema se busca resolver</w:t>
      </w:r>
    </w:p>
    <w:p>
      <w:pPr>
        <w:spacing w:after="120" w:line="264"/>
      </w:pPr>
      <w:r>
        <w:rPr>
          <w:color w:val="1F2937"/>
          <w:sz w:val="19"/>
          <w:szCs w:val="19"/>
        </w:rPr>
        <w:t xml:space="preserve">Una estación de servicio pierde clientes por dos motivos que parecen el mismo y no lo son: porque la cola de la hora pico se hace larga, o porque se quedó sin combustible. El primero se corrige con más capacidad de atención; el segundo, con una mejor política de reposición. Las dos alternativas cuestan dinero y compiten por el mismo presupuesto, así que la decisión no se puede tomar mirando el sistema a ojo: hay que simularlo y comparar las dos opciones con el mismo criterio, en pesos por mes.</w:t>
      </w:r>
    </w:p>
    <w:p>
      <w:pPr>
        <w:spacing w:after="80" w:line="264"/>
      </w:pPr>
      <w:r>
        <w:rPr>
          <w:color w:val="1F2937"/>
          <w:sz w:val="19"/>
          <w:szCs w:val="19"/>
        </w:rPr>
        <w:t xml:space="preserve">El trabajo responde dos preguntas concretas:</w:t>
      </w:r>
    </w:p>
    <w:p>
      <w:pPr>
        <w:pStyle w:val="ListParagraph"/>
        <w:numPr>
          <w:ilvl w:val="0"/>
          <w:numId w:val="2"/>
        </w:numPr>
        <w:spacing w:after="80" w:line="264"/>
      </w:pPr>
      <w:r>
        <w:rPr>
          <w:color w:val="1F2937"/>
          <w:sz w:val="19"/>
          <w:szCs w:val="19"/>
        </w:rPr>
        <w:t xml:space="preserve">¿Conviene invertir en un surtidor y/o en un cajero más?</w:t>
      </w:r>
    </w:p>
    <w:p>
      <w:pPr>
        <w:pStyle w:val="ListParagraph"/>
        <w:numPr>
          <w:ilvl w:val="0"/>
          <w:numId w:val="2"/>
        </w:numPr>
        <w:spacing w:after="80" w:line="264"/>
      </w:pPr>
      <w:r>
        <w:rPr>
          <w:color w:val="1F2937"/>
          <w:sz w:val="19"/>
          <w:szCs w:val="19"/>
        </w:rPr>
        <w:t xml:space="preserve">¿Qué punto de pedido y qué cantidad a pedir minimizan el costo mensual de abastecimiento?</w:t>
      </w:r>
    </w:p>
    <w:p>
      <w:pPr>
        <w:pStyle w:val="Heading2"/>
        <w:spacing w:after="120" w:before="240"/>
      </w:pPr>
      <w:r>
        <w:rPr>
          <w:b/>
          <w:bCs/>
          <w:color w:val="0F172A"/>
          <w:sz w:val="24"/>
          <w:szCs w:val="24"/>
        </w:rPr>
        <w:t xml:space="preserve">2.  Temas de la materia que se aplican</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339"/>
      </w:tblGrid>
      <w:tr>
        <w:trPr>
          <w:tblHeader/>
        </w:trPr>
        <w:tc>
          <w:tcPr>
            <w:tcW w:type="dxa" w:w="1900"/>
            <w:shd w:fill="1F2937" w:color="auto" w:val="clear"/>
            <w:tcMar>
              <w:top w:type="dxa" w:w="80"/>
              <w:left w:type="dxa" w:w="110"/>
              <w:bottom w:type="dxa" w:w="80"/>
              <w:right w:type="dxa" w:w="110"/>
            </w:tcMar>
            <w:vAlign w:val="center"/>
          </w:tcPr>
          <w:p>
            <w:pPr>
              <w:spacing w:after="0" w:line="252"/>
            </w:pPr>
            <w:r>
              <w:rPr>
                <w:b/>
                <w:bCs/>
                <w:color w:val="FFFFFF"/>
                <w:sz w:val="17"/>
                <w:szCs w:val="17"/>
              </w:rPr>
              <w:t xml:space="preserve">Tema</w:t>
            </w:r>
          </w:p>
        </w:tc>
        <w:tc>
          <w:tcPr>
            <w:tcW w:type="dxa" w:w="3400"/>
            <w:shd w:fill="1F2937" w:color="auto" w:val="clear"/>
            <w:tcMar>
              <w:top w:type="dxa" w:w="80"/>
              <w:left w:type="dxa" w:w="110"/>
              <w:bottom w:type="dxa" w:w="80"/>
              <w:right w:type="dxa" w:w="110"/>
            </w:tcMar>
            <w:vAlign w:val="center"/>
          </w:tcPr>
          <w:p>
            <w:pPr>
              <w:spacing w:after="0" w:line="252"/>
            </w:pPr>
            <w:r>
              <w:rPr>
                <w:b/>
                <w:bCs/>
                <w:color w:val="FFFFFF"/>
                <w:sz w:val="17"/>
                <w:szCs w:val="17"/>
              </w:rPr>
              <w:t xml:space="preserve">Cómo aparece en el modelo</w:t>
            </w:r>
          </w:p>
        </w:tc>
        <w:tc>
          <w:tcPr>
            <w:tcW w:type="dxa" w:w="4339"/>
            <w:shd w:fill="1F2937" w:color="auto" w:val="clear"/>
            <w:tcMar>
              <w:top w:type="dxa" w:w="80"/>
              <w:left w:type="dxa" w:w="110"/>
              <w:bottom w:type="dxa" w:w="80"/>
              <w:right w:type="dxa" w:w="110"/>
            </w:tcMar>
            <w:vAlign w:val="center"/>
          </w:tcPr>
          <w:p>
            <w:pPr>
              <w:spacing w:after="0" w:line="252"/>
            </w:pPr>
            <w:r>
              <w:rPr>
                <w:b/>
                <w:bCs/>
                <w:color w:val="FFFFFF"/>
                <w:sz w:val="17"/>
                <w:szCs w:val="17"/>
              </w:rPr>
              <w:t xml:space="preserve">Conceptos involucrados</w:t>
            </w:r>
          </w:p>
        </w:tc>
      </w:tr>
      <w:tr>
        <w:tc>
          <w:tcPr>
            <w:tcW w:type="dxa" w:w="1900"/>
            <w:shd w:fill="F3F4F6" w:color="auto" w:val="clear"/>
            <w:tcMar>
              <w:top w:type="dxa" w:w="80"/>
              <w:left w:type="dxa" w:w="110"/>
              <w:bottom w:type="dxa" w:w="80"/>
              <w:right w:type="dxa" w:w="110"/>
            </w:tcMar>
            <w:vAlign w:val="center"/>
          </w:tcPr>
          <w:p>
            <w:pPr>
              <w:spacing w:after="0" w:line="252"/>
            </w:pPr>
            <w:r>
              <w:rPr>
                <w:b/>
                <w:bCs/>
                <w:color w:val="1F2937"/>
                <w:sz w:val="17"/>
                <w:szCs w:val="17"/>
              </w:rPr>
              <w:t xml:space="preserve">Modelos de colas</w:t>
            </w:r>
          </w:p>
        </w:tc>
        <w:tc>
          <w:tcPr>
            <w:tcW w:type="dxa" w:w="3400"/>
            <w:shd w:fill="F3F4F6" w:color="auto" w:val="clear"/>
            <w:tcMar>
              <w:top w:type="dxa" w:w="80"/>
              <w:left w:type="dxa" w:w="110"/>
              <w:bottom w:type="dxa" w:w="80"/>
              <w:right w:type="dxa" w:w="110"/>
            </w:tcMar>
            <w:vAlign w:val="center"/>
          </w:tcPr>
          <w:p>
            <w:pPr>
              <w:spacing w:after="0" w:line="252"/>
            </w:pPr>
            <w:r>
              <w:rPr>
                <w:b w:val="false"/>
                <w:bCs w:val="false"/>
                <w:color w:val="1F2937"/>
                <w:sz w:val="17"/>
                <w:szCs w:val="17"/>
              </w:rPr>
              <w:t xml:space="preserve">Red de dos colas en serie: los surtidores y la caja del minimarket, con abandono de los clientes impacientes.</w:t>
            </w:r>
          </w:p>
        </w:tc>
        <w:tc>
          <w:tcPr>
            <w:tcW w:type="dxa" w:w="4339"/>
            <w:shd w:fill="F3F4F6" w:color="auto" w:val="clear"/>
            <w:tcMar>
              <w:top w:type="dxa" w:w="80"/>
              <w:left w:type="dxa" w:w="110"/>
              <w:bottom w:type="dxa" w:w="80"/>
              <w:right w:type="dxa" w:w="110"/>
            </w:tcMar>
            <w:vAlign w:val="center"/>
          </w:tcPr>
          <w:p>
            <w:pPr>
              <w:spacing w:after="0" w:line="252"/>
            </w:pPr>
            <w:r>
              <w:rPr>
                <w:b w:val="false"/>
                <w:bCs w:val="false"/>
                <w:color w:val="1F2937"/>
                <w:sz w:val="17"/>
                <w:szCs w:val="17"/>
              </w:rPr>
              <w:t xml:space="preserve">Llegadas de Poisson, tiempo entre llegadas exponencial, disciplina FIFO, canal múltiple de una fase, población infinita, Wq, Lq, W, L, utilización y ρ.</w:t>
            </w:r>
          </w:p>
        </w:tc>
      </w:tr>
      <w:tr>
        <w:tc>
          <w:tcPr>
            <w:tcW w:type="dxa" w:w="1900"/>
            <w:tcMar>
              <w:top w:type="dxa" w:w="80"/>
              <w:left w:type="dxa" w:w="110"/>
              <w:bottom w:type="dxa" w:w="80"/>
              <w:right w:type="dxa" w:w="110"/>
            </w:tcMar>
            <w:vAlign w:val="center"/>
          </w:tcPr>
          <w:p>
            <w:pPr>
              <w:spacing w:after="0" w:line="252"/>
            </w:pPr>
            <w:r>
              <w:rPr>
                <w:b/>
                <w:bCs/>
                <w:color w:val="1F2937"/>
                <w:sz w:val="17"/>
                <w:szCs w:val="17"/>
              </w:rPr>
              <w:t xml:space="preserve">Simulación Monte Carlo</w:t>
            </w:r>
          </w:p>
        </w:tc>
        <w:tc>
          <w:tcPr>
            <w:tcW w:type="dxa" w:w="3400"/>
            <w:tcMar>
              <w:top w:type="dxa" w:w="80"/>
              <w:left w:type="dxa" w:w="110"/>
              <w:bottom w:type="dxa" w:w="80"/>
              <w:right w:type="dxa" w:w="110"/>
            </w:tcMar>
            <w:vAlign w:val="center"/>
          </w:tcPr>
          <w:p>
            <w:pPr>
              <w:spacing w:after="0" w:line="252"/>
            </w:pPr>
            <w:r>
              <w:rPr>
                <w:b w:val="false"/>
                <w:bCs w:val="false"/>
                <w:color w:val="1F2937"/>
                <w:sz w:val="17"/>
                <w:szCs w:val="17"/>
              </w:rPr>
              <w:t xml:space="preserve">La cantidad de autos de cada día no se supone: se sortea de una tabla de frecuencias observada.</w:t>
            </w:r>
          </w:p>
        </w:tc>
        <w:tc>
          <w:tcPr>
            <w:tcW w:type="dxa" w:w="4339"/>
            <w:tcMar>
              <w:top w:type="dxa" w:w="80"/>
              <w:left w:type="dxa" w:w="110"/>
              <w:bottom w:type="dxa" w:w="80"/>
              <w:right w:type="dxa" w:w="110"/>
            </w:tcMar>
            <w:vAlign w:val="center"/>
          </w:tcPr>
          <w:p>
            <w:pPr>
              <w:spacing w:after="0" w:line="252"/>
            </w:pPr>
            <w:r>
              <w:rPr>
                <w:b w:val="false"/>
                <w:bCs w:val="false"/>
                <w:color w:val="1F2937"/>
                <w:sz w:val="17"/>
                <w:szCs w:val="17"/>
              </w:rPr>
              <w:t xml:space="preserve">Distribución de probabilidad, probabilidad acumulada, intervalos de números aleatorios, generación del número aleatorio y simulación del experimento.</w:t>
            </w:r>
          </w:p>
        </w:tc>
      </w:tr>
      <w:tr>
        <w:tc>
          <w:tcPr>
            <w:tcW w:type="dxa" w:w="1900"/>
            <w:shd w:fill="F3F4F6" w:color="auto" w:val="clear"/>
            <w:tcMar>
              <w:top w:type="dxa" w:w="80"/>
              <w:left w:type="dxa" w:w="110"/>
              <w:bottom w:type="dxa" w:w="80"/>
              <w:right w:type="dxa" w:w="110"/>
            </w:tcMar>
            <w:vAlign w:val="center"/>
          </w:tcPr>
          <w:p>
            <w:pPr>
              <w:spacing w:after="0" w:line="252"/>
            </w:pPr>
            <w:r>
              <w:rPr>
                <w:b/>
                <w:bCs/>
                <w:color w:val="1F2937"/>
                <w:sz w:val="17"/>
                <w:szCs w:val="17"/>
              </w:rPr>
              <w:t xml:space="preserve">Transporte e inventario</w:t>
            </w:r>
          </w:p>
        </w:tc>
        <w:tc>
          <w:tcPr>
            <w:tcW w:type="dxa" w:w="3400"/>
            <w:shd w:fill="F3F4F6" w:color="auto" w:val="clear"/>
            <w:tcMar>
              <w:top w:type="dxa" w:w="80"/>
              <w:left w:type="dxa" w:w="110"/>
              <w:bottom w:type="dxa" w:w="80"/>
              <w:right w:type="dxa" w:w="110"/>
            </w:tcMar>
            <w:vAlign w:val="center"/>
          </w:tcPr>
          <w:p>
            <w:pPr>
              <w:spacing w:after="0" w:line="252"/>
            </w:pPr>
            <w:r>
              <w:rPr>
                <w:b w:val="false"/>
                <w:bCs w:val="false"/>
                <w:color w:val="1F2937"/>
                <w:sz w:val="17"/>
                <w:szCs w:val="17"/>
              </w:rPr>
              <w:t xml:space="preserve">El tanque de combustible, reabastecido por un camión cisterna que tarda un tiempo variable en llegar.</w:t>
            </w:r>
          </w:p>
        </w:tc>
        <w:tc>
          <w:tcPr>
            <w:tcW w:type="dxa" w:w="4339"/>
            <w:shd w:fill="F3F4F6" w:color="auto" w:val="clear"/>
            <w:tcMar>
              <w:top w:type="dxa" w:w="80"/>
              <w:left w:type="dxa" w:w="110"/>
              <w:bottom w:type="dxa" w:w="80"/>
              <w:right w:type="dxa" w:w="110"/>
            </w:tcMar>
            <w:vAlign w:val="center"/>
          </w:tcPr>
          <w:p>
            <w:pPr>
              <w:spacing w:after="0" w:line="252"/>
            </w:pPr>
            <w:r>
              <w:rPr>
                <w:b w:val="false"/>
                <w:bCs w:val="false"/>
                <w:color w:val="1F2937"/>
                <w:sz w:val="17"/>
                <w:szCs w:val="17"/>
              </w:rPr>
              <w:t xml:space="preserve">Política (s, Q), punto de pedido, plazo de entrega, quiebre de stock, costo de pedido, de almacenamiento y de faltante.</w:t>
            </w:r>
          </w:p>
        </w:tc>
      </w:tr>
    </w:tbl>
    <w:p>
      <w:pPr>
        <w:pStyle w:val="Heading2"/>
        <w:spacing w:after="120" w:before="240"/>
      </w:pPr>
      <w:r>
        <w:rPr>
          <w:b/>
          <w:bCs/>
          <w:color w:val="0F172A"/>
          <w:sz w:val="24"/>
          <w:szCs w:val="24"/>
        </w:rPr>
        <w:t xml:space="preserve">3.  El modelo, en el vocabulario de la materia</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500"/>
        <w:gridCol w:w="7139"/>
      </w:tblGrid>
      <w:tr>
        <w:trPr>
          <w:tblHeader/>
        </w:trPr>
        <w:tc>
          <w:tcPr>
            <w:tcW w:type="dxa" w:w="2500"/>
            <w:shd w:fill="1F2937" w:color="auto" w:val="clear"/>
            <w:tcMar>
              <w:top w:type="dxa" w:w="80"/>
              <w:left w:type="dxa" w:w="110"/>
              <w:bottom w:type="dxa" w:w="80"/>
              <w:right w:type="dxa" w:w="110"/>
            </w:tcMar>
            <w:vAlign w:val="center"/>
          </w:tcPr>
          <w:p>
            <w:pPr>
              <w:spacing w:after="0" w:line="252"/>
            </w:pPr>
            <w:r>
              <w:rPr>
                <w:b/>
                <w:bCs/>
                <w:color w:val="FFFFFF"/>
                <w:sz w:val="17"/>
                <w:szCs w:val="17"/>
              </w:rPr>
              <w:t xml:space="preserve">Elemento</w:t>
            </w:r>
          </w:p>
        </w:tc>
        <w:tc>
          <w:tcPr>
            <w:tcW w:type="dxa" w:w="7139"/>
            <w:shd w:fill="1F2937" w:color="auto" w:val="clear"/>
            <w:tcMar>
              <w:top w:type="dxa" w:w="80"/>
              <w:left w:type="dxa" w:w="110"/>
              <w:bottom w:type="dxa" w:w="80"/>
              <w:right w:type="dxa" w:w="110"/>
            </w:tcMar>
            <w:vAlign w:val="center"/>
          </w:tcPr>
          <w:p>
            <w:pPr>
              <w:spacing w:after="0" w:line="252"/>
            </w:pPr>
            <w:r>
              <w:rPr>
                <w:b/>
                <w:bCs/>
                <w:color w:val="FFFFFF"/>
                <w:sz w:val="17"/>
                <w:szCs w:val="17"/>
              </w:rPr>
              <w:t xml:space="preserve">En este sistema</w:t>
            </w:r>
          </w:p>
        </w:tc>
      </w:tr>
      <w:tr>
        <w:tc>
          <w:tcPr>
            <w:tcW w:type="dxa" w:w="2500"/>
            <w:shd w:fill="F3F4F6" w:color="auto" w:val="clear"/>
            <w:tcMar>
              <w:top w:type="dxa" w:w="80"/>
              <w:left w:type="dxa" w:w="110"/>
              <w:bottom w:type="dxa" w:w="80"/>
              <w:right w:type="dxa" w:w="110"/>
            </w:tcMar>
            <w:vAlign w:val="center"/>
          </w:tcPr>
          <w:p>
            <w:pPr>
              <w:spacing w:after="0" w:line="252"/>
            </w:pPr>
            <w:r>
              <w:rPr>
                <w:b/>
                <w:bCs/>
                <w:color w:val="1F2937"/>
                <w:sz w:val="17"/>
                <w:szCs w:val="17"/>
              </w:rPr>
              <w:t xml:space="preserve">Entidad transitoria</w:t>
            </w:r>
          </w:p>
        </w:tc>
        <w:tc>
          <w:tcPr>
            <w:tcW w:type="dxa" w:w="7139"/>
            <w:shd w:fill="F3F4F6" w:color="auto" w:val="clear"/>
            <w:tcMar>
              <w:top w:type="dxa" w:w="80"/>
              <w:left w:type="dxa" w:w="110"/>
              <w:bottom w:type="dxa" w:w="80"/>
              <w:right w:type="dxa" w:w="110"/>
            </w:tcMar>
            <w:vAlign w:val="center"/>
          </w:tcPr>
          <w:p>
            <w:pPr>
              <w:spacing w:after="0" w:line="252"/>
            </w:pPr>
            <w:r>
              <w:rPr>
                <w:b w:val="false"/>
                <w:bCs w:val="false"/>
                <w:color w:val="1F2937"/>
                <w:sz w:val="17"/>
                <w:szCs w:val="17"/>
              </w:rPr>
              <w:t xml:space="preserve">El auto o cliente. Atributos: litros a cargar y si compra o no en el minimarket.</w:t>
            </w:r>
          </w:p>
        </w:tc>
      </w:tr>
      <w:tr>
        <w:tc>
          <w:tcPr>
            <w:tcW w:type="dxa" w:w="2500"/>
            <w:tcMar>
              <w:top w:type="dxa" w:w="80"/>
              <w:left w:type="dxa" w:w="110"/>
              <w:bottom w:type="dxa" w:w="80"/>
              <w:right w:type="dxa" w:w="110"/>
            </w:tcMar>
            <w:vAlign w:val="center"/>
          </w:tcPr>
          <w:p>
            <w:pPr>
              <w:spacing w:after="0" w:line="252"/>
            </w:pPr>
            <w:r>
              <w:rPr>
                <w:b/>
                <w:bCs/>
                <w:color w:val="1F2937"/>
                <w:sz w:val="17"/>
                <w:szCs w:val="17"/>
              </w:rPr>
              <w:t xml:space="preserve">Entidades permanentes</w:t>
            </w:r>
          </w:p>
        </w:tc>
        <w:tc>
          <w:tcPr>
            <w:tcW w:type="dxa" w:w="7139"/>
            <w:tcMar>
              <w:top w:type="dxa" w:w="80"/>
              <w:left w:type="dxa" w:w="110"/>
              <w:bottom w:type="dxa" w:w="80"/>
              <w:right w:type="dxa" w:w="110"/>
            </w:tcMar>
            <w:vAlign w:val="center"/>
          </w:tcPr>
          <w:p>
            <w:pPr>
              <w:spacing w:after="0" w:line="252"/>
            </w:pPr>
            <w:r>
              <w:rPr>
                <w:b w:val="false"/>
                <w:bCs w:val="false"/>
                <w:color w:val="1F2937"/>
                <w:sz w:val="17"/>
                <w:szCs w:val="17"/>
              </w:rPr>
              <w:t xml:space="preserve">Los surtidores, las cajas y el tanque de combustible.</w:t>
            </w:r>
          </w:p>
        </w:tc>
      </w:tr>
      <w:tr>
        <w:tc>
          <w:tcPr>
            <w:tcW w:type="dxa" w:w="2500"/>
            <w:shd w:fill="F3F4F6" w:color="auto" w:val="clear"/>
            <w:tcMar>
              <w:top w:type="dxa" w:w="80"/>
              <w:left w:type="dxa" w:w="110"/>
              <w:bottom w:type="dxa" w:w="80"/>
              <w:right w:type="dxa" w:w="110"/>
            </w:tcMar>
            <w:vAlign w:val="center"/>
          </w:tcPr>
          <w:p>
            <w:pPr>
              <w:spacing w:after="0" w:line="252"/>
            </w:pPr>
            <w:r>
              <w:rPr>
                <w:b/>
                <w:bCs/>
                <w:color w:val="1F2937"/>
                <w:sz w:val="17"/>
                <w:szCs w:val="17"/>
              </w:rPr>
              <w:t xml:space="preserve">Eventos</w:t>
            </w:r>
          </w:p>
        </w:tc>
        <w:tc>
          <w:tcPr>
            <w:tcW w:type="dxa" w:w="7139"/>
            <w:shd w:fill="F3F4F6" w:color="auto" w:val="clear"/>
            <w:tcMar>
              <w:top w:type="dxa" w:w="80"/>
              <w:left w:type="dxa" w:w="110"/>
              <w:bottom w:type="dxa" w:w="80"/>
              <w:right w:type="dxa" w:w="110"/>
            </w:tcMar>
            <w:vAlign w:val="center"/>
          </w:tcPr>
          <w:p>
            <w:pPr>
              <w:spacing w:after="0" w:line="252"/>
            </w:pPr>
            <w:r>
              <w:rPr>
                <w:b w:val="false"/>
                <w:bCs w:val="false"/>
                <w:color w:val="1F2937"/>
                <w:sz w:val="17"/>
                <w:szCs w:val="17"/>
              </w:rPr>
              <w:t xml:space="preserve">Llegada de un auto, fin de la carga, fin del cobro, emisión de un pedido y llegada del camión.</w:t>
            </w:r>
          </w:p>
        </w:tc>
      </w:tr>
      <w:tr>
        <w:tc>
          <w:tcPr>
            <w:tcW w:type="dxa" w:w="2500"/>
            <w:tcMar>
              <w:top w:type="dxa" w:w="80"/>
              <w:left w:type="dxa" w:w="110"/>
              <w:bottom w:type="dxa" w:w="80"/>
              <w:right w:type="dxa" w:w="110"/>
            </w:tcMar>
            <w:vAlign w:val="center"/>
          </w:tcPr>
          <w:p>
            <w:pPr>
              <w:spacing w:after="0" w:line="252"/>
            </w:pPr>
            <w:r>
              <w:rPr>
                <w:b/>
                <w:bCs/>
                <w:color w:val="1F2937"/>
                <w:sz w:val="17"/>
                <w:szCs w:val="17"/>
              </w:rPr>
              <w:t xml:space="preserve">Estados</w:t>
            </w:r>
          </w:p>
        </w:tc>
        <w:tc>
          <w:tcPr>
            <w:tcW w:type="dxa" w:w="7139"/>
            <w:tcMar>
              <w:top w:type="dxa" w:w="80"/>
              <w:left w:type="dxa" w:w="110"/>
              <w:bottom w:type="dxa" w:w="80"/>
              <w:right w:type="dxa" w:w="110"/>
            </w:tcMar>
            <w:vAlign w:val="center"/>
          </w:tcPr>
          <w:p>
            <w:pPr>
              <w:spacing w:after="0" w:line="252"/>
            </w:pPr>
            <w:r>
              <w:rPr>
                <w:b w:val="false"/>
                <w:bCs w:val="false"/>
                <w:color w:val="1F2937"/>
                <w:sz w:val="17"/>
                <w:szCs w:val="17"/>
              </w:rPr>
              <w:t xml:space="preserve">Surtidor libre u ocupado; cliente en la cola, siendo atendido o perdido; tanque con o sin stock.</w:t>
            </w:r>
          </w:p>
        </w:tc>
      </w:tr>
      <w:tr>
        <w:tc>
          <w:tcPr>
            <w:tcW w:type="dxa" w:w="2500"/>
            <w:shd w:fill="F3F4F6" w:color="auto" w:val="clear"/>
            <w:tcMar>
              <w:top w:type="dxa" w:w="80"/>
              <w:left w:type="dxa" w:w="110"/>
              <w:bottom w:type="dxa" w:w="80"/>
              <w:right w:type="dxa" w:w="110"/>
            </w:tcMar>
            <w:vAlign w:val="center"/>
          </w:tcPr>
          <w:p>
            <w:pPr>
              <w:spacing w:after="0" w:line="252"/>
            </w:pPr>
            <w:r>
              <w:rPr>
                <w:b/>
                <w:bCs/>
                <w:color w:val="1F2937"/>
                <w:sz w:val="17"/>
                <w:szCs w:val="17"/>
              </w:rPr>
              <w:t xml:space="preserve">Disciplina de cola</w:t>
            </w:r>
          </w:p>
        </w:tc>
        <w:tc>
          <w:tcPr>
            <w:tcW w:type="dxa" w:w="7139"/>
            <w:shd w:fill="F3F4F6" w:color="auto" w:val="clear"/>
            <w:tcMar>
              <w:top w:type="dxa" w:w="80"/>
              <w:left w:type="dxa" w:w="110"/>
              <w:bottom w:type="dxa" w:w="80"/>
              <w:right w:type="dxa" w:w="110"/>
            </w:tcMar>
            <w:vAlign w:val="center"/>
          </w:tcPr>
          <w:p>
            <w:pPr>
              <w:spacing w:after="0" w:line="252"/>
            </w:pPr>
            <w:r>
              <w:rPr>
                <w:b w:val="false"/>
                <w:bCs w:val="false"/>
                <w:color w:val="1F2937"/>
                <w:sz w:val="17"/>
                <w:szCs w:val="17"/>
              </w:rPr>
              <w:t xml:space="preserve">FIFO, con una cola única para todos los surtidores (canal múltiple, una sola fase).</w:t>
            </w:r>
          </w:p>
        </w:tc>
      </w:tr>
      <w:tr>
        <w:tc>
          <w:tcPr>
            <w:tcW w:type="dxa" w:w="2500"/>
            <w:tcMar>
              <w:top w:type="dxa" w:w="80"/>
              <w:left w:type="dxa" w:w="110"/>
              <w:bottom w:type="dxa" w:w="80"/>
              <w:right w:type="dxa" w:w="110"/>
            </w:tcMar>
            <w:vAlign w:val="center"/>
          </w:tcPr>
          <w:p>
            <w:pPr>
              <w:spacing w:after="0" w:line="252"/>
            </w:pPr>
            <w:r>
              <w:rPr>
                <w:b/>
                <w:bCs/>
                <w:color w:val="1F2937"/>
                <w:sz w:val="17"/>
                <w:szCs w:val="17"/>
              </w:rPr>
              <w:t xml:space="preserve">Distribuciones</w:t>
            </w:r>
          </w:p>
        </w:tc>
        <w:tc>
          <w:tcPr>
            <w:tcW w:type="dxa" w:w="7139"/>
            <w:tcMar>
              <w:top w:type="dxa" w:w="80"/>
              <w:left w:type="dxa" w:w="110"/>
              <w:bottom w:type="dxa" w:w="80"/>
              <w:right w:type="dxa" w:w="110"/>
            </w:tcMar>
            <w:vAlign w:val="center"/>
          </w:tcPr>
          <w:p>
            <w:pPr>
              <w:spacing w:after="0" w:line="252"/>
            </w:pPr>
            <w:r>
              <w:rPr>
                <w:b w:val="false"/>
                <w:bCs w:val="false"/>
                <w:color w:val="1F2937"/>
                <w:sz w:val="17"/>
                <w:szCs w:val="17"/>
              </w:rPr>
              <w:t xml:space="preserve">Exponencial en las llegadas; Triangular en la carga, la compra, los litros y el plazo de entrega; Bernoulli para decidir quién entra al minimarket.</w:t>
            </w:r>
          </w:p>
        </w:tc>
      </w:tr>
      <w:tr>
        <w:tc>
          <w:tcPr>
            <w:tcW w:type="dxa" w:w="2500"/>
            <w:shd w:fill="F3F4F6" w:color="auto" w:val="clear"/>
            <w:tcMar>
              <w:top w:type="dxa" w:w="80"/>
              <w:left w:type="dxa" w:w="110"/>
              <w:bottom w:type="dxa" w:w="80"/>
              <w:right w:type="dxa" w:w="110"/>
            </w:tcMar>
            <w:vAlign w:val="center"/>
          </w:tcPr>
          <w:p>
            <w:pPr>
              <w:spacing w:after="0" w:line="252"/>
            </w:pPr>
            <w:r>
              <w:rPr>
                <w:b/>
                <w:bCs/>
                <w:color w:val="1F2937"/>
                <w:sz w:val="17"/>
                <w:szCs w:val="17"/>
              </w:rPr>
              <w:t xml:space="preserve">Tipo de modelo</w:t>
            </w:r>
          </w:p>
        </w:tc>
        <w:tc>
          <w:tcPr>
            <w:tcW w:type="dxa" w:w="7139"/>
            <w:shd w:fill="F3F4F6" w:color="auto" w:val="clear"/>
            <w:tcMar>
              <w:top w:type="dxa" w:w="80"/>
              <w:left w:type="dxa" w:w="110"/>
              <w:bottom w:type="dxa" w:w="80"/>
              <w:right w:type="dxa" w:w="110"/>
            </w:tcMar>
            <w:vAlign w:val="center"/>
          </w:tcPr>
          <w:p>
            <w:pPr>
              <w:spacing w:after="0" w:line="252"/>
            </w:pPr>
            <w:r>
              <w:rPr>
                <w:b w:val="false"/>
                <w:bCs w:val="false"/>
                <w:color w:val="1F2937"/>
                <w:sz w:val="17"/>
                <w:szCs w:val="17"/>
              </w:rPr>
              <w:t xml:space="preserve">Dinámico y discreto: el estado del sistema cambia solamente cuando ocurre un evento.</w:t>
            </w:r>
          </w:p>
        </w:tc>
      </w:tr>
    </w:tbl>
    <w:p>
      <w:pPr>
        <w:spacing w:after="0" w:before="80"/>
        <w:jc w:val="center"/>
      </w:pPr>
      <w:r>
        <w:drawing>
          <wp:inline distT="0" distB="0" distL="0" distR="0">
            <wp:extent cx="5400675"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00675" cy="2057400"/>
                    </a:xfrm>
                    <a:prstGeom prst="rect">
                      <a:avLst/>
                    </a:prstGeom>
                  </pic:spPr>
                </pic:pic>
              </a:graphicData>
            </a:graphic>
          </wp:inline>
        </w:drawing>
      </w:r>
    </w:p>
    <w:p>
      <w:pPr>
        <w:spacing w:after="200" w:before="60"/>
        <w:jc w:val="center"/>
      </w:pPr>
      <w:r>
        <w:rPr>
          <w:i/>
          <w:iCs/>
          <w:color w:val="6B7280"/>
          <w:sz w:val="16"/>
          <w:szCs w:val="16"/>
        </w:rPr>
        <w:t xml:space="preserve">El promedio de 24 horas esconde el problema: los surtidores están ocupados el 43 % del tiempo, pero a las 8 y a las 19 la espera trepa por encima de los 3 minutos.</w:t>
      </w:r>
    </w:p>
    <w:p>
      <w:pPr>
        <w:pStyle w:val="Heading2"/>
        <w:pageBreakBefore/>
        <w:spacing w:after="120" w:before="0"/>
      </w:pPr>
      <w:r>
        <w:rPr>
          <w:b/>
          <w:bCs/>
          <w:color w:val="0F172A"/>
          <w:sz w:val="24"/>
          <w:szCs w:val="24"/>
        </w:rPr>
        <w:t xml:space="preserve">4.  La demanda se sortea con el método Monte Carlo</w:t>
      </w:r>
    </w:p>
    <w:p>
      <w:pPr>
        <w:spacing w:after="140" w:line="264"/>
      </w:pPr>
      <w:r>
        <w:rPr>
          <w:color w:val="1F2937"/>
          <w:sz w:val="19"/>
          <w:szCs w:val="19"/>
        </w:rPr>
        <w:t xml:space="preserve">En lugar de fijar una tasa de llegada constante, cada día simulado recibe una demanda sorteada de una tabla de frecuencias construida sobre 100 días de registro. Después, esos autos se reparten dentro del día según el perfil horario, con pico a la mañana y a la tarde.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2039"/>
        <w:gridCol w:w="2000"/>
      </w:tblGrid>
      <w:tr>
        <w:trPr>
          <w:tblHeader/>
        </w:trPr>
        <w:tc>
          <w:tcPr>
            <w:tcW w:type="dxa" w:w="1800"/>
            <w:shd w:fill="1F2937" w:color="auto" w:val="clear"/>
            <w:tcMar>
              <w:top w:type="dxa" w:w="80"/>
              <w:left w:type="dxa" w:w="110"/>
              <w:bottom w:type="dxa" w:w="80"/>
              <w:right w:type="dxa" w:w="110"/>
            </w:tcMar>
            <w:vAlign w:val="center"/>
          </w:tcPr>
          <w:p>
            <w:pPr>
              <w:spacing w:after="0" w:line="252"/>
              <w:jc w:val="center"/>
            </w:pPr>
            <w:r>
              <w:rPr>
                <w:b/>
                <w:bCs/>
                <w:color w:val="FFFFFF"/>
                <w:sz w:val="17"/>
                <w:szCs w:val="17"/>
              </w:rPr>
              <w:t xml:space="preserve">Autos por día</w:t>
            </w:r>
          </w:p>
        </w:tc>
        <w:tc>
          <w:tcPr>
            <w:tcW w:type="dxa" w:w="1900"/>
            <w:shd w:fill="1F2937" w:color="auto" w:val="clear"/>
            <w:tcMar>
              <w:top w:type="dxa" w:w="80"/>
              <w:left w:type="dxa" w:w="110"/>
              <w:bottom w:type="dxa" w:w="80"/>
              <w:right w:type="dxa" w:w="110"/>
            </w:tcMar>
            <w:vAlign w:val="center"/>
          </w:tcPr>
          <w:p>
            <w:pPr>
              <w:spacing w:after="0" w:line="252"/>
              <w:jc w:val="center"/>
            </w:pPr>
            <w:r>
              <w:rPr>
                <w:b/>
                <w:bCs/>
                <w:color w:val="FFFFFF"/>
                <w:sz w:val="17"/>
                <w:szCs w:val="17"/>
              </w:rPr>
              <w:t xml:space="preserve">Días observados</w:t>
            </w:r>
          </w:p>
        </w:tc>
        <w:tc>
          <w:tcPr>
            <w:tcW w:type="dxa" w:w="1900"/>
            <w:shd w:fill="1F2937" w:color="auto" w:val="clear"/>
            <w:tcMar>
              <w:top w:type="dxa" w:w="80"/>
              <w:left w:type="dxa" w:w="110"/>
              <w:bottom w:type="dxa" w:w="80"/>
              <w:right w:type="dxa" w:w="110"/>
            </w:tcMar>
            <w:vAlign w:val="center"/>
          </w:tcPr>
          <w:p>
            <w:pPr>
              <w:spacing w:after="0" w:line="252"/>
              <w:jc w:val="center"/>
            </w:pPr>
            <w:r>
              <w:rPr>
                <w:b/>
                <w:bCs/>
                <w:color w:val="FFFFFF"/>
                <w:sz w:val="17"/>
                <w:szCs w:val="17"/>
              </w:rPr>
              <w:t xml:space="preserve">Probabilidad</w:t>
            </w:r>
          </w:p>
        </w:tc>
        <w:tc>
          <w:tcPr>
            <w:tcW w:type="dxa" w:w="2039"/>
            <w:shd w:fill="1F2937" w:color="auto" w:val="clear"/>
            <w:tcMar>
              <w:top w:type="dxa" w:w="80"/>
              <w:left w:type="dxa" w:w="110"/>
              <w:bottom w:type="dxa" w:w="80"/>
              <w:right w:type="dxa" w:w="110"/>
            </w:tcMar>
            <w:vAlign w:val="center"/>
          </w:tcPr>
          <w:p>
            <w:pPr>
              <w:spacing w:after="0" w:line="252"/>
              <w:jc w:val="center"/>
            </w:pPr>
            <w:r>
              <w:rPr>
                <w:b/>
                <w:bCs/>
                <w:color w:val="FFFFFF"/>
                <w:sz w:val="17"/>
                <w:szCs w:val="17"/>
              </w:rPr>
              <w:t xml:space="preserve">Prob. acumulada</w:t>
            </w:r>
          </w:p>
        </w:tc>
        <w:tc>
          <w:tcPr>
            <w:tcW w:type="dxa" w:w="2000"/>
            <w:shd w:fill="1F2937" w:color="auto" w:val="clear"/>
            <w:tcMar>
              <w:top w:type="dxa" w:w="80"/>
              <w:left w:type="dxa" w:w="110"/>
              <w:bottom w:type="dxa" w:w="80"/>
              <w:right w:type="dxa" w:w="110"/>
            </w:tcMar>
            <w:vAlign w:val="center"/>
          </w:tcPr>
          <w:p>
            <w:pPr>
              <w:spacing w:after="0" w:line="252"/>
              <w:jc w:val="center"/>
            </w:pPr>
            <w:r>
              <w:rPr>
                <w:b/>
                <w:bCs/>
                <w:color w:val="FFFFFF"/>
                <w:sz w:val="17"/>
                <w:szCs w:val="17"/>
              </w:rPr>
              <w:t xml:space="preserve">Intervalo de núm. aleatorios</w:t>
            </w:r>
          </w:p>
        </w:tc>
      </w:tr>
      <w:tr>
        <w:tc>
          <w:tcPr>
            <w:tcW w:type="dxa" w:w="1800"/>
            <w:shd w:fill="F3F4F6" w:color="auto" w:val="clear"/>
            <w:tcMar>
              <w:top w:type="dxa" w:w="80"/>
              <w:left w:type="dxa" w:w="110"/>
              <w:bottom w:type="dxa" w:w="80"/>
              <w:right w:type="dxa" w:w="110"/>
            </w:tcMar>
            <w:vAlign w:val="center"/>
          </w:tcPr>
          <w:p>
            <w:pPr>
              <w:spacing w:after="0" w:line="252"/>
              <w:jc w:val="center"/>
            </w:pPr>
            <w:r>
              <w:rPr>
                <w:color w:val="1F2937"/>
                <w:sz w:val="17"/>
                <w:szCs w:val="17"/>
              </w:rPr>
              <w:t xml:space="preserve">280</w:t>
            </w:r>
          </w:p>
        </w:tc>
        <w:tc>
          <w:tcPr>
            <w:tcW w:type="dxa" w:w="1900"/>
            <w:shd w:fill="F3F4F6" w:color="auto" w:val="clear"/>
            <w:tcMar>
              <w:top w:type="dxa" w:w="80"/>
              <w:left w:type="dxa" w:w="110"/>
              <w:bottom w:type="dxa" w:w="80"/>
              <w:right w:type="dxa" w:w="110"/>
            </w:tcMar>
            <w:vAlign w:val="center"/>
          </w:tcPr>
          <w:p>
            <w:pPr>
              <w:spacing w:after="0" w:line="252"/>
              <w:jc w:val="center"/>
            </w:pPr>
            <w:r>
              <w:rPr>
                <w:color w:val="1F2937"/>
                <w:sz w:val="17"/>
                <w:szCs w:val="17"/>
              </w:rPr>
              <w:t xml:space="preserve">10</w:t>
            </w:r>
          </w:p>
        </w:tc>
        <w:tc>
          <w:tcPr>
            <w:tcW w:type="dxa" w:w="1900"/>
            <w:shd w:fill="F3F4F6" w:color="auto" w:val="clear"/>
            <w:tcMar>
              <w:top w:type="dxa" w:w="80"/>
              <w:left w:type="dxa" w:w="110"/>
              <w:bottom w:type="dxa" w:w="80"/>
              <w:right w:type="dxa" w:w="110"/>
            </w:tcMar>
            <w:vAlign w:val="center"/>
          </w:tcPr>
          <w:p>
            <w:pPr>
              <w:spacing w:after="0" w:line="252"/>
              <w:jc w:val="center"/>
            </w:pPr>
            <w:r>
              <w:rPr>
                <w:color w:val="1F2937"/>
                <w:sz w:val="17"/>
                <w:szCs w:val="17"/>
              </w:rPr>
              <w:t xml:space="preserve">0,10</w:t>
            </w:r>
          </w:p>
        </w:tc>
        <w:tc>
          <w:tcPr>
            <w:tcW w:type="dxa" w:w="2039"/>
            <w:shd w:fill="F3F4F6" w:color="auto" w:val="clear"/>
            <w:tcMar>
              <w:top w:type="dxa" w:w="80"/>
              <w:left w:type="dxa" w:w="110"/>
              <w:bottom w:type="dxa" w:w="80"/>
              <w:right w:type="dxa" w:w="110"/>
            </w:tcMar>
            <w:vAlign w:val="center"/>
          </w:tcPr>
          <w:p>
            <w:pPr>
              <w:spacing w:after="0" w:line="252"/>
              <w:jc w:val="center"/>
            </w:pPr>
            <w:r>
              <w:rPr>
                <w:color w:val="1F2937"/>
                <w:sz w:val="17"/>
                <w:szCs w:val="17"/>
              </w:rPr>
              <w:t xml:space="preserve">0,10</w:t>
            </w:r>
          </w:p>
        </w:tc>
        <w:tc>
          <w:tcPr>
            <w:tcW w:type="dxa" w:w="2000"/>
            <w:shd w:fill="F3F4F6" w:color="auto" w:val="clear"/>
            <w:tcMar>
              <w:top w:type="dxa" w:w="80"/>
              <w:left w:type="dxa" w:w="110"/>
              <w:bottom w:type="dxa" w:w="80"/>
              <w:right w:type="dxa" w:w="110"/>
            </w:tcMar>
            <w:vAlign w:val="center"/>
          </w:tcPr>
          <w:p>
            <w:pPr>
              <w:spacing w:after="0" w:line="252"/>
              <w:jc w:val="center"/>
            </w:pPr>
            <w:r>
              <w:rPr>
                <w:color w:val="1F2937"/>
                <w:sz w:val="17"/>
                <w:szCs w:val="17"/>
              </w:rPr>
              <w:t xml:space="preserve">01 a 10</w:t>
            </w:r>
          </w:p>
        </w:tc>
      </w:tr>
      <w:tr>
        <w:tc>
          <w:tcPr>
            <w:tcW w:type="dxa" w:w="1800"/>
            <w:tcMar>
              <w:top w:type="dxa" w:w="80"/>
              <w:left w:type="dxa" w:w="110"/>
              <w:bottom w:type="dxa" w:w="80"/>
              <w:right w:type="dxa" w:w="110"/>
            </w:tcMar>
            <w:vAlign w:val="center"/>
          </w:tcPr>
          <w:p>
            <w:pPr>
              <w:spacing w:after="0" w:line="252"/>
              <w:jc w:val="center"/>
            </w:pPr>
            <w:r>
              <w:rPr>
                <w:color w:val="1F2937"/>
                <w:sz w:val="17"/>
                <w:szCs w:val="17"/>
              </w:rPr>
              <w:t xml:space="preserve">320</w:t>
            </w:r>
          </w:p>
        </w:tc>
        <w:tc>
          <w:tcPr>
            <w:tcW w:type="dxa" w:w="1900"/>
            <w:tcMar>
              <w:top w:type="dxa" w:w="80"/>
              <w:left w:type="dxa" w:w="110"/>
              <w:bottom w:type="dxa" w:w="80"/>
              <w:right w:type="dxa" w:w="110"/>
            </w:tcMar>
            <w:vAlign w:val="center"/>
          </w:tcPr>
          <w:p>
            <w:pPr>
              <w:spacing w:after="0" w:line="252"/>
              <w:jc w:val="center"/>
            </w:pPr>
            <w:r>
              <w:rPr>
                <w:color w:val="1F2937"/>
                <w:sz w:val="17"/>
                <w:szCs w:val="17"/>
              </w:rPr>
              <w:t xml:space="preserve">20</w:t>
            </w:r>
          </w:p>
        </w:tc>
        <w:tc>
          <w:tcPr>
            <w:tcW w:type="dxa" w:w="1900"/>
            <w:tcMar>
              <w:top w:type="dxa" w:w="80"/>
              <w:left w:type="dxa" w:w="110"/>
              <w:bottom w:type="dxa" w:w="80"/>
              <w:right w:type="dxa" w:w="110"/>
            </w:tcMar>
            <w:vAlign w:val="center"/>
          </w:tcPr>
          <w:p>
            <w:pPr>
              <w:spacing w:after="0" w:line="252"/>
              <w:jc w:val="center"/>
            </w:pPr>
            <w:r>
              <w:rPr>
                <w:color w:val="1F2937"/>
                <w:sz w:val="17"/>
                <w:szCs w:val="17"/>
              </w:rPr>
              <w:t xml:space="preserve">0,20</w:t>
            </w:r>
          </w:p>
        </w:tc>
        <w:tc>
          <w:tcPr>
            <w:tcW w:type="dxa" w:w="2039"/>
            <w:tcMar>
              <w:top w:type="dxa" w:w="80"/>
              <w:left w:type="dxa" w:w="110"/>
              <w:bottom w:type="dxa" w:w="80"/>
              <w:right w:type="dxa" w:w="110"/>
            </w:tcMar>
            <w:vAlign w:val="center"/>
          </w:tcPr>
          <w:p>
            <w:pPr>
              <w:spacing w:after="0" w:line="252"/>
              <w:jc w:val="center"/>
            </w:pPr>
            <w:r>
              <w:rPr>
                <w:color w:val="1F2937"/>
                <w:sz w:val="17"/>
                <w:szCs w:val="17"/>
              </w:rPr>
              <w:t xml:space="preserve">0,30</w:t>
            </w:r>
          </w:p>
        </w:tc>
        <w:tc>
          <w:tcPr>
            <w:tcW w:type="dxa" w:w="2000"/>
            <w:tcMar>
              <w:top w:type="dxa" w:w="80"/>
              <w:left w:type="dxa" w:w="110"/>
              <w:bottom w:type="dxa" w:w="80"/>
              <w:right w:type="dxa" w:w="110"/>
            </w:tcMar>
            <w:vAlign w:val="center"/>
          </w:tcPr>
          <w:p>
            <w:pPr>
              <w:spacing w:after="0" w:line="252"/>
              <w:jc w:val="center"/>
            </w:pPr>
            <w:r>
              <w:rPr>
                <w:color w:val="1F2937"/>
                <w:sz w:val="17"/>
                <w:szCs w:val="17"/>
              </w:rPr>
              <w:t xml:space="preserve">11 a 30</w:t>
            </w:r>
          </w:p>
        </w:tc>
      </w:tr>
      <w:tr>
        <w:tc>
          <w:tcPr>
            <w:tcW w:type="dxa" w:w="1800"/>
            <w:shd w:fill="F3F4F6" w:color="auto" w:val="clear"/>
            <w:tcMar>
              <w:top w:type="dxa" w:w="80"/>
              <w:left w:type="dxa" w:w="110"/>
              <w:bottom w:type="dxa" w:w="80"/>
              <w:right w:type="dxa" w:w="110"/>
            </w:tcMar>
            <w:vAlign w:val="center"/>
          </w:tcPr>
          <w:p>
            <w:pPr>
              <w:spacing w:after="0" w:line="252"/>
              <w:jc w:val="center"/>
            </w:pPr>
            <w:r>
              <w:rPr>
                <w:color w:val="1F2937"/>
                <w:sz w:val="17"/>
                <w:szCs w:val="17"/>
              </w:rPr>
              <w:t xml:space="preserve">360</w:t>
            </w:r>
          </w:p>
        </w:tc>
        <w:tc>
          <w:tcPr>
            <w:tcW w:type="dxa" w:w="1900"/>
            <w:shd w:fill="F3F4F6" w:color="auto" w:val="clear"/>
            <w:tcMar>
              <w:top w:type="dxa" w:w="80"/>
              <w:left w:type="dxa" w:w="110"/>
              <w:bottom w:type="dxa" w:w="80"/>
              <w:right w:type="dxa" w:w="110"/>
            </w:tcMar>
            <w:vAlign w:val="center"/>
          </w:tcPr>
          <w:p>
            <w:pPr>
              <w:spacing w:after="0" w:line="252"/>
              <w:jc w:val="center"/>
            </w:pPr>
            <w:r>
              <w:rPr>
                <w:color w:val="1F2937"/>
                <w:sz w:val="17"/>
                <w:szCs w:val="17"/>
              </w:rPr>
              <w:t xml:space="preserve">40</w:t>
            </w:r>
          </w:p>
        </w:tc>
        <w:tc>
          <w:tcPr>
            <w:tcW w:type="dxa" w:w="1900"/>
            <w:shd w:fill="F3F4F6" w:color="auto" w:val="clear"/>
            <w:tcMar>
              <w:top w:type="dxa" w:w="80"/>
              <w:left w:type="dxa" w:w="110"/>
              <w:bottom w:type="dxa" w:w="80"/>
              <w:right w:type="dxa" w:w="110"/>
            </w:tcMar>
            <w:vAlign w:val="center"/>
          </w:tcPr>
          <w:p>
            <w:pPr>
              <w:spacing w:after="0" w:line="252"/>
              <w:jc w:val="center"/>
            </w:pPr>
            <w:r>
              <w:rPr>
                <w:color w:val="1F2937"/>
                <w:sz w:val="17"/>
                <w:szCs w:val="17"/>
              </w:rPr>
              <w:t xml:space="preserve">0,40</w:t>
            </w:r>
          </w:p>
        </w:tc>
        <w:tc>
          <w:tcPr>
            <w:tcW w:type="dxa" w:w="2039"/>
            <w:shd w:fill="F3F4F6" w:color="auto" w:val="clear"/>
            <w:tcMar>
              <w:top w:type="dxa" w:w="80"/>
              <w:left w:type="dxa" w:w="110"/>
              <w:bottom w:type="dxa" w:w="80"/>
              <w:right w:type="dxa" w:w="110"/>
            </w:tcMar>
            <w:vAlign w:val="center"/>
          </w:tcPr>
          <w:p>
            <w:pPr>
              <w:spacing w:after="0" w:line="252"/>
              <w:jc w:val="center"/>
            </w:pPr>
            <w:r>
              <w:rPr>
                <w:color w:val="1F2937"/>
                <w:sz w:val="17"/>
                <w:szCs w:val="17"/>
              </w:rPr>
              <w:t xml:space="preserve">0,70</w:t>
            </w:r>
          </w:p>
        </w:tc>
        <w:tc>
          <w:tcPr>
            <w:tcW w:type="dxa" w:w="2000"/>
            <w:shd w:fill="F3F4F6" w:color="auto" w:val="clear"/>
            <w:tcMar>
              <w:top w:type="dxa" w:w="80"/>
              <w:left w:type="dxa" w:w="110"/>
              <w:bottom w:type="dxa" w:w="80"/>
              <w:right w:type="dxa" w:w="110"/>
            </w:tcMar>
            <w:vAlign w:val="center"/>
          </w:tcPr>
          <w:p>
            <w:pPr>
              <w:spacing w:after="0" w:line="252"/>
              <w:jc w:val="center"/>
            </w:pPr>
            <w:r>
              <w:rPr>
                <w:color w:val="1F2937"/>
                <w:sz w:val="17"/>
                <w:szCs w:val="17"/>
              </w:rPr>
              <w:t xml:space="preserve">31 a 70</w:t>
            </w:r>
          </w:p>
        </w:tc>
      </w:tr>
      <w:tr>
        <w:tc>
          <w:tcPr>
            <w:tcW w:type="dxa" w:w="1800"/>
            <w:tcMar>
              <w:top w:type="dxa" w:w="80"/>
              <w:left w:type="dxa" w:w="110"/>
              <w:bottom w:type="dxa" w:w="80"/>
              <w:right w:type="dxa" w:w="110"/>
            </w:tcMar>
            <w:vAlign w:val="center"/>
          </w:tcPr>
          <w:p>
            <w:pPr>
              <w:spacing w:after="0" w:line="252"/>
              <w:jc w:val="center"/>
            </w:pPr>
            <w:r>
              <w:rPr>
                <w:color w:val="1F2937"/>
                <w:sz w:val="17"/>
                <w:szCs w:val="17"/>
              </w:rPr>
              <w:t xml:space="preserve">400</w:t>
            </w:r>
          </w:p>
        </w:tc>
        <w:tc>
          <w:tcPr>
            <w:tcW w:type="dxa" w:w="1900"/>
            <w:tcMar>
              <w:top w:type="dxa" w:w="80"/>
              <w:left w:type="dxa" w:w="110"/>
              <w:bottom w:type="dxa" w:w="80"/>
              <w:right w:type="dxa" w:w="110"/>
            </w:tcMar>
            <w:vAlign w:val="center"/>
          </w:tcPr>
          <w:p>
            <w:pPr>
              <w:spacing w:after="0" w:line="252"/>
              <w:jc w:val="center"/>
            </w:pPr>
            <w:r>
              <w:rPr>
                <w:color w:val="1F2937"/>
                <w:sz w:val="17"/>
                <w:szCs w:val="17"/>
              </w:rPr>
              <w:t xml:space="preserve">20</w:t>
            </w:r>
          </w:p>
        </w:tc>
        <w:tc>
          <w:tcPr>
            <w:tcW w:type="dxa" w:w="1900"/>
            <w:tcMar>
              <w:top w:type="dxa" w:w="80"/>
              <w:left w:type="dxa" w:w="110"/>
              <w:bottom w:type="dxa" w:w="80"/>
              <w:right w:type="dxa" w:w="110"/>
            </w:tcMar>
            <w:vAlign w:val="center"/>
          </w:tcPr>
          <w:p>
            <w:pPr>
              <w:spacing w:after="0" w:line="252"/>
              <w:jc w:val="center"/>
            </w:pPr>
            <w:r>
              <w:rPr>
                <w:color w:val="1F2937"/>
                <w:sz w:val="17"/>
                <w:szCs w:val="17"/>
              </w:rPr>
              <w:t xml:space="preserve">0,20</w:t>
            </w:r>
          </w:p>
        </w:tc>
        <w:tc>
          <w:tcPr>
            <w:tcW w:type="dxa" w:w="2039"/>
            <w:tcMar>
              <w:top w:type="dxa" w:w="80"/>
              <w:left w:type="dxa" w:w="110"/>
              <w:bottom w:type="dxa" w:w="80"/>
              <w:right w:type="dxa" w:w="110"/>
            </w:tcMar>
            <w:vAlign w:val="center"/>
          </w:tcPr>
          <w:p>
            <w:pPr>
              <w:spacing w:after="0" w:line="252"/>
              <w:jc w:val="center"/>
            </w:pPr>
            <w:r>
              <w:rPr>
                <w:color w:val="1F2937"/>
                <w:sz w:val="17"/>
                <w:szCs w:val="17"/>
              </w:rPr>
              <w:t xml:space="preserve">0,90</w:t>
            </w:r>
          </w:p>
        </w:tc>
        <w:tc>
          <w:tcPr>
            <w:tcW w:type="dxa" w:w="2000"/>
            <w:tcMar>
              <w:top w:type="dxa" w:w="80"/>
              <w:left w:type="dxa" w:w="110"/>
              <w:bottom w:type="dxa" w:w="80"/>
              <w:right w:type="dxa" w:w="110"/>
            </w:tcMar>
            <w:vAlign w:val="center"/>
          </w:tcPr>
          <w:p>
            <w:pPr>
              <w:spacing w:after="0" w:line="252"/>
              <w:jc w:val="center"/>
            </w:pPr>
            <w:r>
              <w:rPr>
                <w:color w:val="1F2937"/>
                <w:sz w:val="17"/>
                <w:szCs w:val="17"/>
              </w:rPr>
              <w:t xml:space="preserve">71 a 90</w:t>
            </w:r>
          </w:p>
        </w:tc>
      </w:tr>
      <w:tr>
        <w:tc>
          <w:tcPr>
            <w:tcW w:type="dxa" w:w="1800"/>
            <w:shd w:fill="F3F4F6" w:color="auto" w:val="clear"/>
            <w:tcMar>
              <w:top w:type="dxa" w:w="80"/>
              <w:left w:type="dxa" w:w="110"/>
              <w:bottom w:type="dxa" w:w="80"/>
              <w:right w:type="dxa" w:w="110"/>
            </w:tcMar>
            <w:vAlign w:val="center"/>
          </w:tcPr>
          <w:p>
            <w:pPr>
              <w:spacing w:after="0" w:line="252"/>
              <w:jc w:val="center"/>
            </w:pPr>
            <w:r>
              <w:rPr>
                <w:color w:val="1F2937"/>
                <w:sz w:val="17"/>
                <w:szCs w:val="17"/>
              </w:rPr>
              <w:t xml:space="preserve">440</w:t>
            </w:r>
          </w:p>
        </w:tc>
        <w:tc>
          <w:tcPr>
            <w:tcW w:type="dxa" w:w="1900"/>
            <w:shd w:fill="F3F4F6" w:color="auto" w:val="clear"/>
            <w:tcMar>
              <w:top w:type="dxa" w:w="80"/>
              <w:left w:type="dxa" w:w="110"/>
              <w:bottom w:type="dxa" w:w="80"/>
              <w:right w:type="dxa" w:w="110"/>
            </w:tcMar>
            <w:vAlign w:val="center"/>
          </w:tcPr>
          <w:p>
            <w:pPr>
              <w:spacing w:after="0" w:line="252"/>
              <w:jc w:val="center"/>
            </w:pPr>
            <w:r>
              <w:rPr>
                <w:color w:val="1F2937"/>
                <w:sz w:val="17"/>
                <w:szCs w:val="17"/>
              </w:rPr>
              <w:t xml:space="preserve">10</w:t>
            </w:r>
          </w:p>
        </w:tc>
        <w:tc>
          <w:tcPr>
            <w:tcW w:type="dxa" w:w="1900"/>
            <w:shd w:fill="F3F4F6" w:color="auto" w:val="clear"/>
            <w:tcMar>
              <w:top w:type="dxa" w:w="80"/>
              <w:left w:type="dxa" w:w="110"/>
              <w:bottom w:type="dxa" w:w="80"/>
              <w:right w:type="dxa" w:w="110"/>
            </w:tcMar>
            <w:vAlign w:val="center"/>
          </w:tcPr>
          <w:p>
            <w:pPr>
              <w:spacing w:after="0" w:line="252"/>
              <w:jc w:val="center"/>
            </w:pPr>
            <w:r>
              <w:rPr>
                <w:color w:val="1F2937"/>
                <w:sz w:val="17"/>
                <w:szCs w:val="17"/>
              </w:rPr>
              <w:t xml:space="preserve">0,10</w:t>
            </w:r>
          </w:p>
        </w:tc>
        <w:tc>
          <w:tcPr>
            <w:tcW w:type="dxa" w:w="2039"/>
            <w:shd w:fill="F3F4F6" w:color="auto" w:val="clear"/>
            <w:tcMar>
              <w:top w:type="dxa" w:w="80"/>
              <w:left w:type="dxa" w:w="110"/>
              <w:bottom w:type="dxa" w:w="80"/>
              <w:right w:type="dxa" w:w="110"/>
            </w:tcMar>
            <w:vAlign w:val="center"/>
          </w:tcPr>
          <w:p>
            <w:pPr>
              <w:spacing w:after="0" w:line="252"/>
              <w:jc w:val="center"/>
            </w:pPr>
            <w:r>
              <w:rPr>
                <w:color w:val="1F2937"/>
                <w:sz w:val="17"/>
                <w:szCs w:val="17"/>
              </w:rPr>
              <w:t xml:space="preserve">1,00</w:t>
            </w:r>
          </w:p>
        </w:tc>
        <w:tc>
          <w:tcPr>
            <w:tcW w:type="dxa" w:w="2000"/>
            <w:shd w:fill="F3F4F6" w:color="auto" w:val="clear"/>
            <w:tcMar>
              <w:top w:type="dxa" w:w="80"/>
              <w:left w:type="dxa" w:w="110"/>
              <w:bottom w:type="dxa" w:w="80"/>
              <w:right w:type="dxa" w:w="110"/>
            </w:tcMar>
            <w:vAlign w:val="center"/>
          </w:tcPr>
          <w:p>
            <w:pPr>
              <w:spacing w:after="0" w:line="252"/>
              <w:jc w:val="center"/>
            </w:pPr>
            <w:r>
              <w:rPr>
                <w:color w:val="1F2937"/>
                <w:sz w:val="17"/>
                <w:szCs w:val="17"/>
              </w:rPr>
              <w:t xml:space="preserve">91 a 00</w:t>
            </w:r>
          </w:p>
        </w:tc>
      </w:tr>
    </w:tbl>
    <w:p>
      <w:pPr>
        <w:pStyle w:val="Heading2"/>
        <w:spacing w:after="120" w:before="240"/>
      </w:pPr>
      <w:r>
        <w:rPr>
          <w:b/>
          <w:bCs/>
          <w:color w:val="0F172A"/>
          <w:sz w:val="24"/>
          <w:szCs w:val="24"/>
        </w:rPr>
        <w:t xml:space="preserve">5.  El inventario acopla el segundo subsistema</w:t>
      </w:r>
    </w:p>
    <w:p>
      <w:pPr>
        <w:spacing w:after="60" w:line="264"/>
      </w:pPr>
      <w:r>
        <w:rPr>
          <w:color w:val="1F2937"/>
          <w:sz w:val="19"/>
          <w:szCs w:val="19"/>
        </w:rPr>
        <w:t xml:space="preserve">Cada carga descuenta litros del tanque. Cuando el combustible disponible cae por debajo del punto de pedido se despacha un camión cisterna, que tarda entre 8 y 36 horas en llegar. Si el tanque se vacía antes, la estación no pierde un cliente: pierde a todos los que llegan hasta que el camión descargue.</w:t>
      </w:r>
    </w:p>
    <w:p>
      <w:pPr>
        <w:spacing w:after="0" w:before="80"/>
        <w:jc w:val="center"/>
      </w:pPr>
      <w:r>
        <w:drawing>
          <wp:inline distT="0" distB="0" distL="0" distR="0">
            <wp:extent cx="5762625"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200275"/>
                    </a:xfrm>
                    <a:prstGeom prst="rect">
                      <a:avLst/>
                    </a:prstGeom>
                  </pic:spPr>
                </pic:pic>
              </a:graphicData>
            </a:graphic>
          </wp:inline>
        </w:drawing>
      </w:r>
    </w:p>
    <w:p>
      <w:pPr>
        <w:spacing w:after="200" w:before="60"/>
        <w:jc w:val="center"/>
      </w:pPr>
      <w:r>
        <w:rPr>
          <w:i/>
          <w:iCs/>
          <w:color w:val="6B7280"/>
          <w:sz w:val="16"/>
          <w:szCs w:val="16"/>
        </w:rPr>
        <w:t xml:space="preserve">Un mes de operación. Cada vez que la curva toca el cero hubo quiebre de stock: con la política actual eso ocurre en el 23 % de los días.</w:t>
      </w:r>
    </w:p>
    <w:p>
      <w:pPr>
        <w:pStyle w:val="Heading2"/>
        <w:spacing w:after="120" w:before="240"/>
      </w:pPr>
      <w:r>
        <w:rPr>
          <w:b/>
          <w:bCs/>
          <w:color w:val="0F172A"/>
          <w:sz w:val="24"/>
          <w:szCs w:val="24"/>
        </w:rPr>
        <w:t xml:space="preserve">6.  Resultado preliminar y próximos pasos</w:t>
      </w:r>
    </w:p>
    <w:p>
      <w:pPr>
        <w:spacing w:after="140" w:line="264"/>
      </w:pPr>
      <w:r>
        <w:rPr>
          <w:b w:val="false"/>
          <w:bCs w:val="false"/>
          <w:color w:val="1F2937"/>
          <w:sz w:val="19"/>
          <w:szCs w:val="19"/>
        </w:rPr>
        <w:t xml:space="preserve">Con los valores de partida, la simulación ya muestra algo que no era evidente: </w:t>
      </w:r>
      <w:r>
        <w:rPr>
          <w:b/>
          <w:bCs/>
          <w:color w:val="1F2937"/>
          <w:sz w:val="19"/>
          <w:szCs w:val="19"/>
        </w:rPr>
        <w:t xml:space="preserve">el cuello de botella no es la capacidad de atención sino el abastecimiento</w:t>
      </w:r>
      <w:r>
        <w:rPr>
          <w:b w:val="false"/>
          <w:bCs w:val="false"/>
          <w:color w:val="1F2937"/>
          <w:sz w:val="19"/>
          <w:szCs w:val="19"/>
        </w:rPr>
        <w:t xml:space="preserve">. Se pierden 15,8 clientes por día por falta de combustible contra 3,7 por cola larga, y corregir la política de reposición ahorra alrededor de $1.500.000 por mes sin invertir un peso, mientras que agregar un surtidor no llega a cubrir su costo.</w:t>
      </w:r>
    </w:p>
    <w:p>
      <w:pPr>
        <w:pStyle w:val="ListParagraph"/>
        <w:numPr>
          <w:ilvl w:val="0"/>
          <w:numId w:val="2"/>
        </w:numPr>
        <w:spacing w:after="80" w:line="264"/>
      </w:pPr>
      <w:r>
        <w:rPr>
          <w:color w:val="1F2937"/>
          <w:sz w:val="19"/>
          <w:szCs w:val="19"/>
        </w:rPr>
        <w:t xml:space="preserve">Reemplazar los valores económicos estimados (margen por litro, flete, costo de almacenamiento) por datos reales.</w:t>
      </w:r>
    </w:p>
    <w:p>
      <w:pPr>
        <w:pStyle w:val="ListParagraph"/>
        <w:numPr>
          <w:ilvl w:val="0"/>
          <w:numId w:val="2"/>
        </w:numPr>
        <w:spacing w:after="80" w:line="264"/>
      </w:pPr>
      <w:r>
        <w:rPr>
          <w:color w:val="1F2937"/>
          <w:sz w:val="19"/>
          <w:szCs w:val="19"/>
        </w:rPr>
        <w:t xml:space="preserve">Confirmar con la cátedra que se acepte el simulador propio en lugar de Simul8 o FlexSim.</w:t>
      </w:r>
    </w:p>
    <w:p>
      <w:pPr>
        <w:pStyle w:val="ListParagraph"/>
        <w:numPr>
          <w:ilvl w:val="0"/>
          <w:numId w:val="2"/>
        </w:numPr>
        <w:spacing w:after="80" w:line="264"/>
      </w:pPr>
      <w:r>
        <w:rPr>
          <w:color w:val="1F2937"/>
          <w:sz w:val="19"/>
          <w:szCs w:val="19"/>
        </w:rPr>
        <w:t xml:space="preserve">Analizar la sensibilidad de la decisión ante aumentos de la demanda.</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d7b401a37cb6607ae7708ef4f0da0e24eebf158.png"/><Relationship Id="rId8" Type="http://schemas.openxmlformats.org/officeDocument/2006/relationships/image" Target="media/e7acb98ac108dfa1d0f738ced4cc4d9de22d4daa.png"/><Relationship Id="rId9" Type="http://schemas.openxmlformats.org/officeDocument/2006/relationships/image" Target="media/1bb39d8fa7cc1a1b4b6a3141fec87b06ed6f9f1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Anteproyecto — Simulación de una estación de servicio</dc:title>
  <dc:creator>Nicolás Andino</dc:creator>
  <dc:description>Presentación de la idea del trabajo práctico de Investigación Operativa</dc:description>
  <cp:lastModifiedBy>Un-named</cp:lastModifiedBy>
  <cp:revision>1</cp:revision>
  <dcterms:created xsi:type="dcterms:W3CDTF">2026-09-14T12:42:26.230Z</dcterms:created>
  <dcterms:modified xsi:type="dcterms:W3CDTF">2026-09-14T12:42:26.233Z</dcterms:modified>
</cp:coreProperties>
</file>

<file path=docProps/custom.xml><?xml version="1.0" encoding="utf-8"?>
<Properties xmlns="http://schemas.openxmlformats.org/officeDocument/2006/custom-properties" xmlns:vt="http://schemas.openxmlformats.org/officeDocument/2006/docPropsVTypes"/>
</file>