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FF326" w14:textId="77777777" w:rsidR="00C34691" w:rsidRPr="00BD0F9A" w:rsidRDefault="00000000">
      <w:pPr>
        <w:spacing w:after="80"/>
        <w:rPr>
          <w:b/>
          <w:bCs/>
        </w:rPr>
      </w:pPr>
      <w:r w:rsidRPr="00BD0F9A">
        <w:rPr>
          <w:b/>
          <w:bCs/>
          <w:color w:val="1F3864"/>
          <w:sz w:val="36"/>
          <w:szCs w:val="36"/>
        </w:rPr>
        <w:t>Patient Support Program Dashboard</w:t>
      </w:r>
    </w:p>
    <w:p w14:paraId="17CFB799" w14:textId="77777777" w:rsidR="00C34691" w:rsidRPr="00B635B4" w:rsidRDefault="00000000">
      <w:pPr>
        <w:spacing w:after="40"/>
      </w:pPr>
      <w:r w:rsidRPr="00B635B4">
        <w:rPr>
          <w:color w:val="6D6E71"/>
          <w:sz w:val="28"/>
          <w:szCs w:val="28"/>
        </w:rPr>
        <w:t>Analysis Report — CY2024</w:t>
      </w:r>
    </w:p>
    <w:p w14:paraId="16C3244D" w14:textId="77777777" w:rsidR="00C34691" w:rsidRPr="00B635B4" w:rsidRDefault="00C34691">
      <w:pPr>
        <w:pBdr>
          <w:bottom w:val="single" w:sz="6" w:space="8" w:color="EB1700"/>
        </w:pBdr>
        <w:spacing w:after="300"/>
      </w:pPr>
    </w:p>
    <w:p w14:paraId="57546EE5" w14:textId="77777777" w:rsidR="00C34691" w:rsidRPr="00B635B4" w:rsidRDefault="00000000">
      <w:pPr>
        <w:spacing w:after="200" w:line="276" w:lineRule="auto"/>
      </w:pPr>
      <w:r w:rsidRPr="00B635B4">
        <w:t>This report covers the findings from my Power BI dashboard analyzing Johnson &amp; Johnson’s patient support program operations for 2024. The data includes 500 enrollment cases, 750 dispense records, 400 prior authorization events, and launch tracking for two newer drugs (AKEEGA and CARVYKTI). Everything is broken out across 5 dashboard pages, and I’ll walk through each one below.</w:t>
      </w:r>
    </w:p>
    <w:p w14:paraId="5D2F279F" w14:textId="655A7317" w:rsidR="00C34691" w:rsidRPr="00B635B4" w:rsidRDefault="00000000">
      <w:pPr>
        <w:spacing w:after="200" w:line="276" w:lineRule="auto"/>
      </w:pPr>
      <w:r w:rsidRPr="00B635B4">
        <w:t xml:space="preserve">Note: This analysis uses synthetic data modeled on realistic PSP operations. The drug names are real J&amp;J/Janssen </w:t>
      </w:r>
      <w:r w:rsidR="00B635B4" w:rsidRPr="00B635B4">
        <w:t>products,</w:t>
      </w:r>
      <w:r w:rsidRPr="00B635B4">
        <w:t xml:space="preserve"> but all patient and case data </w:t>
      </w:r>
      <w:proofErr w:type="gramStart"/>
      <w:r w:rsidRPr="00B635B4">
        <w:t>is</w:t>
      </w:r>
      <w:proofErr w:type="gramEnd"/>
      <w:r w:rsidRPr="00B635B4">
        <w:t xml:space="preserve"> fictional.</w:t>
      </w:r>
    </w:p>
    <w:p w14:paraId="750FF632" w14:textId="77777777" w:rsidR="00C34691" w:rsidRPr="00BD0F9A" w:rsidRDefault="00000000">
      <w:pPr>
        <w:pStyle w:val="Heading1"/>
      </w:pPr>
      <w:r w:rsidRPr="00BD0F9A">
        <w:t>Quick Overview</w:t>
      </w:r>
    </w:p>
    <w:p w14:paraId="0064CA8A" w14:textId="77777777" w:rsidR="00C34691" w:rsidRPr="00B635B4" w:rsidRDefault="00000000">
      <w:pPr>
        <w:spacing w:after="200" w:line="276" w:lineRule="auto"/>
      </w:pPr>
      <w:r w:rsidRPr="00B635B4">
        <w:t>Here are the main numbers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34691" w:rsidRPr="00B635B4" w14:paraId="0B1CE17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BAB2AD" w14:textId="77777777" w:rsidR="00C34691" w:rsidRPr="00B635B4" w:rsidRDefault="00000000">
            <w:pPr>
              <w:jc w:val="center"/>
            </w:pPr>
            <w:r w:rsidRPr="00B635B4">
              <w:rPr>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656692" w14:textId="77777777" w:rsidR="00C34691" w:rsidRPr="00B635B4" w:rsidRDefault="00000000">
            <w:pPr>
              <w:jc w:val="center"/>
            </w:pPr>
            <w:r w:rsidRPr="00B635B4">
              <w:rPr>
                <w:color w:val="FFFFFF"/>
                <w:sz w:val="20"/>
                <w:szCs w:val="20"/>
              </w:rPr>
              <w:t>Value</w:t>
            </w:r>
          </w:p>
        </w:tc>
      </w:tr>
      <w:tr w:rsidR="00C34691" w:rsidRPr="00B635B4" w14:paraId="61E6B2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206FD" w14:textId="77777777" w:rsidR="00C34691" w:rsidRPr="00B635B4" w:rsidRDefault="00000000">
            <w:r w:rsidRPr="00B635B4">
              <w:rPr>
                <w:sz w:val="20"/>
                <w:szCs w:val="20"/>
              </w:rPr>
              <w:t>Total Enrollments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30EAC" w14:textId="77777777" w:rsidR="00C34691" w:rsidRPr="00B635B4" w:rsidRDefault="00000000">
            <w:r w:rsidRPr="00B635B4">
              <w:rPr>
                <w:sz w:val="20"/>
                <w:szCs w:val="20"/>
              </w:rPr>
              <w:t>500</w:t>
            </w:r>
          </w:p>
        </w:tc>
      </w:tr>
      <w:tr w:rsidR="00C34691" w:rsidRPr="00B635B4" w14:paraId="03A0F9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DA64A" w14:textId="77777777" w:rsidR="00C34691" w:rsidRPr="00B635B4" w:rsidRDefault="00000000">
            <w:r w:rsidRPr="00B635B4">
              <w:rPr>
                <w:sz w:val="20"/>
                <w:szCs w:val="20"/>
              </w:rPr>
              <w:t>Avg Days Intake to Ship</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14C83" w14:textId="77777777" w:rsidR="00C34691" w:rsidRPr="00B635B4" w:rsidRDefault="00000000">
            <w:r w:rsidRPr="00B635B4">
              <w:rPr>
                <w:sz w:val="20"/>
                <w:szCs w:val="20"/>
              </w:rPr>
              <w:t>16.53 days</w:t>
            </w:r>
          </w:p>
        </w:tc>
      </w:tr>
      <w:tr w:rsidR="00C34691" w:rsidRPr="00B635B4" w14:paraId="028FBEA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07D02" w14:textId="77777777" w:rsidR="00C34691" w:rsidRPr="00B635B4" w:rsidRDefault="00000000">
            <w:r w:rsidRPr="00B635B4">
              <w:rPr>
                <w:sz w:val="20"/>
                <w:szCs w:val="20"/>
              </w:rPr>
              <w:t>PA Approval Rate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8A286" w14:textId="77777777" w:rsidR="00C34691" w:rsidRPr="00B635B4" w:rsidRDefault="00000000">
            <w:r w:rsidRPr="00B635B4">
              <w:rPr>
                <w:sz w:val="20"/>
                <w:szCs w:val="20"/>
              </w:rPr>
              <w:t>64.17%</w:t>
            </w:r>
          </w:p>
        </w:tc>
      </w:tr>
      <w:tr w:rsidR="00C34691" w:rsidRPr="00B635B4" w14:paraId="05E9CA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0F90F" w14:textId="77777777" w:rsidR="00C34691" w:rsidRPr="00B635B4" w:rsidRDefault="00000000">
            <w:r w:rsidRPr="00B635B4">
              <w:rPr>
                <w:sz w:val="20"/>
                <w:szCs w:val="20"/>
              </w:rPr>
              <w:t>Active Patient Rate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F94BC" w14:textId="77777777" w:rsidR="00C34691" w:rsidRPr="00B635B4" w:rsidRDefault="00000000">
            <w:r w:rsidRPr="00B635B4">
              <w:rPr>
                <w:sz w:val="20"/>
                <w:szCs w:val="20"/>
              </w:rPr>
              <w:t>26.40%</w:t>
            </w:r>
          </w:p>
        </w:tc>
      </w:tr>
      <w:tr w:rsidR="00C34691" w:rsidRPr="00B635B4" w14:paraId="65B3C7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7F1DE" w14:textId="77777777" w:rsidR="00C34691" w:rsidRPr="00B635B4" w:rsidRDefault="00000000">
            <w:r w:rsidRPr="00B635B4">
              <w:rPr>
                <w:sz w:val="20"/>
                <w:szCs w:val="20"/>
              </w:rPr>
              <w:t>Total Dispenses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6C0EB" w14:textId="77777777" w:rsidR="00C34691" w:rsidRPr="00B635B4" w:rsidRDefault="00000000">
            <w:r w:rsidRPr="00B635B4">
              <w:rPr>
                <w:sz w:val="20"/>
                <w:szCs w:val="20"/>
              </w:rPr>
              <w:t>750</w:t>
            </w:r>
          </w:p>
        </w:tc>
      </w:tr>
      <w:tr w:rsidR="00C34691" w:rsidRPr="00B635B4" w14:paraId="0BB286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CA79F" w14:textId="77777777" w:rsidR="00C34691" w:rsidRPr="00B635B4" w:rsidRDefault="00000000">
            <w:r w:rsidRPr="00B635B4">
              <w:rPr>
                <w:sz w:val="20"/>
                <w:szCs w:val="20"/>
              </w:rPr>
              <w:t>Copay Assist Utilization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740EC" w14:textId="77777777" w:rsidR="00C34691" w:rsidRPr="00B635B4" w:rsidRDefault="00000000">
            <w:r w:rsidRPr="00B635B4">
              <w:rPr>
                <w:sz w:val="20"/>
                <w:szCs w:val="20"/>
              </w:rPr>
              <w:t>58.00%</w:t>
            </w:r>
          </w:p>
        </w:tc>
      </w:tr>
      <w:tr w:rsidR="00C34691" w:rsidRPr="00B635B4" w14:paraId="008FC1D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E1A56" w14:textId="77777777" w:rsidR="00C34691" w:rsidRPr="00B635B4" w:rsidRDefault="00000000">
            <w:r w:rsidRPr="00B635B4">
              <w:rPr>
                <w:sz w:val="20"/>
                <w:szCs w:val="20"/>
              </w:rPr>
              <w:t>Avg First Fill Rate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54689" w14:textId="77777777" w:rsidR="00C34691" w:rsidRPr="00B635B4" w:rsidRDefault="00000000">
            <w:r w:rsidRPr="00B635B4">
              <w:rPr>
                <w:sz w:val="20"/>
                <w:szCs w:val="20"/>
              </w:rPr>
              <w:t>80.26%</w:t>
            </w:r>
          </w:p>
        </w:tc>
      </w:tr>
      <w:tr w:rsidR="00C34691" w:rsidRPr="00B635B4" w14:paraId="41E88F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B7D24" w14:textId="77777777" w:rsidR="00C34691" w:rsidRPr="00B635B4" w:rsidRDefault="00000000">
            <w:r w:rsidRPr="00B635B4">
              <w:rPr>
                <w:sz w:val="20"/>
                <w:szCs w:val="20"/>
              </w:rPr>
              <w:t>Appeal Overturn Rate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C9E7B" w14:textId="77777777" w:rsidR="00C34691" w:rsidRPr="00B635B4" w:rsidRDefault="00000000">
            <w:r w:rsidRPr="00B635B4">
              <w:rPr>
                <w:sz w:val="20"/>
                <w:szCs w:val="20"/>
              </w:rPr>
              <w:t>40.85%</w:t>
            </w:r>
          </w:p>
        </w:tc>
      </w:tr>
    </w:tbl>
    <w:p w14:paraId="11E30150" w14:textId="77777777" w:rsidR="00C34691" w:rsidRPr="00B635B4" w:rsidRDefault="00C34691">
      <w:pPr>
        <w:spacing w:after="120"/>
      </w:pPr>
    </w:p>
    <w:p w14:paraId="4CB61FE5" w14:textId="77777777" w:rsidR="00C34691" w:rsidRPr="00B635B4" w:rsidRDefault="00000000">
      <w:r w:rsidRPr="00B635B4">
        <w:br w:type="page"/>
      </w:r>
    </w:p>
    <w:p w14:paraId="01F27920" w14:textId="77777777" w:rsidR="00C34691" w:rsidRPr="00BD0F9A" w:rsidRDefault="00000000">
      <w:pPr>
        <w:pStyle w:val="Heading1"/>
      </w:pPr>
      <w:r w:rsidRPr="00BD0F9A">
        <w:lastRenderedPageBreak/>
        <w:t>Page 1: Enrollment Journey &amp; Operational Efficiency</w:t>
      </w:r>
    </w:p>
    <w:p w14:paraId="4E1D6770" w14:textId="7362D697" w:rsidR="00C34691" w:rsidRPr="00B635B4" w:rsidRDefault="00000000">
      <w:pPr>
        <w:spacing w:after="200" w:line="276" w:lineRule="auto"/>
      </w:pPr>
      <w:r w:rsidRPr="00B635B4">
        <w:t>This page looks at how patients move through the enrollment process</w:t>
      </w:r>
      <w:r w:rsidR="00B635B4" w:rsidRPr="00B635B4">
        <w:t>. F</w:t>
      </w:r>
      <w:r w:rsidRPr="00B635B4">
        <w:t>rom the initial intake all the way to getting their medication shipped from a specialty pharmacy.</w:t>
      </w:r>
    </w:p>
    <w:p w14:paraId="591610F9" w14:textId="298EECBC" w:rsidR="00C34691" w:rsidRPr="00BD0F9A" w:rsidRDefault="00000000">
      <w:pPr>
        <w:pStyle w:val="Heading2"/>
      </w:pPr>
      <w:r w:rsidRPr="00BD0F9A">
        <w:t>Top</w:t>
      </w:r>
      <w:r w:rsidR="00B635B4" w:rsidRPr="00BD0F9A">
        <w:t xml:space="preserve"> </w:t>
      </w:r>
      <w:r w:rsidRPr="00BD0F9A">
        <w:t>Level KPIs</w:t>
      </w:r>
    </w:p>
    <w:p w14:paraId="3E9616C5" w14:textId="77777777" w:rsidR="00C34691" w:rsidRPr="00B635B4" w:rsidRDefault="00000000">
      <w:pPr>
        <w:spacing w:after="200" w:line="276" w:lineRule="auto"/>
      </w:pPr>
      <w:r w:rsidRPr="00B635B4">
        <w:t>The five cards across the top give a quick snapshot:</w:t>
      </w:r>
    </w:p>
    <w:p w14:paraId="1EF45624" w14:textId="77777777" w:rsidR="00C34691" w:rsidRPr="00B635B4" w:rsidRDefault="00000000">
      <w:pPr>
        <w:pStyle w:val="ListParagraph"/>
        <w:numPr>
          <w:ilvl w:val="0"/>
          <w:numId w:val="2"/>
        </w:numPr>
        <w:spacing w:after="100" w:line="276" w:lineRule="auto"/>
      </w:pPr>
      <w:r w:rsidRPr="00B635B4">
        <w:t>500 total enrollments for the year</w:t>
      </w:r>
    </w:p>
    <w:p w14:paraId="1E995D00" w14:textId="77777777" w:rsidR="00C34691" w:rsidRPr="00B635B4" w:rsidRDefault="00000000">
      <w:pPr>
        <w:pStyle w:val="ListParagraph"/>
        <w:numPr>
          <w:ilvl w:val="0"/>
          <w:numId w:val="2"/>
        </w:numPr>
        <w:spacing w:after="100" w:line="276" w:lineRule="auto"/>
      </w:pPr>
      <w:r w:rsidRPr="00B635B4">
        <w:t>It takes about 5.93 days on average to verify a patient’s benefits</w:t>
      </w:r>
    </w:p>
    <w:p w14:paraId="7C918C22" w14:textId="77777777" w:rsidR="00C34691" w:rsidRPr="00B635B4" w:rsidRDefault="00000000">
      <w:pPr>
        <w:pStyle w:val="ListParagraph"/>
        <w:numPr>
          <w:ilvl w:val="0"/>
          <w:numId w:val="2"/>
        </w:numPr>
        <w:spacing w:after="100" w:line="276" w:lineRule="auto"/>
      </w:pPr>
      <w:r w:rsidRPr="00B635B4">
        <w:t>The full process from intake to shipment averages 16.53 days</w:t>
      </w:r>
    </w:p>
    <w:p w14:paraId="76B9EAF6" w14:textId="77777777" w:rsidR="00C34691" w:rsidRPr="00B635B4" w:rsidRDefault="00000000">
      <w:pPr>
        <w:pStyle w:val="ListParagraph"/>
        <w:numPr>
          <w:ilvl w:val="0"/>
          <w:numId w:val="2"/>
        </w:numPr>
        <w:spacing w:after="100" w:line="276" w:lineRule="auto"/>
      </w:pPr>
      <w:r w:rsidRPr="00B635B4">
        <w:t>PA approval rate sits at 64.17%, which is lower than I’d expect</w:t>
      </w:r>
    </w:p>
    <w:p w14:paraId="5577CDE3" w14:textId="77777777" w:rsidR="00C34691" w:rsidRPr="00B635B4" w:rsidRDefault="00000000">
      <w:pPr>
        <w:pStyle w:val="ListParagraph"/>
        <w:numPr>
          <w:ilvl w:val="0"/>
          <w:numId w:val="2"/>
        </w:numPr>
        <w:spacing w:after="100" w:line="276" w:lineRule="auto"/>
      </w:pPr>
      <w:r w:rsidRPr="00B635B4">
        <w:t>Only 26.40% of patients are currently in an active status, which stands out as a concern</w:t>
      </w:r>
    </w:p>
    <w:p w14:paraId="7022544E" w14:textId="77777777" w:rsidR="00C34691" w:rsidRPr="00BD0F9A" w:rsidRDefault="00000000">
      <w:pPr>
        <w:pStyle w:val="Heading2"/>
      </w:pPr>
      <w:r w:rsidRPr="00BD0F9A">
        <w:t>Enrollment Funnel</w:t>
      </w:r>
    </w:p>
    <w:p w14:paraId="7009222E" w14:textId="4C693311" w:rsidR="00C34691" w:rsidRPr="00B635B4" w:rsidRDefault="00000000">
      <w:pPr>
        <w:spacing w:after="200" w:line="276" w:lineRule="auto"/>
      </w:pPr>
      <w:r w:rsidRPr="00B635B4">
        <w:t>The funnel chart shows where patients drop off. Starting with 500 enrolled patients, all 500 get verified, but then it drops to 309 at the PA clearance stage</w:t>
      </w:r>
      <w:r w:rsidR="00B635B4" w:rsidRPr="00B635B4">
        <w:t>. T</w:t>
      </w:r>
      <w:r w:rsidRPr="00B635B4">
        <w:t>hat’s about a 38% drop. From there, only 208 get a prescription sent to the specialty pharmacy, and 208 are ultimately shipped.</w:t>
      </w:r>
    </w:p>
    <w:p w14:paraId="297123A4" w14:textId="77777777" w:rsidR="00C34691" w:rsidRPr="00B635B4" w:rsidRDefault="00000000">
      <w:pPr>
        <w:spacing w:after="200" w:line="276" w:lineRule="auto"/>
      </w:pPr>
      <w:r w:rsidRPr="00B635B4">
        <w:t>The big takeaway here is that the PA process is where we’re losing the most patients. Almost 4 out of 10 patients who get verified can’t clear the prior authorization step.</w:t>
      </w:r>
    </w:p>
    <w:p w14:paraId="747117D4" w14:textId="77777777" w:rsidR="00C34691" w:rsidRPr="00BD0F9A" w:rsidRDefault="00000000">
      <w:pPr>
        <w:pStyle w:val="Heading2"/>
      </w:pPr>
      <w:r w:rsidRPr="00BD0F9A">
        <w:t>Days to Ship by Enrollment Channel</w:t>
      </w:r>
    </w:p>
    <w:p w14:paraId="31AC0445" w14:textId="20F49AFC" w:rsidR="00C34691" w:rsidRPr="00B635B4" w:rsidRDefault="00000000">
      <w:pPr>
        <w:spacing w:after="200" w:line="276" w:lineRule="auto"/>
      </w:pPr>
      <w:r w:rsidRPr="00B635B4">
        <w:t xml:space="preserve">The bar chart compares how fast different enrollment channels process patients. HCP Portal is the fastest at 15.39 days and Phone (IVR) is the slowest at 17.73 days. That’s about a </w:t>
      </w:r>
      <w:r w:rsidR="00B635B4" w:rsidRPr="00B635B4">
        <w:t>2.3-day</w:t>
      </w:r>
      <w:r w:rsidRPr="00B635B4">
        <w:t xml:space="preserve"> gap, which might not sound like much, but when you multiply it across hundreds of patients, it adds up. The digital channels (HCP Portal, </w:t>
      </w:r>
      <w:proofErr w:type="spellStart"/>
      <w:r w:rsidRPr="00B635B4">
        <w:t>eRx</w:t>
      </w:r>
      <w:proofErr w:type="spellEnd"/>
      <w:r w:rsidRPr="00B635B4">
        <w:t>/EMR) consistently beat the manual ones (phone, fax, field rep).</w:t>
      </w:r>
    </w:p>
    <w:p w14:paraId="2F2CA668" w14:textId="77777777" w:rsidR="00C34691" w:rsidRPr="00BD0F9A" w:rsidRDefault="00000000">
      <w:pPr>
        <w:pStyle w:val="Heading2"/>
      </w:pPr>
      <w:r w:rsidRPr="00BD0F9A">
        <w:t>Heat Map</w:t>
      </w:r>
    </w:p>
    <w:p w14:paraId="5EF8A75D" w14:textId="700114CE" w:rsidR="00C34691" w:rsidRPr="00B635B4" w:rsidRDefault="00000000">
      <w:pPr>
        <w:spacing w:after="200" w:line="276" w:lineRule="auto"/>
      </w:pPr>
      <w:r w:rsidRPr="00B635B4">
        <w:t>The matrix shows average days to ship broken out by drug and quarter, color</w:t>
      </w:r>
      <w:r w:rsidR="00B635B4" w:rsidRPr="00B635B4">
        <w:t xml:space="preserve"> </w:t>
      </w:r>
      <w:r w:rsidRPr="00B635B4">
        <w:t>coded green to red. Some drugs like ERLEADA and IMBRUVICA consistently run slower, probably because they have more complex PA requirements. You can also spot some quarterly spikes that might line up with payer policy changes.</w:t>
      </w:r>
    </w:p>
    <w:p w14:paraId="043994D9" w14:textId="77777777" w:rsidR="00C34691" w:rsidRPr="00BD0F9A" w:rsidRDefault="00000000">
      <w:pPr>
        <w:pStyle w:val="Heading2"/>
      </w:pPr>
      <w:r w:rsidRPr="00BD0F9A">
        <w:t>Donut Charts</w:t>
      </w:r>
    </w:p>
    <w:p w14:paraId="300FF830" w14:textId="77777777" w:rsidR="00C34691" w:rsidRPr="00B635B4" w:rsidRDefault="00000000">
      <w:pPr>
        <w:spacing w:after="200" w:line="276" w:lineRule="auto"/>
      </w:pPr>
      <w:r w:rsidRPr="00B635B4">
        <w:t>Three donuts at the bottom show the mix of payer types (Commercial is the biggest at 38.4%), hub service distribution (pretty evenly split), and patient statuses.</w:t>
      </w:r>
    </w:p>
    <w:p w14:paraId="6FB11B7B" w14:textId="77777777" w:rsidR="00C34691" w:rsidRPr="00BD0F9A" w:rsidRDefault="00000000">
      <w:pPr>
        <w:pStyle w:val="Heading2"/>
      </w:pPr>
      <w:r w:rsidRPr="00BD0F9A">
        <w:t>What I’d Recommend</w:t>
      </w:r>
    </w:p>
    <w:p w14:paraId="787839E9" w14:textId="77777777" w:rsidR="00C34691" w:rsidRPr="00B635B4" w:rsidRDefault="00000000">
      <w:pPr>
        <w:pStyle w:val="ListParagraph"/>
        <w:numPr>
          <w:ilvl w:val="0"/>
          <w:numId w:val="3"/>
        </w:numPr>
        <w:spacing w:after="100" w:line="276" w:lineRule="auto"/>
      </w:pPr>
      <w:r w:rsidRPr="00B635B4">
        <w:lastRenderedPageBreak/>
        <w:t xml:space="preserve">Push more enrollments to digital channels. If we can get 60% of volume onto HCP Portal or </w:t>
      </w:r>
      <w:proofErr w:type="spellStart"/>
      <w:r w:rsidRPr="00B635B4">
        <w:t>eRx</w:t>
      </w:r>
      <w:proofErr w:type="spellEnd"/>
      <w:r w:rsidRPr="00B635B4">
        <w:t>, we should be able to shave 1–2 days off the average processing time.</w:t>
      </w:r>
    </w:p>
    <w:p w14:paraId="3752A624" w14:textId="25B50862" w:rsidR="00C34691" w:rsidRPr="00B635B4" w:rsidRDefault="00000000">
      <w:pPr>
        <w:pStyle w:val="ListParagraph"/>
        <w:numPr>
          <w:ilvl w:val="0"/>
          <w:numId w:val="3"/>
        </w:numPr>
        <w:spacing w:after="100" w:line="276" w:lineRule="auto"/>
      </w:pPr>
      <w:r w:rsidRPr="00B635B4">
        <w:t>Dig into the PA drop</w:t>
      </w:r>
      <w:r w:rsidR="00B635B4" w:rsidRPr="00B635B4">
        <w:t xml:space="preserve"> </w:t>
      </w:r>
      <w:r w:rsidRPr="00B635B4">
        <w:t>off. 38% of patients are getting stuck at PA clearance. We need to figure out which payers and drugs are causing the most problems and address them directly.</w:t>
      </w:r>
    </w:p>
    <w:p w14:paraId="78BC8EB6" w14:textId="3FBD048F" w:rsidR="00C34691" w:rsidRPr="00B635B4" w:rsidRDefault="00000000">
      <w:pPr>
        <w:pStyle w:val="ListParagraph"/>
        <w:numPr>
          <w:ilvl w:val="0"/>
          <w:numId w:val="3"/>
        </w:numPr>
        <w:spacing w:after="100" w:line="276" w:lineRule="auto"/>
      </w:pPr>
      <w:r w:rsidRPr="00B635B4">
        <w:t>Look into the low active rate. 26% is concerning. A follow</w:t>
      </w:r>
      <w:r w:rsidR="00B635B4" w:rsidRPr="00B635B4">
        <w:t xml:space="preserve"> </w:t>
      </w:r>
      <w:r w:rsidRPr="00B635B4">
        <w:t>up program at 30, 60, and 90 days could help catch patients before they drop off.</w:t>
      </w:r>
    </w:p>
    <w:p w14:paraId="74BBE1F0" w14:textId="77777777" w:rsidR="00C34691" w:rsidRPr="00B635B4" w:rsidRDefault="00000000">
      <w:r w:rsidRPr="00B635B4">
        <w:br w:type="page"/>
      </w:r>
    </w:p>
    <w:p w14:paraId="66D79DE9" w14:textId="77777777" w:rsidR="00C34691" w:rsidRPr="00BD0F9A" w:rsidRDefault="00000000">
      <w:pPr>
        <w:pStyle w:val="Heading1"/>
      </w:pPr>
      <w:r w:rsidRPr="00BD0F9A">
        <w:lastRenderedPageBreak/>
        <w:t>Page 2: Monthly KPI Trends &amp; Benchmarking</w:t>
      </w:r>
    </w:p>
    <w:p w14:paraId="78D1D8DF" w14:textId="77777777" w:rsidR="00C34691" w:rsidRPr="00B635B4" w:rsidRDefault="00000000">
      <w:pPr>
        <w:spacing w:after="200" w:line="276" w:lineRule="auto"/>
      </w:pPr>
      <w:r w:rsidRPr="00B635B4">
        <w:t>This page tracks how the key metrics change month to month and compares performance across drugs and therapeutic areas.</w:t>
      </w:r>
    </w:p>
    <w:p w14:paraId="2579CC10" w14:textId="1DD8E4D6" w:rsidR="00C34691" w:rsidRPr="00BD0F9A" w:rsidRDefault="00000000">
      <w:pPr>
        <w:pStyle w:val="Heading2"/>
      </w:pPr>
      <w:r w:rsidRPr="00BD0F9A">
        <w:t>Top</w:t>
      </w:r>
      <w:r w:rsidR="00B635B4" w:rsidRPr="00BD0F9A">
        <w:t xml:space="preserve"> </w:t>
      </w:r>
      <w:r w:rsidRPr="00BD0F9A">
        <w:t>Level KPIs</w:t>
      </w:r>
    </w:p>
    <w:p w14:paraId="4C964EC3" w14:textId="77777777" w:rsidR="00C34691" w:rsidRPr="00B635B4" w:rsidRDefault="00000000">
      <w:pPr>
        <w:pStyle w:val="ListParagraph"/>
        <w:numPr>
          <w:ilvl w:val="0"/>
          <w:numId w:val="2"/>
        </w:numPr>
        <w:spacing w:after="100" w:line="276" w:lineRule="auto"/>
      </w:pPr>
      <w:r w:rsidRPr="00B635B4">
        <w:t>29K total new enrollments across all drugs for the year</w:t>
      </w:r>
    </w:p>
    <w:p w14:paraId="3D587D96" w14:textId="154EA7B4" w:rsidR="00C34691" w:rsidRPr="00B635B4" w:rsidRDefault="00000000">
      <w:pPr>
        <w:pStyle w:val="ListParagraph"/>
        <w:numPr>
          <w:ilvl w:val="0"/>
          <w:numId w:val="2"/>
        </w:numPr>
        <w:spacing w:after="100" w:line="276" w:lineRule="auto"/>
      </w:pPr>
      <w:r w:rsidRPr="00B635B4">
        <w:t>80.26% first fill rate</w:t>
      </w:r>
      <w:r w:rsidR="00B635B4" w:rsidRPr="00B635B4">
        <w:t>. T</w:t>
      </w:r>
      <w:r w:rsidRPr="00B635B4">
        <w:t>his is right at the 80% benchmark, which is decent</w:t>
      </w:r>
    </w:p>
    <w:p w14:paraId="06D6A8CE" w14:textId="748947C4" w:rsidR="00C34691" w:rsidRPr="00B635B4" w:rsidRDefault="00000000">
      <w:pPr>
        <w:pStyle w:val="ListParagraph"/>
        <w:numPr>
          <w:ilvl w:val="0"/>
          <w:numId w:val="2"/>
        </w:numPr>
        <w:spacing w:after="100" w:line="276" w:lineRule="auto"/>
      </w:pPr>
      <w:r w:rsidRPr="00B635B4">
        <w:t xml:space="preserve">70.55% </w:t>
      </w:r>
      <w:proofErr w:type="gramStart"/>
      <w:r w:rsidRPr="00B635B4">
        <w:t>six</w:t>
      </w:r>
      <w:r w:rsidR="00B635B4" w:rsidRPr="00B635B4">
        <w:t xml:space="preserve"> </w:t>
      </w:r>
      <w:r w:rsidRPr="00B635B4">
        <w:t>month</w:t>
      </w:r>
      <w:proofErr w:type="gramEnd"/>
      <w:r w:rsidRPr="00B635B4">
        <w:t xml:space="preserve"> adherence rate</w:t>
      </w:r>
      <w:r w:rsidR="00B635B4" w:rsidRPr="00B635B4">
        <w:t>. T</w:t>
      </w:r>
      <w:r w:rsidRPr="00B635B4">
        <w:t xml:space="preserve">his is below where we’d </w:t>
      </w:r>
      <w:r w:rsidR="00B635B4" w:rsidRPr="00B635B4">
        <w:t>like to know</w:t>
      </w:r>
      <w:r w:rsidRPr="00B635B4">
        <w:t xml:space="preserve"> (ideally 80%+)</w:t>
      </w:r>
    </w:p>
    <w:p w14:paraId="74169AFC" w14:textId="77777777" w:rsidR="00C34691" w:rsidRPr="00B635B4" w:rsidRDefault="00000000">
      <w:pPr>
        <w:pStyle w:val="ListParagraph"/>
        <w:numPr>
          <w:ilvl w:val="0"/>
          <w:numId w:val="2"/>
        </w:numPr>
        <w:spacing w:after="100" w:line="276" w:lineRule="auto"/>
      </w:pPr>
      <w:r w:rsidRPr="00B635B4">
        <w:t>44K copay assistance claims processed</w:t>
      </w:r>
    </w:p>
    <w:p w14:paraId="22449F93" w14:textId="77777777" w:rsidR="00C34691" w:rsidRPr="00BD0F9A" w:rsidRDefault="00000000">
      <w:pPr>
        <w:pStyle w:val="Heading2"/>
      </w:pPr>
      <w:r w:rsidRPr="00BD0F9A">
        <w:t>Monthly Volume vs. Processing Speed</w:t>
      </w:r>
    </w:p>
    <w:p w14:paraId="3DAA7EC7" w14:textId="07190384" w:rsidR="00C34691" w:rsidRPr="00B635B4" w:rsidRDefault="00000000">
      <w:pPr>
        <w:spacing w:after="200" w:line="276" w:lineRule="auto"/>
      </w:pPr>
      <w:r w:rsidRPr="00B635B4">
        <w:t>The combo chart shows enrollment bars and a line for average processing days. The good news is that processing time stays pretty flat (14–20 days) even when enrollment volume fluctuates. That tells me the hub is handling the workload without getting backed up. There’s a noticeable dip in enrollment around July that recovers by September</w:t>
      </w:r>
      <w:r w:rsidR="00B635B4" w:rsidRPr="00B635B4">
        <w:t>. Co</w:t>
      </w:r>
      <w:r w:rsidRPr="00B635B4">
        <w:t>uld be seasonal or related to field force coverage.</w:t>
      </w:r>
    </w:p>
    <w:p w14:paraId="50CE70DC" w14:textId="77777777" w:rsidR="00C34691" w:rsidRPr="00BD0F9A" w:rsidRDefault="00000000">
      <w:pPr>
        <w:pStyle w:val="Heading2"/>
      </w:pPr>
      <w:r w:rsidRPr="00BD0F9A">
        <w:t>Processing Time by Therapeutic Area</w:t>
      </w:r>
    </w:p>
    <w:p w14:paraId="1ACC7639" w14:textId="5CF1CC27" w:rsidR="00C34691" w:rsidRPr="00B635B4" w:rsidRDefault="00000000">
      <w:pPr>
        <w:spacing w:after="200" w:line="276" w:lineRule="auto"/>
      </w:pPr>
      <w:r w:rsidRPr="00B635B4">
        <w:t xml:space="preserve">The line chart breaks processing time into four therapeutic areas. Cardiovascular (basically XARELTO) tends to process </w:t>
      </w:r>
      <w:r w:rsidR="00B635B4" w:rsidRPr="00B635B4">
        <w:t>fast</w:t>
      </w:r>
      <w:r w:rsidRPr="00B635B4">
        <w:t xml:space="preserve"> since it has well</w:t>
      </w:r>
      <w:r w:rsidR="00B635B4" w:rsidRPr="00B635B4">
        <w:t xml:space="preserve"> </w:t>
      </w:r>
      <w:r w:rsidRPr="00B635B4">
        <w:t>established payer pathways. Oncology drugs bounce around more</w:t>
      </w:r>
      <w:r w:rsidR="00B635B4" w:rsidRPr="00B635B4">
        <w:t>. P</w:t>
      </w:r>
      <w:r w:rsidRPr="00B635B4">
        <w:t>robably because of more complex PA processes and REMS requirements. Immunology is pretty steady in the middle.</w:t>
      </w:r>
    </w:p>
    <w:p w14:paraId="30E03B6E" w14:textId="77777777" w:rsidR="00C34691" w:rsidRPr="00BD0F9A" w:rsidRDefault="00000000">
      <w:pPr>
        <w:pStyle w:val="Heading2"/>
      </w:pPr>
      <w:r w:rsidRPr="00BD0F9A">
        <w:t>PA Approval vs. First Fill Rate</w:t>
      </w:r>
    </w:p>
    <w:p w14:paraId="2554B2D2" w14:textId="5D2D1240" w:rsidR="00C34691" w:rsidRPr="00B635B4" w:rsidRDefault="00000000">
      <w:pPr>
        <w:spacing w:after="200" w:line="276" w:lineRule="auto"/>
      </w:pPr>
      <w:r w:rsidRPr="00B635B4">
        <w:t>This scatter plot is probably the most interesting visual on the page. Each bubble is a drug, positioned by its PA approval rate (x-axis) and first fill rate (y-axis), with bubble size showing volume. The dashed lines at 75% approval and 80% fill create four quadrants. Drugs in the bottom</w:t>
      </w:r>
      <w:r w:rsidR="00B635B4" w:rsidRPr="00B635B4">
        <w:t xml:space="preserve"> </w:t>
      </w:r>
      <w:r w:rsidRPr="00B635B4">
        <w:t>left have both access and fulfillment issues. Drugs in the top</w:t>
      </w:r>
      <w:r w:rsidR="00B635B4" w:rsidRPr="00B635B4">
        <w:t xml:space="preserve"> </w:t>
      </w:r>
      <w:r w:rsidRPr="00B635B4">
        <w:t xml:space="preserve">right are performing well on both fronts. Any drug that has high </w:t>
      </w:r>
      <w:r w:rsidR="00B635B4" w:rsidRPr="00B635B4">
        <w:t>approval,</w:t>
      </w:r>
      <w:r w:rsidRPr="00B635B4">
        <w:t xml:space="preserve"> but low fill rate suggests something is going wrong after PA</w:t>
      </w:r>
      <w:r w:rsidR="00B635B4" w:rsidRPr="00B635B4">
        <w:t xml:space="preserve">. I would suspect </w:t>
      </w:r>
      <w:r w:rsidRPr="00B635B4">
        <w:t>a pharmacy or shipping issue.</w:t>
      </w:r>
    </w:p>
    <w:p w14:paraId="3D5CDD2F" w14:textId="77777777" w:rsidR="00C34691" w:rsidRPr="00BD0F9A" w:rsidRDefault="00000000">
      <w:pPr>
        <w:pStyle w:val="Heading2"/>
      </w:pPr>
      <w:r w:rsidRPr="00BD0F9A">
        <w:t>Copay Assistance</w:t>
      </w:r>
    </w:p>
    <w:p w14:paraId="2E9E2513" w14:textId="77777777" w:rsidR="00C34691" w:rsidRPr="00B635B4" w:rsidRDefault="00000000">
      <w:pPr>
        <w:spacing w:after="200" w:line="276" w:lineRule="auto"/>
      </w:pPr>
      <w:r w:rsidRPr="00B635B4">
        <w:t>The bar chart ranks drugs by copay assistance claims. DARZALEX and XARELTO use the most copay support, which makes sense given their higher patient volumes and cost burden.</w:t>
      </w:r>
    </w:p>
    <w:p w14:paraId="04010AF2" w14:textId="77777777" w:rsidR="00C34691" w:rsidRPr="00BD0F9A" w:rsidRDefault="00000000">
      <w:pPr>
        <w:pStyle w:val="Heading2"/>
      </w:pPr>
      <w:r w:rsidRPr="00BD0F9A">
        <w:t>What I’d Recommend</w:t>
      </w:r>
    </w:p>
    <w:p w14:paraId="370D8C81" w14:textId="090A9233" w:rsidR="00C34691" w:rsidRPr="00B635B4" w:rsidRDefault="00000000">
      <w:pPr>
        <w:pStyle w:val="ListParagraph"/>
        <w:numPr>
          <w:ilvl w:val="0"/>
          <w:numId w:val="4"/>
        </w:numPr>
        <w:spacing w:after="100" w:line="276" w:lineRule="auto"/>
      </w:pPr>
      <w:r w:rsidRPr="00B635B4">
        <w:t xml:space="preserve">Work on adherence. 70.55% is below target. Automated refill reminders around day 21 of a </w:t>
      </w:r>
      <w:r w:rsidR="00B635B4" w:rsidRPr="00B635B4">
        <w:t>28-day</w:t>
      </w:r>
      <w:r w:rsidRPr="00B635B4">
        <w:t xml:space="preserve"> supply, plus nurse outreach for anyone missing their second fill, would be a good start.</w:t>
      </w:r>
    </w:p>
    <w:p w14:paraId="1DD3F93F" w14:textId="58FF0E09" w:rsidR="00C34691" w:rsidRPr="00B635B4" w:rsidRDefault="00000000">
      <w:pPr>
        <w:pStyle w:val="ListParagraph"/>
        <w:numPr>
          <w:ilvl w:val="0"/>
          <w:numId w:val="4"/>
        </w:numPr>
        <w:spacing w:after="100" w:line="276" w:lineRule="auto"/>
      </w:pPr>
      <w:r w:rsidRPr="00B635B4">
        <w:lastRenderedPageBreak/>
        <w:t>Focus on the bottom</w:t>
      </w:r>
      <w:r w:rsidR="00B635B4" w:rsidRPr="00B635B4">
        <w:t xml:space="preserve"> </w:t>
      </w:r>
      <w:r w:rsidRPr="00B635B4">
        <w:t>left quadrant drugs. These need both better payer engagement and fulfillment support.</w:t>
      </w:r>
    </w:p>
    <w:p w14:paraId="680DAB31" w14:textId="27E34267" w:rsidR="00C34691" w:rsidRPr="00B635B4" w:rsidRDefault="00000000">
      <w:pPr>
        <w:pStyle w:val="ListParagraph"/>
        <w:numPr>
          <w:ilvl w:val="0"/>
          <w:numId w:val="4"/>
        </w:numPr>
        <w:spacing w:after="100" w:line="276" w:lineRule="auto"/>
      </w:pPr>
      <w:r w:rsidRPr="00B635B4">
        <w:t xml:space="preserve">Figure out the July dip. Worth checking if </w:t>
      </w:r>
      <w:r w:rsidR="00B635B4" w:rsidRPr="00B635B4">
        <w:t>its</w:t>
      </w:r>
      <w:r w:rsidRPr="00B635B4">
        <w:t xml:space="preserve"> seasonal, payer</w:t>
      </w:r>
      <w:r w:rsidR="00B635B4" w:rsidRPr="00B635B4">
        <w:t xml:space="preserve"> </w:t>
      </w:r>
      <w:r w:rsidRPr="00B635B4">
        <w:t>related, or a staffing gap.</w:t>
      </w:r>
    </w:p>
    <w:p w14:paraId="6F6D77AD" w14:textId="77777777" w:rsidR="00C34691" w:rsidRPr="00B635B4" w:rsidRDefault="00000000">
      <w:r w:rsidRPr="00B635B4">
        <w:br w:type="page"/>
      </w:r>
    </w:p>
    <w:p w14:paraId="559511DF" w14:textId="77777777" w:rsidR="00C34691" w:rsidRPr="00BD0F9A" w:rsidRDefault="00000000">
      <w:pPr>
        <w:pStyle w:val="Heading1"/>
      </w:pPr>
      <w:r w:rsidRPr="00BD0F9A">
        <w:lastRenderedPageBreak/>
        <w:t>Page 3: Dispense Analytics &amp; SP Performance</w:t>
      </w:r>
    </w:p>
    <w:p w14:paraId="52DB72C0" w14:textId="1BACE355" w:rsidR="00C34691" w:rsidRPr="00B635B4" w:rsidRDefault="00000000">
      <w:pPr>
        <w:spacing w:after="200" w:line="276" w:lineRule="auto"/>
      </w:pPr>
      <w:r w:rsidRPr="00B635B4">
        <w:t>This page looks at the specialty pharmacy side of things</w:t>
      </w:r>
      <w:r w:rsidR="00B635B4" w:rsidRPr="00B635B4">
        <w:t>. H</w:t>
      </w:r>
      <w:r w:rsidRPr="00B635B4">
        <w:t>ow the pharmacies are performing, what the financials look like, and where volume is concentrated.</w:t>
      </w:r>
    </w:p>
    <w:p w14:paraId="47CE0851" w14:textId="17A79B08" w:rsidR="00C34691" w:rsidRPr="00BD0F9A" w:rsidRDefault="00000000">
      <w:pPr>
        <w:pStyle w:val="Heading2"/>
      </w:pPr>
      <w:r w:rsidRPr="00BD0F9A">
        <w:t>Top</w:t>
      </w:r>
      <w:r w:rsidR="00B635B4" w:rsidRPr="00BD0F9A">
        <w:t xml:space="preserve"> </w:t>
      </w:r>
      <w:r w:rsidRPr="00BD0F9A">
        <w:t>Level KPIs</w:t>
      </w:r>
    </w:p>
    <w:p w14:paraId="4621D9BA" w14:textId="77777777" w:rsidR="00C34691" w:rsidRPr="00B635B4" w:rsidRDefault="00000000">
      <w:pPr>
        <w:pStyle w:val="ListParagraph"/>
        <w:numPr>
          <w:ilvl w:val="0"/>
          <w:numId w:val="2"/>
        </w:numPr>
        <w:spacing w:after="100" w:line="276" w:lineRule="auto"/>
      </w:pPr>
      <w:r w:rsidRPr="00B635B4">
        <w:t>750 total dispenses across all pharmacies</w:t>
      </w:r>
    </w:p>
    <w:p w14:paraId="1BAA874B" w14:textId="7F8B1D12" w:rsidR="00C34691" w:rsidRPr="00B635B4" w:rsidRDefault="00000000">
      <w:pPr>
        <w:pStyle w:val="ListParagraph"/>
        <w:numPr>
          <w:ilvl w:val="0"/>
          <w:numId w:val="2"/>
        </w:numPr>
        <w:spacing w:after="100" w:line="276" w:lineRule="auto"/>
      </w:pPr>
      <w:r w:rsidRPr="00B635B4">
        <w:t>Average plan paid is $14.73K per fill</w:t>
      </w:r>
      <w:r w:rsidR="00B635B4" w:rsidRPr="00B635B4">
        <w:t>. T</w:t>
      </w:r>
      <w:r w:rsidRPr="00B635B4">
        <w:t>hese are expensive specialty drugs</w:t>
      </w:r>
    </w:p>
    <w:p w14:paraId="78151019" w14:textId="77777777" w:rsidR="00C34691" w:rsidRPr="00B635B4" w:rsidRDefault="00000000">
      <w:pPr>
        <w:pStyle w:val="ListParagraph"/>
        <w:numPr>
          <w:ilvl w:val="0"/>
          <w:numId w:val="2"/>
        </w:numPr>
        <w:spacing w:after="100" w:line="276" w:lineRule="auto"/>
      </w:pPr>
      <w:r w:rsidRPr="00B635B4">
        <w:t>Average patient out-of-pocket after copay assistance is $276.82</w:t>
      </w:r>
    </w:p>
    <w:p w14:paraId="5B1796B3" w14:textId="77777777" w:rsidR="00C34691" w:rsidRPr="00B635B4" w:rsidRDefault="00000000">
      <w:pPr>
        <w:pStyle w:val="ListParagraph"/>
        <w:numPr>
          <w:ilvl w:val="0"/>
          <w:numId w:val="2"/>
        </w:numPr>
        <w:spacing w:after="100" w:line="276" w:lineRule="auto"/>
      </w:pPr>
      <w:r w:rsidRPr="00B635B4">
        <w:t>58% of dispenses used copay assistance</w:t>
      </w:r>
    </w:p>
    <w:p w14:paraId="32FD488A" w14:textId="6B9125D2" w:rsidR="00C34691" w:rsidRPr="00B635B4" w:rsidRDefault="00000000">
      <w:pPr>
        <w:pStyle w:val="ListParagraph"/>
        <w:numPr>
          <w:ilvl w:val="0"/>
          <w:numId w:val="2"/>
        </w:numPr>
        <w:spacing w:after="100" w:line="276" w:lineRule="auto"/>
      </w:pPr>
      <w:r w:rsidRPr="00B635B4">
        <w:t xml:space="preserve">Average </w:t>
      </w:r>
      <w:r w:rsidR="00B635B4" w:rsidRPr="00B635B4">
        <w:t>days’</w:t>
      </w:r>
      <w:r w:rsidRPr="00B635B4">
        <w:t xml:space="preserve"> supply is 58 days (mix of 28</w:t>
      </w:r>
      <w:r w:rsidR="00B635B4" w:rsidRPr="00B635B4">
        <w:t xml:space="preserve"> </w:t>
      </w:r>
      <w:proofErr w:type="gramStart"/>
      <w:r w:rsidRPr="00B635B4">
        <w:t>day</w:t>
      </w:r>
      <w:proofErr w:type="gramEnd"/>
      <w:r w:rsidRPr="00B635B4">
        <w:t xml:space="preserve"> and </w:t>
      </w:r>
      <w:proofErr w:type="gramStart"/>
      <w:r w:rsidRPr="00B635B4">
        <w:t>90</w:t>
      </w:r>
      <w:r w:rsidR="00B635B4" w:rsidRPr="00B635B4">
        <w:t xml:space="preserve"> </w:t>
      </w:r>
      <w:r w:rsidRPr="00B635B4">
        <w:t>day</w:t>
      </w:r>
      <w:proofErr w:type="gramEnd"/>
      <w:r w:rsidRPr="00B635B4">
        <w:t xml:space="preserve"> fills)</w:t>
      </w:r>
    </w:p>
    <w:p w14:paraId="39D4A51C" w14:textId="77777777" w:rsidR="00C34691" w:rsidRPr="00BD0F9A" w:rsidRDefault="00000000">
      <w:pPr>
        <w:pStyle w:val="Heading2"/>
      </w:pPr>
      <w:r w:rsidRPr="00BD0F9A">
        <w:t>Volume by Specialty Pharmacy</w:t>
      </w:r>
    </w:p>
    <w:p w14:paraId="2DCEE7E2" w14:textId="77777777" w:rsidR="00C34691" w:rsidRPr="00B635B4" w:rsidRDefault="00000000">
      <w:pPr>
        <w:spacing w:after="200" w:line="276" w:lineRule="auto"/>
      </w:pPr>
      <w:r w:rsidRPr="00B635B4">
        <w:t>The bar chart ranks 10 specialty pharmacies by fill volume. CVS Specialty leads with 92, but the spread is pretty even — the lowest is 65. This is actually a good sign because it means we’re not overly dependent on any single pharmacy. That said, it might be worth looking at whether consolidating volume with the top performers could get us better service or pricing.</w:t>
      </w:r>
    </w:p>
    <w:p w14:paraId="75A2923B" w14:textId="77777777" w:rsidR="00C34691" w:rsidRPr="00BD0F9A" w:rsidRDefault="00000000">
      <w:pPr>
        <w:pStyle w:val="Heading2"/>
      </w:pPr>
      <w:r w:rsidRPr="00BD0F9A">
        <w:t>SP Scorecard</w:t>
      </w:r>
    </w:p>
    <w:p w14:paraId="78D0C60F" w14:textId="076CC6E8" w:rsidR="00C34691" w:rsidRPr="00B635B4" w:rsidRDefault="00000000">
      <w:pPr>
        <w:spacing w:after="200" w:line="276" w:lineRule="auto"/>
      </w:pPr>
      <w:r w:rsidRPr="00B635B4">
        <w:t xml:space="preserve">The matrix gives a report card for each pharmacy: fill volume, average patient OOP, </w:t>
      </w:r>
      <w:r w:rsidR="00B635B4" w:rsidRPr="00B635B4">
        <w:t>days’</w:t>
      </w:r>
      <w:r w:rsidRPr="00B635B4">
        <w:t xml:space="preserve"> supply, days to delivery, and return-to-stock rate. All pharmacies </w:t>
      </w:r>
      <w:r w:rsidR="00B635B4" w:rsidRPr="00B635B4">
        <w:t>keep</w:t>
      </w:r>
      <w:r w:rsidRPr="00B635B4">
        <w:t xml:space="preserve"> return-to-stock rates low (under 10%), which is good. Delivery times range from about 1.3 to 2 days. Amber Specialty is the fastest; Accredo is the slowest.</w:t>
      </w:r>
    </w:p>
    <w:p w14:paraId="7C4B2B8D" w14:textId="77777777" w:rsidR="00C34691" w:rsidRPr="00BD0F9A" w:rsidRDefault="00000000">
      <w:pPr>
        <w:pStyle w:val="Heading2"/>
      </w:pPr>
      <w:r w:rsidRPr="00BD0F9A">
        <w:t>Financial Waterfall</w:t>
      </w:r>
    </w:p>
    <w:p w14:paraId="6AD2B509" w14:textId="77777777" w:rsidR="00C34691" w:rsidRPr="00B635B4" w:rsidRDefault="00000000">
      <w:pPr>
        <w:spacing w:after="200" w:line="276" w:lineRule="auto"/>
      </w:pPr>
      <w:r w:rsidRPr="00B635B4">
        <w:t>The waterfall chart shows how the cost of a typical dispense flows: total drug cost → plan pays their share → patient is left with a copay → copay assistance covers most of it → patient pays a small amount out of pocket. It’s a clear visual showing that without copay assistance, many patients would face much higher costs.</w:t>
      </w:r>
    </w:p>
    <w:p w14:paraId="3077FB01" w14:textId="77777777" w:rsidR="00C34691" w:rsidRPr="00BD0F9A" w:rsidRDefault="00000000">
      <w:pPr>
        <w:pStyle w:val="Heading2"/>
      </w:pPr>
      <w:proofErr w:type="spellStart"/>
      <w:r w:rsidRPr="00BD0F9A">
        <w:t>Treemap</w:t>
      </w:r>
      <w:proofErr w:type="spellEnd"/>
    </w:p>
    <w:p w14:paraId="05E51C06" w14:textId="015D0DFC" w:rsidR="00C34691" w:rsidRPr="00B635B4" w:rsidRDefault="00000000">
      <w:pPr>
        <w:spacing w:after="200" w:line="276" w:lineRule="auto"/>
      </w:pPr>
      <w:r w:rsidRPr="00B635B4">
        <w:t xml:space="preserve">The </w:t>
      </w:r>
      <w:proofErr w:type="spellStart"/>
      <w:r w:rsidRPr="00B635B4">
        <w:t>treemap</w:t>
      </w:r>
      <w:proofErr w:type="spellEnd"/>
      <w:r w:rsidRPr="00B635B4">
        <w:t xml:space="preserve"> shows dispense volume by drug and formulation. AKEEGA, INVEGA SUSTENNA, and DARZALEX take up the most space. Within each drug, you can see which specific strengths or formulations are driving the most fills</w:t>
      </w:r>
      <w:r w:rsidR="00B635B4" w:rsidRPr="00B635B4">
        <w:t>. This is u</w:t>
      </w:r>
      <w:r w:rsidRPr="00B635B4">
        <w:t>seful for supply chain planning.</w:t>
      </w:r>
    </w:p>
    <w:p w14:paraId="4170D0AC" w14:textId="77777777" w:rsidR="00C34691" w:rsidRPr="00BD0F9A" w:rsidRDefault="00000000">
      <w:pPr>
        <w:pStyle w:val="Heading2"/>
      </w:pPr>
      <w:r w:rsidRPr="00BD0F9A">
        <w:t>What I’d Recommend</w:t>
      </w:r>
    </w:p>
    <w:p w14:paraId="20021CB2" w14:textId="77777777" w:rsidR="00C34691" w:rsidRPr="00B635B4" w:rsidRDefault="00000000">
      <w:pPr>
        <w:pStyle w:val="ListParagraph"/>
        <w:numPr>
          <w:ilvl w:val="0"/>
          <w:numId w:val="5"/>
        </w:numPr>
        <w:spacing w:after="100" w:line="276" w:lineRule="auto"/>
      </w:pPr>
      <w:r w:rsidRPr="00B635B4">
        <w:t>Consider an SP tiering strategy. Direct more volume to the top 3–4 pharmacies based on delivery speed and return-to-stock rate, while keeping enough network breadth for geographic coverage.</w:t>
      </w:r>
    </w:p>
    <w:p w14:paraId="0C1393B6" w14:textId="77777777" w:rsidR="00C34691" w:rsidRPr="00B635B4" w:rsidRDefault="00000000">
      <w:pPr>
        <w:pStyle w:val="ListParagraph"/>
        <w:numPr>
          <w:ilvl w:val="0"/>
          <w:numId w:val="5"/>
        </w:numPr>
        <w:spacing w:after="100" w:line="276" w:lineRule="auto"/>
      </w:pPr>
      <w:r w:rsidRPr="00B635B4">
        <w:lastRenderedPageBreak/>
        <w:t xml:space="preserve">Get copay assist utilization up. 42% of dispenses </w:t>
      </w:r>
      <w:proofErr w:type="gramStart"/>
      <w:r w:rsidRPr="00B635B4">
        <w:t>aren’t using</w:t>
      </w:r>
      <w:proofErr w:type="gramEnd"/>
      <w:r w:rsidRPr="00B635B4">
        <w:t xml:space="preserve"> copay assistance. An automatic eligibility check at the hub could catch more patients who qualify.</w:t>
      </w:r>
    </w:p>
    <w:p w14:paraId="661665B0" w14:textId="77777777" w:rsidR="00C34691" w:rsidRPr="00B635B4" w:rsidRDefault="00000000">
      <w:pPr>
        <w:pStyle w:val="ListParagraph"/>
        <w:numPr>
          <w:ilvl w:val="0"/>
          <w:numId w:val="5"/>
        </w:numPr>
        <w:spacing w:after="100" w:line="276" w:lineRule="auto"/>
      </w:pPr>
      <w:r w:rsidRPr="00B635B4">
        <w:t>Set up monthly SP reviews. Track return-to-stock trends monthly with each pharmacy to catch issues early.</w:t>
      </w:r>
    </w:p>
    <w:p w14:paraId="0447F01A" w14:textId="77777777" w:rsidR="00C34691" w:rsidRPr="00B635B4" w:rsidRDefault="00000000">
      <w:r w:rsidRPr="00B635B4">
        <w:br w:type="page"/>
      </w:r>
    </w:p>
    <w:p w14:paraId="56D2BCC8" w14:textId="77777777" w:rsidR="00C34691" w:rsidRPr="00BD0F9A" w:rsidRDefault="00000000">
      <w:pPr>
        <w:pStyle w:val="Heading1"/>
      </w:pPr>
      <w:r w:rsidRPr="00BD0F9A">
        <w:lastRenderedPageBreak/>
        <w:t>Page 4: New Drug Launch Performance</w:t>
      </w:r>
    </w:p>
    <w:p w14:paraId="6DA12C5B" w14:textId="0A7171A2" w:rsidR="00C34691" w:rsidRPr="00B635B4" w:rsidRDefault="00000000">
      <w:pPr>
        <w:spacing w:after="200" w:line="276" w:lineRule="auto"/>
      </w:pPr>
      <w:r w:rsidRPr="00B635B4">
        <w:t>This page tracks how AKEEGA and CARVYKTI are doing in their first 26 weeks. Launch analytics are a big deal at any drug manufacturer because the early trajectory often sets the tone for long</w:t>
      </w:r>
      <w:r w:rsidR="00B635B4" w:rsidRPr="00B635B4">
        <w:t xml:space="preserve"> </w:t>
      </w:r>
      <w:r w:rsidRPr="00B635B4">
        <w:t>term commercial success.</w:t>
      </w:r>
    </w:p>
    <w:p w14:paraId="5B2F87E2" w14:textId="77777777" w:rsidR="00C34691" w:rsidRPr="00BD0F9A" w:rsidRDefault="00000000">
      <w:pPr>
        <w:pStyle w:val="Heading2"/>
      </w:pPr>
      <w:r w:rsidRPr="00BD0F9A">
        <w:t>Gauges</w:t>
      </w:r>
    </w:p>
    <w:p w14:paraId="497CC770" w14:textId="77777777" w:rsidR="00C34691" w:rsidRPr="00B635B4" w:rsidRDefault="00000000">
      <w:pPr>
        <w:spacing w:after="200" w:line="276" w:lineRule="auto"/>
      </w:pPr>
      <w:r w:rsidRPr="00B635B4">
        <w:t>There’s a toggle at the top to switch between the two drugs. Three gauges give a quick read:</w:t>
      </w:r>
    </w:p>
    <w:p w14:paraId="52FBE176" w14:textId="5DC7C3C0" w:rsidR="00C34691" w:rsidRPr="00B635B4" w:rsidRDefault="00000000">
      <w:pPr>
        <w:pStyle w:val="ListParagraph"/>
        <w:numPr>
          <w:ilvl w:val="0"/>
          <w:numId w:val="2"/>
        </w:numPr>
        <w:spacing w:after="100" w:line="276" w:lineRule="auto"/>
      </w:pPr>
      <w:r w:rsidRPr="00B635B4">
        <w:t xml:space="preserve">Week-over-week enrollment growth </w:t>
      </w:r>
      <w:proofErr w:type="gramStart"/>
      <w:r w:rsidRPr="00B635B4">
        <w:t>is at</w:t>
      </w:r>
      <w:proofErr w:type="gramEnd"/>
      <w:r w:rsidRPr="00B635B4">
        <w:t xml:space="preserve"> 11.54%</w:t>
      </w:r>
      <w:r w:rsidR="00B635B4" w:rsidRPr="00B635B4">
        <w:t>. H</w:t>
      </w:r>
      <w:r w:rsidRPr="00B635B4">
        <w:t>ealthy and trending in the right direction</w:t>
      </w:r>
    </w:p>
    <w:p w14:paraId="24055A8A" w14:textId="6F892B6B" w:rsidR="00C34691" w:rsidRPr="00B635B4" w:rsidRDefault="00000000">
      <w:pPr>
        <w:pStyle w:val="ListParagraph"/>
        <w:numPr>
          <w:ilvl w:val="0"/>
          <w:numId w:val="2"/>
        </w:numPr>
        <w:spacing w:after="100" w:line="276" w:lineRule="auto"/>
      </w:pPr>
      <w:r w:rsidRPr="00B635B4">
        <w:t>PA approval rate is 67.03%</w:t>
      </w:r>
      <w:r w:rsidR="00B635B4" w:rsidRPr="00B635B4">
        <w:t>. B</w:t>
      </w:r>
      <w:r w:rsidRPr="00B635B4">
        <w:t>elow the 75% target, but not unusual for a new drug where payers are still figuring out their coverage policies</w:t>
      </w:r>
    </w:p>
    <w:p w14:paraId="7C6F1E78" w14:textId="0C455035" w:rsidR="00C34691" w:rsidRPr="00B635B4" w:rsidRDefault="00000000">
      <w:pPr>
        <w:pStyle w:val="ListParagraph"/>
        <w:numPr>
          <w:ilvl w:val="0"/>
          <w:numId w:val="2"/>
        </w:numPr>
        <w:spacing w:after="100" w:line="276" w:lineRule="auto"/>
      </w:pPr>
      <w:r w:rsidRPr="00B635B4">
        <w:t>Enrollment to dispense conversion is only 15.37%</w:t>
      </w:r>
      <w:r w:rsidR="00B635B4" w:rsidRPr="00B635B4">
        <w:t>. T</w:t>
      </w:r>
      <w:r w:rsidRPr="00B635B4">
        <w:t>his is low and means most enrolled patients haven’t gotten their first fill yet</w:t>
      </w:r>
    </w:p>
    <w:p w14:paraId="4DF0E697" w14:textId="77777777" w:rsidR="00C34691" w:rsidRPr="00BD0F9A" w:rsidRDefault="00000000">
      <w:pPr>
        <w:pStyle w:val="Heading2"/>
      </w:pPr>
      <w:r w:rsidRPr="00BD0F9A">
        <w:t>Launch Ramp Chart</w:t>
      </w:r>
    </w:p>
    <w:p w14:paraId="2DCB1895" w14:textId="49BAB8B5" w:rsidR="00C34691" w:rsidRPr="00B635B4" w:rsidRDefault="00000000">
      <w:pPr>
        <w:spacing w:after="200" w:line="276" w:lineRule="auto"/>
      </w:pPr>
      <w:r w:rsidRPr="00B635B4">
        <w:t xml:space="preserve">This is the main visual. Navy bars show weekly new enrollments growing from low single digits to 25–35 per week by Week 26. The red line is cumulative </w:t>
      </w:r>
      <w:r w:rsidR="00B635B4" w:rsidRPr="00B635B4">
        <w:t>enrollments,</w:t>
      </w:r>
      <w:r w:rsidRPr="00B635B4">
        <w:t xml:space="preserve"> and the green line is cumulative first dispenses. The gap between the two lines is the key thing to watch</w:t>
      </w:r>
      <w:r w:rsidR="00B635B4" w:rsidRPr="00B635B4">
        <w:t>. It</w:t>
      </w:r>
      <w:r w:rsidRPr="00B635B4">
        <w:t xml:space="preserve"> represents patients who are enrolled but haven’t received medication yet.</w:t>
      </w:r>
    </w:p>
    <w:p w14:paraId="637ACAEB" w14:textId="10313F55" w:rsidR="00C34691" w:rsidRPr="00B635B4" w:rsidRDefault="00000000">
      <w:pPr>
        <w:spacing w:after="200" w:line="276" w:lineRule="auto"/>
      </w:pPr>
      <w:r w:rsidRPr="00B635B4">
        <w:t>The gap widens through about Week 15, then starts to level off. That’s a normal pattern</w:t>
      </w:r>
      <w:r w:rsidR="00B635B4" w:rsidRPr="00B635B4">
        <w:t>. It’s e</w:t>
      </w:r>
      <w:r w:rsidRPr="00B635B4">
        <w:t xml:space="preserve">arly in a </w:t>
      </w:r>
      <w:r w:rsidR="00BD0F9A" w:rsidRPr="00B635B4">
        <w:t>launch;</w:t>
      </w:r>
      <w:r w:rsidRPr="00B635B4">
        <w:t xml:space="preserve"> everything is slower because payer pathways aren’t established yet. The fact that it’s stabilizing is a good sign, but the absolute conversion rate is still pretty low.</w:t>
      </w:r>
    </w:p>
    <w:p w14:paraId="78C77B73" w14:textId="77777777" w:rsidR="00C34691" w:rsidRPr="00BD0F9A" w:rsidRDefault="00000000">
      <w:pPr>
        <w:pStyle w:val="Heading2"/>
      </w:pPr>
      <w:r w:rsidRPr="00BD0F9A">
        <w:t>Time to First Dispense</w:t>
      </w:r>
    </w:p>
    <w:p w14:paraId="17D7E211" w14:textId="72E2F4B5" w:rsidR="00C34691" w:rsidRPr="00B635B4" w:rsidRDefault="00000000">
      <w:pPr>
        <w:spacing w:after="200" w:line="276" w:lineRule="auto"/>
      </w:pPr>
      <w:r w:rsidRPr="00B635B4">
        <w:t xml:space="preserve">The line chart shows average days from enrollment to first dispense. It starts around 25–30 days in the early weeks and trends down toward 15–20 days by Week 26. There’s a dashed trend line confirming the downward direction, but we’re still not hitting the </w:t>
      </w:r>
      <w:r w:rsidR="00B635B4" w:rsidRPr="00B635B4">
        <w:t>14-day</w:t>
      </w:r>
      <w:r w:rsidRPr="00B635B4">
        <w:t xml:space="preserve"> target line. The improvement is encouraging, but structural barriers (mostly PA turnaround) are keeping us above target.</w:t>
      </w:r>
    </w:p>
    <w:p w14:paraId="5008603F" w14:textId="77777777" w:rsidR="00C34691" w:rsidRPr="00BD0F9A" w:rsidRDefault="00000000">
      <w:pPr>
        <w:pStyle w:val="Heading2"/>
      </w:pPr>
      <w:r w:rsidRPr="00BD0F9A">
        <w:t>Pipeline Status &amp; Operational Indicators</w:t>
      </w:r>
    </w:p>
    <w:p w14:paraId="6C6121F5" w14:textId="77777777" w:rsidR="00C34691" w:rsidRPr="00B635B4" w:rsidRDefault="00000000">
      <w:pPr>
        <w:spacing w:after="200" w:line="276" w:lineRule="auto"/>
      </w:pPr>
      <w:r w:rsidRPr="00B635B4">
        <w:t>The stacked area chart shows weekly activity at each pipeline stage. Early on it’s mostly amber (pending) and red (PA submitted). Over time, blue (approved) and green (dispensed) grow, which is what you want to see. The three small line charts at the bottom track SP pharmacies onboarded (growing from 3 to 9), hub call volume (trending up), and HCP portal registrations (steady growth). All three trending upward is a positive signal that the infrastructure is scaling.</w:t>
      </w:r>
    </w:p>
    <w:p w14:paraId="6560A25F" w14:textId="77777777" w:rsidR="00C34691" w:rsidRPr="00BD0F9A" w:rsidRDefault="00000000">
      <w:pPr>
        <w:pStyle w:val="Heading2"/>
      </w:pPr>
      <w:r w:rsidRPr="00BD0F9A">
        <w:t>What I’d Recommend</w:t>
      </w:r>
    </w:p>
    <w:p w14:paraId="474205C8" w14:textId="7253A6E9" w:rsidR="00C34691" w:rsidRPr="00B635B4" w:rsidRDefault="00000000">
      <w:pPr>
        <w:pStyle w:val="ListParagraph"/>
        <w:numPr>
          <w:ilvl w:val="0"/>
          <w:numId w:val="6"/>
        </w:numPr>
        <w:spacing w:after="100" w:line="276" w:lineRule="auto"/>
      </w:pPr>
      <w:r w:rsidRPr="00B635B4">
        <w:lastRenderedPageBreak/>
        <w:t xml:space="preserve">Get in front of payers early. The 67% PA rate is the biggest drag on conversion. Meeting with the top </w:t>
      </w:r>
      <w:r w:rsidR="00B635B4" w:rsidRPr="00B635B4">
        <w:t>5</w:t>
      </w:r>
      <w:r w:rsidRPr="00B635B4">
        <w:t xml:space="preserve"> payers </w:t>
      </w:r>
      <w:r w:rsidR="00B635B4" w:rsidRPr="00B635B4">
        <w:t>present</w:t>
      </w:r>
      <w:r w:rsidRPr="00B635B4">
        <w:t xml:space="preserve"> clinical evidence should be a priority.</w:t>
      </w:r>
    </w:p>
    <w:p w14:paraId="4AE49961" w14:textId="32191D47" w:rsidR="00C34691" w:rsidRPr="00B635B4" w:rsidRDefault="00000000">
      <w:pPr>
        <w:pStyle w:val="ListParagraph"/>
        <w:numPr>
          <w:ilvl w:val="0"/>
          <w:numId w:val="6"/>
        </w:numPr>
        <w:spacing w:after="100" w:line="276" w:lineRule="auto"/>
      </w:pPr>
      <w:r w:rsidRPr="00B635B4">
        <w:t xml:space="preserve">Assign dedicated case managers for launch drugs. Having someone </w:t>
      </w:r>
      <w:r w:rsidR="00B635B4" w:rsidRPr="00B635B4">
        <w:t>on</w:t>
      </w:r>
      <w:r w:rsidRPr="00B635B4">
        <w:t xml:space="preserve"> each new enrollment through the first 90 days would help patients get through the process faster.</w:t>
      </w:r>
    </w:p>
    <w:p w14:paraId="3EDD0245" w14:textId="081932E4" w:rsidR="00C34691" w:rsidRPr="00B635B4" w:rsidRDefault="00000000">
      <w:pPr>
        <w:pStyle w:val="ListParagraph"/>
        <w:numPr>
          <w:ilvl w:val="0"/>
          <w:numId w:val="6"/>
        </w:numPr>
        <w:spacing w:after="100" w:line="276" w:lineRule="auto"/>
      </w:pPr>
      <w:r w:rsidRPr="00B635B4">
        <w:t xml:space="preserve">Do a formal Week 13 review. Set a checkpoint at the halfway mark to assess whether enrollment, conversion, and SP onboarding are on track vs. </w:t>
      </w:r>
      <w:r w:rsidR="00B635B4" w:rsidRPr="00B635B4">
        <w:t>pre-launch</w:t>
      </w:r>
      <w:r w:rsidRPr="00B635B4">
        <w:t xml:space="preserve"> targets.</w:t>
      </w:r>
    </w:p>
    <w:p w14:paraId="3FACD759" w14:textId="77777777" w:rsidR="00C34691" w:rsidRPr="00B635B4" w:rsidRDefault="00000000">
      <w:r w:rsidRPr="00B635B4">
        <w:br w:type="page"/>
      </w:r>
    </w:p>
    <w:p w14:paraId="64CE59B5" w14:textId="77777777" w:rsidR="00C34691" w:rsidRPr="00BD0F9A" w:rsidRDefault="00000000">
      <w:pPr>
        <w:pStyle w:val="Heading1"/>
      </w:pPr>
      <w:r w:rsidRPr="00BD0F9A">
        <w:lastRenderedPageBreak/>
        <w:t>Page 5: PA &amp; Denial Deep Dive</w:t>
      </w:r>
    </w:p>
    <w:p w14:paraId="5B544F91" w14:textId="77777777" w:rsidR="00C34691" w:rsidRPr="00B635B4" w:rsidRDefault="00000000">
      <w:pPr>
        <w:spacing w:after="200" w:line="276" w:lineRule="auto"/>
      </w:pPr>
      <w:r w:rsidRPr="00B635B4">
        <w:t>This page digs into the prior authorization process that kept coming up as a bottleneck on the other pages. It looks at turnaround times, denial patterns, and appeal outcomes.</w:t>
      </w:r>
    </w:p>
    <w:p w14:paraId="4C7D4D35" w14:textId="7395FC4E" w:rsidR="00C34691" w:rsidRPr="00BD0F9A" w:rsidRDefault="00000000">
      <w:pPr>
        <w:pStyle w:val="Heading2"/>
      </w:pPr>
      <w:r w:rsidRPr="00BD0F9A">
        <w:t>Top</w:t>
      </w:r>
      <w:r w:rsidR="00B635B4" w:rsidRPr="00BD0F9A">
        <w:t xml:space="preserve"> </w:t>
      </w:r>
      <w:r w:rsidRPr="00BD0F9A">
        <w:t>Level KPIs</w:t>
      </w:r>
    </w:p>
    <w:p w14:paraId="7E07DACB" w14:textId="77777777" w:rsidR="00C34691" w:rsidRPr="00B635B4" w:rsidRDefault="00000000">
      <w:pPr>
        <w:pStyle w:val="ListParagraph"/>
        <w:numPr>
          <w:ilvl w:val="0"/>
          <w:numId w:val="2"/>
        </w:numPr>
        <w:spacing w:after="100" w:line="276" w:lineRule="auto"/>
      </w:pPr>
      <w:r w:rsidRPr="00B635B4">
        <w:t>400 PAs submitted during the year</w:t>
      </w:r>
    </w:p>
    <w:p w14:paraId="0E619735" w14:textId="10009DED" w:rsidR="00C34691" w:rsidRPr="00B635B4" w:rsidRDefault="00000000">
      <w:pPr>
        <w:pStyle w:val="ListParagraph"/>
        <w:numPr>
          <w:ilvl w:val="0"/>
          <w:numId w:val="2"/>
        </w:numPr>
        <w:spacing w:after="100" w:line="276" w:lineRule="auto"/>
      </w:pPr>
      <w:r w:rsidRPr="00B635B4">
        <w:t>66.75% approval rate</w:t>
      </w:r>
      <w:r w:rsidR="00B635B4" w:rsidRPr="00B635B4">
        <w:t>. A</w:t>
      </w:r>
      <w:r w:rsidRPr="00B635B4">
        <w:t>bout a third of PAs get denied</w:t>
      </w:r>
    </w:p>
    <w:p w14:paraId="50F290AA" w14:textId="77777777" w:rsidR="00C34691" w:rsidRPr="00B635B4" w:rsidRDefault="00000000">
      <w:pPr>
        <w:pStyle w:val="ListParagraph"/>
        <w:numPr>
          <w:ilvl w:val="0"/>
          <w:numId w:val="2"/>
        </w:numPr>
        <w:spacing w:after="100" w:line="276" w:lineRule="auto"/>
      </w:pPr>
      <w:r w:rsidRPr="00B635B4">
        <w:t>Average turnaround is 8.6 calendar days</w:t>
      </w:r>
    </w:p>
    <w:p w14:paraId="04A49D62" w14:textId="77777777" w:rsidR="00C34691" w:rsidRPr="00B635B4" w:rsidRDefault="00000000">
      <w:pPr>
        <w:pStyle w:val="ListParagraph"/>
        <w:numPr>
          <w:ilvl w:val="0"/>
          <w:numId w:val="2"/>
        </w:numPr>
        <w:spacing w:after="100" w:line="276" w:lineRule="auto"/>
      </w:pPr>
      <w:r w:rsidRPr="00B635B4">
        <w:t>40.85% of appealed denials get overturned</w:t>
      </w:r>
    </w:p>
    <w:p w14:paraId="3A3660FD" w14:textId="77777777" w:rsidR="00C34691" w:rsidRPr="00B635B4" w:rsidRDefault="00000000">
      <w:pPr>
        <w:pStyle w:val="ListParagraph"/>
        <w:numPr>
          <w:ilvl w:val="0"/>
          <w:numId w:val="2"/>
        </w:numPr>
        <w:spacing w:after="100" w:line="276" w:lineRule="auto"/>
      </w:pPr>
      <w:r w:rsidRPr="00B635B4">
        <w:t>But only 53.38% of denials are actually being appealed</w:t>
      </w:r>
    </w:p>
    <w:p w14:paraId="5333A014" w14:textId="77777777" w:rsidR="00C34691" w:rsidRPr="00B635B4" w:rsidRDefault="00000000">
      <w:pPr>
        <w:spacing w:after="200" w:line="276" w:lineRule="auto"/>
      </w:pPr>
      <w:r w:rsidRPr="00B635B4">
        <w:t>That last point is really important. If 41% of appeals get overturned but we’re only appealing 53% of denials, that means there are roughly 60 patients a year who could have gotten access through an appeal but didn’t.</w:t>
      </w:r>
    </w:p>
    <w:p w14:paraId="7E90F4C1" w14:textId="77777777" w:rsidR="00C34691" w:rsidRPr="00BD0F9A" w:rsidRDefault="00000000">
      <w:pPr>
        <w:pStyle w:val="Heading2"/>
      </w:pPr>
      <w:r w:rsidRPr="00BD0F9A">
        <w:t>Turnaround by Payer</w:t>
      </w:r>
    </w:p>
    <w:p w14:paraId="1A0A99FC" w14:textId="0B2F380F" w:rsidR="00C34691" w:rsidRPr="00B635B4" w:rsidRDefault="00000000">
      <w:pPr>
        <w:spacing w:after="200" w:line="276" w:lineRule="auto"/>
      </w:pPr>
      <w:r w:rsidRPr="00B635B4">
        <w:t xml:space="preserve">The bar chart ranks payers by how long they take to make a PA decision. Kaiser Permanente and Centene are the slowest; WellCare and Aetna are the fastest. Nobody is hitting the </w:t>
      </w:r>
      <w:r w:rsidR="00B635B4" w:rsidRPr="00B635B4">
        <w:t>7-day</w:t>
      </w:r>
      <w:r w:rsidRPr="00B635B4">
        <w:t xml:space="preserve"> target. The 3+ day spread between fastest and slowest payers directly impacts how quickly patients </w:t>
      </w:r>
      <w:r w:rsidR="00B635B4" w:rsidRPr="00B635B4">
        <w:t>gets</w:t>
      </w:r>
      <w:r w:rsidRPr="00B635B4">
        <w:t xml:space="preserve"> their medication.</w:t>
      </w:r>
    </w:p>
    <w:p w14:paraId="23C2146B" w14:textId="77777777" w:rsidR="00C34691" w:rsidRPr="00BD0F9A" w:rsidRDefault="00000000">
      <w:pPr>
        <w:pStyle w:val="Heading2"/>
      </w:pPr>
      <w:r w:rsidRPr="00BD0F9A">
        <w:t>Denial Reason Matrix</w:t>
      </w:r>
    </w:p>
    <w:p w14:paraId="6796055D" w14:textId="77777777" w:rsidR="00C34691" w:rsidRPr="00B635B4" w:rsidRDefault="00000000">
      <w:pPr>
        <w:spacing w:after="200" w:line="276" w:lineRule="auto"/>
      </w:pPr>
      <w:r w:rsidRPr="00B635B4">
        <w:t>The heat-mapped matrix shows which denial reasons come up most frequently for each payer type. Non-Formulary denials are heaviest in Commercial plans, while Out of Network shows up more in Medicare Part B. Medical Necessity Not Met is spread across all payer types, which suggests we might need to strengthen the clinical documentation in PA submissions across the board.</w:t>
      </w:r>
    </w:p>
    <w:p w14:paraId="0158BF58" w14:textId="77777777" w:rsidR="00C34691" w:rsidRPr="00BD0F9A" w:rsidRDefault="00000000">
      <w:pPr>
        <w:pStyle w:val="Heading2"/>
      </w:pPr>
      <w:r w:rsidRPr="00BD0F9A">
        <w:t>Decomposition Tree</w:t>
      </w:r>
    </w:p>
    <w:p w14:paraId="44B13E6D" w14:textId="22454093" w:rsidR="00C34691" w:rsidRPr="00B635B4" w:rsidRDefault="00000000">
      <w:pPr>
        <w:spacing w:after="200" w:line="276" w:lineRule="auto"/>
      </w:pPr>
      <w:r w:rsidRPr="00B635B4">
        <w:t>The decomposition tree takes up the bottom 40% of the page and it’s probably the coolest visual in the whole dashboard. It lets you click through the data interactively</w:t>
      </w:r>
      <w:r w:rsidR="00B635B4" w:rsidRPr="00B635B4">
        <w:t>. S</w:t>
      </w:r>
      <w:r w:rsidRPr="00B635B4">
        <w:t>tart with all 400 PAs, split by outcome, then drill into specific denial reasons, drugs, payers, and regions. Each click reveals another layer.</w:t>
      </w:r>
    </w:p>
    <w:p w14:paraId="5EB4C2EC" w14:textId="77777777" w:rsidR="00C34691" w:rsidRPr="00B635B4" w:rsidRDefault="00000000">
      <w:pPr>
        <w:spacing w:after="200" w:line="276" w:lineRule="auto"/>
      </w:pPr>
      <w:r w:rsidRPr="00B635B4">
        <w:t>For example, in the screenshot you can see it’s been drilled from 400 total → Out of Network (34 denials) → ERLEADA (2 cases) → Northeast (1) and Southwest (1). That kind of granularity lets you identify the exact payer-drug-region combinations causing the most problems, which is way more actionable than just looking at aggregate denial rates.</w:t>
      </w:r>
    </w:p>
    <w:p w14:paraId="57A6CF8B" w14:textId="77777777" w:rsidR="00C34691" w:rsidRPr="00BD0F9A" w:rsidRDefault="00000000">
      <w:pPr>
        <w:pStyle w:val="Heading2"/>
      </w:pPr>
      <w:r w:rsidRPr="00BD0F9A">
        <w:t>What I’d Recommend</w:t>
      </w:r>
    </w:p>
    <w:p w14:paraId="3574F258" w14:textId="77777777" w:rsidR="00C34691" w:rsidRPr="00B635B4" w:rsidRDefault="00000000">
      <w:pPr>
        <w:pStyle w:val="ListParagraph"/>
        <w:numPr>
          <w:ilvl w:val="0"/>
          <w:numId w:val="7"/>
        </w:numPr>
        <w:spacing w:after="100" w:line="276" w:lineRule="auto"/>
      </w:pPr>
      <w:r w:rsidRPr="00B635B4">
        <w:lastRenderedPageBreak/>
        <w:t>Get the appeal rate up to 75%. We’re leaving overturns on the table. An automatic appeal trigger for all denials with supporting documentation would capture those missed patients.</w:t>
      </w:r>
    </w:p>
    <w:p w14:paraId="6281F48E" w14:textId="227CC398" w:rsidR="00C34691" w:rsidRPr="00B635B4" w:rsidRDefault="00000000">
      <w:pPr>
        <w:pStyle w:val="ListParagraph"/>
        <w:numPr>
          <w:ilvl w:val="0"/>
          <w:numId w:val="7"/>
        </w:numPr>
        <w:spacing w:after="100" w:line="276" w:lineRule="auto"/>
      </w:pPr>
      <w:r w:rsidRPr="00B635B4">
        <w:t xml:space="preserve">Build payer-specific PA templates. If Commercial payers mostly </w:t>
      </w:r>
      <w:proofErr w:type="gramStart"/>
      <w:r w:rsidRPr="00B635B4">
        <w:t>deny for</w:t>
      </w:r>
      <w:proofErr w:type="gramEnd"/>
      <w:r w:rsidRPr="00B635B4">
        <w:t xml:space="preserve"> </w:t>
      </w:r>
      <w:r w:rsidR="00B635B4" w:rsidRPr="00B635B4">
        <w:t>non-formulary</w:t>
      </w:r>
      <w:r w:rsidRPr="00B635B4">
        <w:t xml:space="preserve">, include formulary exception justification upfront. If Medicare Part B </w:t>
      </w:r>
      <w:r w:rsidR="00B635B4" w:rsidRPr="00B635B4">
        <w:t>denies</w:t>
      </w:r>
      <w:r w:rsidRPr="00B635B4">
        <w:t xml:space="preserve"> Out of Network, verify network status before submitting.</w:t>
      </w:r>
    </w:p>
    <w:p w14:paraId="2E8FDC94" w14:textId="77777777" w:rsidR="00C34691" w:rsidRPr="00B635B4" w:rsidRDefault="00000000">
      <w:pPr>
        <w:pStyle w:val="ListParagraph"/>
        <w:numPr>
          <w:ilvl w:val="0"/>
          <w:numId w:val="7"/>
        </w:numPr>
        <w:spacing w:after="100" w:line="276" w:lineRule="auto"/>
      </w:pPr>
      <w:r w:rsidRPr="00B635B4">
        <w:t>Meet with the slowest payers quarterly. Kaiser, Centene, and Molina should be getting regular outreach to discuss turnaround expectations and electronic PA options.</w:t>
      </w:r>
    </w:p>
    <w:p w14:paraId="600DF04E" w14:textId="77777777" w:rsidR="00C34691" w:rsidRPr="00B635B4" w:rsidRDefault="00000000">
      <w:r w:rsidRPr="00B635B4">
        <w:br w:type="page"/>
      </w:r>
    </w:p>
    <w:p w14:paraId="11C8D8AD" w14:textId="77777777" w:rsidR="00C34691" w:rsidRPr="00BD0F9A" w:rsidRDefault="00000000">
      <w:pPr>
        <w:pStyle w:val="Heading1"/>
      </w:pPr>
      <w:r w:rsidRPr="00BD0F9A">
        <w:lastRenderedPageBreak/>
        <w:t>Summary</w:t>
      </w:r>
    </w:p>
    <w:p w14:paraId="612D0D62" w14:textId="77777777" w:rsidR="00C34691" w:rsidRPr="00B635B4" w:rsidRDefault="00000000">
      <w:pPr>
        <w:spacing w:after="200" w:line="276" w:lineRule="auto"/>
      </w:pPr>
      <w:r w:rsidRPr="00B635B4">
        <w:t>Looking across all five pages, three themes come through clearly:</w:t>
      </w:r>
    </w:p>
    <w:p w14:paraId="18674CB5" w14:textId="09FB2AE2" w:rsidR="00C34691" w:rsidRPr="00B635B4" w:rsidRDefault="00000000">
      <w:pPr>
        <w:spacing w:after="200" w:line="276" w:lineRule="auto"/>
      </w:pPr>
      <w:r w:rsidRPr="00B635B4">
        <w:t xml:space="preserve">1. PA is the biggest bottleneck. A 64% approval rate and 8.6-day turnaround are the primary reasons patients aren’t getting to therapy faster. The data shows denial patterns are concentrated in specific payer-drug combinations, so targeted outreach should help. And the 41% appeal overturn rate tells us a lot of initial denials aren’t justified </w:t>
      </w:r>
      <w:r w:rsidR="00B635B4" w:rsidRPr="00B635B4">
        <w:t>W</w:t>
      </w:r>
      <w:r w:rsidRPr="00B635B4">
        <w:t>e just need to challenge them more consistently.</w:t>
      </w:r>
    </w:p>
    <w:p w14:paraId="4DF68901" w14:textId="6D48AF54" w:rsidR="00C34691" w:rsidRPr="00B635B4" w:rsidRDefault="00000000">
      <w:pPr>
        <w:spacing w:after="200" w:line="276" w:lineRule="auto"/>
      </w:pPr>
      <w:r w:rsidRPr="00B635B4">
        <w:t xml:space="preserve">2. The SP network is solid but could be optimized. Pharmacies are performing consistently and copay assistance </w:t>
      </w:r>
      <w:r w:rsidR="00B635B4" w:rsidRPr="00B635B4">
        <w:t>keeps</w:t>
      </w:r>
      <w:r w:rsidRPr="00B635B4">
        <w:t xml:space="preserve"> patient costs manageable. The main opportunities are getting copay utilization above 58% and potentially consolidating volume with top performers.</w:t>
      </w:r>
    </w:p>
    <w:p w14:paraId="05F2CF9F" w14:textId="77777777" w:rsidR="00C34691" w:rsidRPr="00B635B4" w:rsidRDefault="00000000">
      <w:pPr>
        <w:spacing w:after="200" w:line="276" w:lineRule="auto"/>
      </w:pPr>
      <w:r w:rsidRPr="00B635B4">
        <w:t>3. Launches are ramping but below target. AKEEGA and CARVYKTI show healthy enrollment growth and improving processing times, but conversion to first fill is still low. Faster payer engagement and dedicated launch case management are the clearest levers.</w:t>
      </w:r>
    </w:p>
    <w:p w14:paraId="43104581" w14:textId="03A8DD79" w:rsidR="00C34691" w:rsidRPr="00B635B4" w:rsidRDefault="00C34691">
      <w:pPr>
        <w:pBdr>
          <w:top w:val="single" w:sz="2" w:space="8" w:color="CCCCCC"/>
        </w:pBdr>
        <w:spacing w:before="400"/>
      </w:pPr>
    </w:p>
    <w:sectPr w:rsidR="00C34691" w:rsidRPr="00B635B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9E26B" w14:textId="77777777" w:rsidR="004E2C8C" w:rsidRDefault="004E2C8C">
      <w:r>
        <w:separator/>
      </w:r>
    </w:p>
  </w:endnote>
  <w:endnote w:type="continuationSeparator" w:id="0">
    <w:p w14:paraId="13EC0623" w14:textId="77777777" w:rsidR="004E2C8C" w:rsidRDefault="004E2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68F11" w14:textId="77777777" w:rsidR="00C34691" w:rsidRDefault="00000000">
    <w:pPr>
      <w:jc w:val="center"/>
    </w:pPr>
    <w:r>
      <w:rPr>
        <w:color w:val="6D6E71"/>
        <w:sz w:val="18"/>
        <w:szCs w:val="18"/>
      </w:rPr>
      <w:t xml:space="preserve">Page </w:t>
    </w:r>
    <w:r>
      <w:rPr>
        <w:color w:val="6D6E71"/>
        <w:sz w:val="18"/>
        <w:szCs w:val="18"/>
      </w:rPr>
      <w:fldChar w:fldCharType="begin"/>
    </w:r>
    <w:r>
      <w:rPr>
        <w:color w:val="6D6E71"/>
        <w:sz w:val="18"/>
        <w:szCs w:val="18"/>
      </w:rPr>
      <w:instrText>PAGE</w:instrText>
    </w:r>
    <w:r>
      <w:rPr>
        <w:color w:val="6D6E71"/>
        <w:sz w:val="18"/>
        <w:szCs w:val="18"/>
      </w:rPr>
      <w:fldChar w:fldCharType="separate"/>
    </w:r>
    <w:r w:rsidR="00B635B4">
      <w:rPr>
        <w:noProof/>
        <w:color w:val="6D6E71"/>
        <w:sz w:val="18"/>
        <w:szCs w:val="18"/>
      </w:rPr>
      <w:t>1</w:t>
    </w:r>
    <w:r>
      <w:rPr>
        <w:color w:val="6D6E7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05E35" w14:textId="77777777" w:rsidR="004E2C8C" w:rsidRDefault="004E2C8C">
      <w:r>
        <w:separator/>
      </w:r>
    </w:p>
  </w:footnote>
  <w:footnote w:type="continuationSeparator" w:id="0">
    <w:p w14:paraId="63D7BF5A" w14:textId="77777777" w:rsidR="004E2C8C" w:rsidRDefault="004E2C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1F71"/>
    <w:multiLevelType w:val="hybridMultilevel"/>
    <w:tmpl w:val="9370AA56"/>
    <w:lvl w:ilvl="0" w:tplc="12745170">
      <w:start w:val="1"/>
      <w:numFmt w:val="bullet"/>
      <w:lvlText w:val="●"/>
      <w:lvlJc w:val="left"/>
      <w:pPr>
        <w:ind w:left="720" w:hanging="360"/>
      </w:pPr>
    </w:lvl>
    <w:lvl w:ilvl="1" w:tplc="9C222D48">
      <w:start w:val="1"/>
      <w:numFmt w:val="bullet"/>
      <w:lvlText w:val="○"/>
      <w:lvlJc w:val="left"/>
      <w:pPr>
        <w:ind w:left="1440" w:hanging="360"/>
      </w:pPr>
    </w:lvl>
    <w:lvl w:ilvl="2" w:tplc="A6C43CF6">
      <w:start w:val="1"/>
      <w:numFmt w:val="bullet"/>
      <w:lvlText w:val="■"/>
      <w:lvlJc w:val="left"/>
      <w:pPr>
        <w:ind w:left="2160" w:hanging="360"/>
      </w:pPr>
    </w:lvl>
    <w:lvl w:ilvl="3" w:tplc="18BC2802">
      <w:start w:val="1"/>
      <w:numFmt w:val="bullet"/>
      <w:lvlText w:val="●"/>
      <w:lvlJc w:val="left"/>
      <w:pPr>
        <w:ind w:left="2880" w:hanging="360"/>
      </w:pPr>
    </w:lvl>
    <w:lvl w:ilvl="4" w:tplc="1EDAF598">
      <w:start w:val="1"/>
      <w:numFmt w:val="bullet"/>
      <w:lvlText w:val="○"/>
      <w:lvlJc w:val="left"/>
      <w:pPr>
        <w:ind w:left="3600" w:hanging="360"/>
      </w:pPr>
    </w:lvl>
    <w:lvl w:ilvl="5" w:tplc="525A9796">
      <w:start w:val="1"/>
      <w:numFmt w:val="bullet"/>
      <w:lvlText w:val="■"/>
      <w:lvlJc w:val="left"/>
      <w:pPr>
        <w:ind w:left="4320" w:hanging="360"/>
      </w:pPr>
    </w:lvl>
    <w:lvl w:ilvl="6" w:tplc="E80491F8">
      <w:start w:val="1"/>
      <w:numFmt w:val="bullet"/>
      <w:lvlText w:val="●"/>
      <w:lvlJc w:val="left"/>
      <w:pPr>
        <w:ind w:left="5040" w:hanging="360"/>
      </w:pPr>
    </w:lvl>
    <w:lvl w:ilvl="7" w:tplc="7D28D52A">
      <w:start w:val="1"/>
      <w:numFmt w:val="bullet"/>
      <w:lvlText w:val="●"/>
      <w:lvlJc w:val="left"/>
      <w:pPr>
        <w:ind w:left="5760" w:hanging="360"/>
      </w:pPr>
    </w:lvl>
    <w:lvl w:ilvl="8" w:tplc="2576AAA0">
      <w:start w:val="1"/>
      <w:numFmt w:val="bullet"/>
      <w:lvlText w:val="●"/>
      <w:lvlJc w:val="left"/>
      <w:pPr>
        <w:ind w:left="6480" w:hanging="360"/>
      </w:pPr>
    </w:lvl>
  </w:abstractNum>
  <w:abstractNum w:abstractNumId="1" w15:restartNumberingAfterBreak="0">
    <w:nsid w:val="2F550134"/>
    <w:multiLevelType w:val="hybridMultilevel"/>
    <w:tmpl w:val="8B96A174"/>
    <w:lvl w:ilvl="0" w:tplc="548617EA">
      <w:start w:val="1"/>
      <w:numFmt w:val="decimal"/>
      <w:lvlText w:val="%1."/>
      <w:lvlJc w:val="left"/>
      <w:pPr>
        <w:ind w:left="720" w:hanging="360"/>
      </w:pPr>
    </w:lvl>
    <w:lvl w:ilvl="1" w:tplc="DDFCC6E0">
      <w:numFmt w:val="decimal"/>
      <w:lvlText w:val=""/>
      <w:lvlJc w:val="left"/>
    </w:lvl>
    <w:lvl w:ilvl="2" w:tplc="3A982DD8">
      <w:numFmt w:val="decimal"/>
      <w:lvlText w:val=""/>
      <w:lvlJc w:val="left"/>
    </w:lvl>
    <w:lvl w:ilvl="3" w:tplc="0F7A2BD4">
      <w:numFmt w:val="decimal"/>
      <w:lvlText w:val=""/>
      <w:lvlJc w:val="left"/>
    </w:lvl>
    <w:lvl w:ilvl="4" w:tplc="E53CD880">
      <w:numFmt w:val="decimal"/>
      <w:lvlText w:val=""/>
      <w:lvlJc w:val="left"/>
    </w:lvl>
    <w:lvl w:ilvl="5" w:tplc="6804D4D8">
      <w:numFmt w:val="decimal"/>
      <w:lvlText w:val=""/>
      <w:lvlJc w:val="left"/>
    </w:lvl>
    <w:lvl w:ilvl="6" w:tplc="D99E15CE">
      <w:numFmt w:val="decimal"/>
      <w:lvlText w:val=""/>
      <w:lvlJc w:val="left"/>
    </w:lvl>
    <w:lvl w:ilvl="7" w:tplc="02CCAE18">
      <w:numFmt w:val="decimal"/>
      <w:lvlText w:val=""/>
      <w:lvlJc w:val="left"/>
    </w:lvl>
    <w:lvl w:ilvl="8" w:tplc="541E9BD4">
      <w:numFmt w:val="decimal"/>
      <w:lvlText w:val=""/>
      <w:lvlJc w:val="left"/>
    </w:lvl>
  </w:abstractNum>
  <w:abstractNum w:abstractNumId="2" w15:restartNumberingAfterBreak="0">
    <w:nsid w:val="33916DC5"/>
    <w:multiLevelType w:val="hybridMultilevel"/>
    <w:tmpl w:val="DBE2F8D2"/>
    <w:lvl w:ilvl="0" w:tplc="37EA855C">
      <w:start w:val="1"/>
      <w:numFmt w:val="decimal"/>
      <w:lvlText w:val="%1."/>
      <w:lvlJc w:val="left"/>
      <w:pPr>
        <w:ind w:left="720" w:hanging="360"/>
      </w:pPr>
    </w:lvl>
    <w:lvl w:ilvl="1" w:tplc="A9B05A1C">
      <w:numFmt w:val="decimal"/>
      <w:lvlText w:val=""/>
      <w:lvlJc w:val="left"/>
    </w:lvl>
    <w:lvl w:ilvl="2" w:tplc="7F1E47CC">
      <w:numFmt w:val="decimal"/>
      <w:lvlText w:val=""/>
      <w:lvlJc w:val="left"/>
    </w:lvl>
    <w:lvl w:ilvl="3" w:tplc="AC2A74EA">
      <w:numFmt w:val="decimal"/>
      <w:lvlText w:val=""/>
      <w:lvlJc w:val="left"/>
    </w:lvl>
    <w:lvl w:ilvl="4" w:tplc="C8A6FFC8">
      <w:numFmt w:val="decimal"/>
      <w:lvlText w:val=""/>
      <w:lvlJc w:val="left"/>
    </w:lvl>
    <w:lvl w:ilvl="5" w:tplc="5246AB04">
      <w:numFmt w:val="decimal"/>
      <w:lvlText w:val=""/>
      <w:lvlJc w:val="left"/>
    </w:lvl>
    <w:lvl w:ilvl="6" w:tplc="68B42714">
      <w:numFmt w:val="decimal"/>
      <w:lvlText w:val=""/>
      <w:lvlJc w:val="left"/>
    </w:lvl>
    <w:lvl w:ilvl="7" w:tplc="98687BEA">
      <w:numFmt w:val="decimal"/>
      <w:lvlText w:val=""/>
      <w:lvlJc w:val="left"/>
    </w:lvl>
    <w:lvl w:ilvl="8" w:tplc="53F20582">
      <w:numFmt w:val="decimal"/>
      <w:lvlText w:val=""/>
      <w:lvlJc w:val="left"/>
    </w:lvl>
  </w:abstractNum>
  <w:abstractNum w:abstractNumId="3" w15:restartNumberingAfterBreak="0">
    <w:nsid w:val="5917071F"/>
    <w:multiLevelType w:val="hybridMultilevel"/>
    <w:tmpl w:val="D22C76B0"/>
    <w:lvl w:ilvl="0" w:tplc="A99E7E9A">
      <w:start w:val="1"/>
      <w:numFmt w:val="decimal"/>
      <w:lvlText w:val="%1."/>
      <w:lvlJc w:val="left"/>
      <w:pPr>
        <w:ind w:left="720" w:hanging="360"/>
      </w:pPr>
    </w:lvl>
    <w:lvl w:ilvl="1" w:tplc="5E4A9648">
      <w:numFmt w:val="decimal"/>
      <w:lvlText w:val=""/>
      <w:lvlJc w:val="left"/>
    </w:lvl>
    <w:lvl w:ilvl="2" w:tplc="DC4851F8">
      <w:numFmt w:val="decimal"/>
      <w:lvlText w:val=""/>
      <w:lvlJc w:val="left"/>
    </w:lvl>
    <w:lvl w:ilvl="3" w:tplc="17B27D66">
      <w:numFmt w:val="decimal"/>
      <w:lvlText w:val=""/>
      <w:lvlJc w:val="left"/>
    </w:lvl>
    <w:lvl w:ilvl="4" w:tplc="156C2BC0">
      <w:numFmt w:val="decimal"/>
      <w:lvlText w:val=""/>
      <w:lvlJc w:val="left"/>
    </w:lvl>
    <w:lvl w:ilvl="5" w:tplc="C93484D6">
      <w:numFmt w:val="decimal"/>
      <w:lvlText w:val=""/>
      <w:lvlJc w:val="left"/>
    </w:lvl>
    <w:lvl w:ilvl="6" w:tplc="A97A5762">
      <w:numFmt w:val="decimal"/>
      <w:lvlText w:val=""/>
      <w:lvlJc w:val="left"/>
    </w:lvl>
    <w:lvl w:ilvl="7" w:tplc="C2D29F72">
      <w:numFmt w:val="decimal"/>
      <w:lvlText w:val=""/>
      <w:lvlJc w:val="left"/>
    </w:lvl>
    <w:lvl w:ilvl="8" w:tplc="7506E92A">
      <w:numFmt w:val="decimal"/>
      <w:lvlText w:val=""/>
      <w:lvlJc w:val="left"/>
    </w:lvl>
  </w:abstractNum>
  <w:abstractNum w:abstractNumId="4" w15:restartNumberingAfterBreak="0">
    <w:nsid w:val="74D901C8"/>
    <w:multiLevelType w:val="hybridMultilevel"/>
    <w:tmpl w:val="F0B027B2"/>
    <w:lvl w:ilvl="0" w:tplc="61C891DA">
      <w:start w:val="1"/>
      <w:numFmt w:val="decimal"/>
      <w:lvlText w:val="%1."/>
      <w:lvlJc w:val="left"/>
      <w:pPr>
        <w:ind w:left="720" w:hanging="360"/>
      </w:pPr>
    </w:lvl>
    <w:lvl w:ilvl="1" w:tplc="C054F8B6">
      <w:numFmt w:val="decimal"/>
      <w:lvlText w:val=""/>
      <w:lvlJc w:val="left"/>
    </w:lvl>
    <w:lvl w:ilvl="2" w:tplc="26866B48">
      <w:numFmt w:val="decimal"/>
      <w:lvlText w:val=""/>
      <w:lvlJc w:val="left"/>
    </w:lvl>
    <w:lvl w:ilvl="3" w:tplc="1C16F992">
      <w:numFmt w:val="decimal"/>
      <w:lvlText w:val=""/>
      <w:lvlJc w:val="left"/>
    </w:lvl>
    <w:lvl w:ilvl="4" w:tplc="E7740708">
      <w:numFmt w:val="decimal"/>
      <w:lvlText w:val=""/>
      <w:lvlJc w:val="left"/>
    </w:lvl>
    <w:lvl w:ilvl="5" w:tplc="347CF02C">
      <w:numFmt w:val="decimal"/>
      <w:lvlText w:val=""/>
      <w:lvlJc w:val="left"/>
    </w:lvl>
    <w:lvl w:ilvl="6" w:tplc="71FA13D0">
      <w:numFmt w:val="decimal"/>
      <w:lvlText w:val=""/>
      <w:lvlJc w:val="left"/>
    </w:lvl>
    <w:lvl w:ilvl="7" w:tplc="8FBC9F30">
      <w:numFmt w:val="decimal"/>
      <w:lvlText w:val=""/>
      <w:lvlJc w:val="left"/>
    </w:lvl>
    <w:lvl w:ilvl="8" w:tplc="99A84B8E">
      <w:numFmt w:val="decimal"/>
      <w:lvlText w:val=""/>
      <w:lvlJc w:val="left"/>
    </w:lvl>
  </w:abstractNum>
  <w:abstractNum w:abstractNumId="5" w15:restartNumberingAfterBreak="0">
    <w:nsid w:val="76880894"/>
    <w:multiLevelType w:val="hybridMultilevel"/>
    <w:tmpl w:val="76F29F88"/>
    <w:lvl w:ilvl="0" w:tplc="A65CAEFA">
      <w:start w:val="1"/>
      <w:numFmt w:val="bullet"/>
      <w:lvlText w:val="•"/>
      <w:lvlJc w:val="left"/>
      <w:pPr>
        <w:ind w:left="720" w:hanging="360"/>
      </w:pPr>
    </w:lvl>
    <w:lvl w:ilvl="1" w:tplc="2E4207E4">
      <w:numFmt w:val="decimal"/>
      <w:lvlText w:val=""/>
      <w:lvlJc w:val="left"/>
    </w:lvl>
    <w:lvl w:ilvl="2" w:tplc="18C48470">
      <w:numFmt w:val="decimal"/>
      <w:lvlText w:val=""/>
      <w:lvlJc w:val="left"/>
    </w:lvl>
    <w:lvl w:ilvl="3" w:tplc="238AC4D4">
      <w:numFmt w:val="decimal"/>
      <w:lvlText w:val=""/>
      <w:lvlJc w:val="left"/>
    </w:lvl>
    <w:lvl w:ilvl="4" w:tplc="7940052E">
      <w:numFmt w:val="decimal"/>
      <w:lvlText w:val=""/>
      <w:lvlJc w:val="left"/>
    </w:lvl>
    <w:lvl w:ilvl="5" w:tplc="09BA8C9C">
      <w:numFmt w:val="decimal"/>
      <w:lvlText w:val=""/>
      <w:lvlJc w:val="left"/>
    </w:lvl>
    <w:lvl w:ilvl="6" w:tplc="A4E4729A">
      <w:numFmt w:val="decimal"/>
      <w:lvlText w:val=""/>
      <w:lvlJc w:val="left"/>
    </w:lvl>
    <w:lvl w:ilvl="7" w:tplc="DD92C540">
      <w:numFmt w:val="decimal"/>
      <w:lvlText w:val=""/>
      <w:lvlJc w:val="left"/>
    </w:lvl>
    <w:lvl w:ilvl="8" w:tplc="C1F0AD5C">
      <w:numFmt w:val="decimal"/>
      <w:lvlText w:val=""/>
      <w:lvlJc w:val="left"/>
    </w:lvl>
  </w:abstractNum>
  <w:abstractNum w:abstractNumId="6" w15:restartNumberingAfterBreak="0">
    <w:nsid w:val="76DF2860"/>
    <w:multiLevelType w:val="hybridMultilevel"/>
    <w:tmpl w:val="3BF21524"/>
    <w:lvl w:ilvl="0" w:tplc="47281822">
      <w:start w:val="1"/>
      <w:numFmt w:val="decimal"/>
      <w:lvlText w:val="%1."/>
      <w:lvlJc w:val="left"/>
      <w:pPr>
        <w:ind w:left="720" w:hanging="360"/>
      </w:pPr>
    </w:lvl>
    <w:lvl w:ilvl="1" w:tplc="2FBE1592">
      <w:numFmt w:val="decimal"/>
      <w:lvlText w:val=""/>
      <w:lvlJc w:val="left"/>
    </w:lvl>
    <w:lvl w:ilvl="2" w:tplc="BFD8411A">
      <w:numFmt w:val="decimal"/>
      <w:lvlText w:val=""/>
      <w:lvlJc w:val="left"/>
    </w:lvl>
    <w:lvl w:ilvl="3" w:tplc="0F08ED38">
      <w:numFmt w:val="decimal"/>
      <w:lvlText w:val=""/>
      <w:lvlJc w:val="left"/>
    </w:lvl>
    <w:lvl w:ilvl="4" w:tplc="10142E82">
      <w:numFmt w:val="decimal"/>
      <w:lvlText w:val=""/>
      <w:lvlJc w:val="left"/>
    </w:lvl>
    <w:lvl w:ilvl="5" w:tplc="B8BA6F58">
      <w:numFmt w:val="decimal"/>
      <w:lvlText w:val=""/>
      <w:lvlJc w:val="left"/>
    </w:lvl>
    <w:lvl w:ilvl="6" w:tplc="13421550">
      <w:numFmt w:val="decimal"/>
      <w:lvlText w:val=""/>
      <w:lvlJc w:val="left"/>
    </w:lvl>
    <w:lvl w:ilvl="7" w:tplc="0578368A">
      <w:numFmt w:val="decimal"/>
      <w:lvlText w:val=""/>
      <w:lvlJc w:val="left"/>
    </w:lvl>
    <w:lvl w:ilvl="8" w:tplc="C0C28EEE">
      <w:numFmt w:val="decimal"/>
      <w:lvlText w:val=""/>
      <w:lvlJc w:val="left"/>
    </w:lvl>
  </w:abstractNum>
  <w:num w:numId="1" w16cid:durableId="76371558">
    <w:abstractNumId w:val="0"/>
    <w:lvlOverride w:ilvl="0">
      <w:startOverride w:val="1"/>
    </w:lvlOverride>
  </w:num>
  <w:num w:numId="2" w16cid:durableId="400368461">
    <w:abstractNumId w:val="5"/>
    <w:lvlOverride w:ilvl="0">
      <w:startOverride w:val="1"/>
    </w:lvlOverride>
  </w:num>
  <w:num w:numId="3" w16cid:durableId="2029526960">
    <w:abstractNumId w:val="2"/>
    <w:lvlOverride w:ilvl="0">
      <w:startOverride w:val="1"/>
    </w:lvlOverride>
  </w:num>
  <w:num w:numId="4" w16cid:durableId="572348915">
    <w:abstractNumId w:val="6"/>
    <w:lvlOverride w:ilvl="0">
      <w:startOverride w:val="1"/>
    </w:lvlOverride>
  </w:num>
  <w:num w:numId="5" w16cid:durableId="1992364677">
    <w:abstractNumId w:val="4"/>
    <w:lvlOverride w:ilvl="0">
      <w:startOverride w:val="1"/>
    </w:lvlOverride>
  </w:num>
  <w:num w:numId="6" w16cid:durableId="798063841">
    <w:abstractNumId w:val="1"/>
    <w:lvlOverride w:ilvl="0">
      <w:startOverride w:val="1"/>
    </w:lvlOverride>
  </w:num>
  <w:num w:numId="7" w16cid:durableId="42653600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691"/>
    <w:rsid w:val="004E2C8C"/>
    <w:rsid w:val="00A21E40"/>
    <w:rsid w:val="00B635B4"/>
    <w:rsid w:val="00BD0F9A"/>
    <w:rsid w:val="00C34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10489"/>
  <w15:docId w15:val="{32E2E56A-5FAD-4834-AA31-0F2935BD9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635B4"/>
    <w:pPr>
      <w:tabs>
        <w:tab w:val="center" w:pos="4680"/>
        <w:tab w:val="right" w:pos="9360"/>
      </w:tabs>
    </w:pPr>
  </w:style>
  <w:style w:type="character" w:customStyle="1" w:styleId="HeaderChar">
    <w:name w:val="Header Char"/>
    <w:basedOn w:val="DefaultParagraphFont"/>
    <w:link w:val="Header"/>
    <w:uiPriority w:val="99"/>
    <w:rsid w:val="00B635B4"/>
  </w:style>
  <w:style w:type="paragraph" w:styleId="Footer">
    <w:name w:val="footer"/>
    <w:basedOn w:val="Normal"/>
    <w:link w:val="FooterChar"/>
    <w:uiPriority w:val="99"/>
    <w:unhideWhenUsed/>
    <w:rsid w:val="00B635B4"/>
    <w:pPr>
      <w:tabs>
        <w:tab w:val="center" w:pos="4680"/>
        <w:tab w:val="right" w:pos="9360"/>
      </w:tabs>
    </w:pPr>
  </w:style>
  <w:style w:type="character" w:customStyle="1" w:styleId="FooterChar">
    <w:name w:val="Footer Char"/>
    <w:basedOn w:val="DefaultParagraphFont"/>
    <w:link w:val="Footer"/>
    <w:uiPriority w:val="99"/>
    <w:rsid w:val="00B635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2169</Words>
  <Characters>12367</Characters>
  <Application>Microsoft Office Word</Application>
  <DocSecurity>0</DocSecurity>
  <Lines>103</Lines>
  <Paragraphs>29</Paragraphs>
  <ScaleCrop>false</ScaleCrop>
  <Company/>
  <LinksUpToDate>false</LinksUpToDate>
  <CharactersWithSpaces>14507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 Butera</cp:lastModifiedBy>
  <cp:revision>3</cp:revision>
  <dcterms:created xsi:type="dcterms:W3CDTF">2026-02-17T17:33:00Z</dcterms:created>
  <dcterms:modified xsi:type="dcterms:W3CDTF">2026-02-17T17:45:00Z</dcterms:modified>
</cp:coreProperties>
</file>