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5BF59" w14:textId="648BF146" w:rsidR="00633E4E" w:rsidRPr="00834E5C" w:rsidRDefault="00000000" w:rsidP="00834E5C">
      <w:pPr>
        <w:spacing w:after="80"/>
        <w:rPr>
          <w:b/>
          <w:color w:val="000000" w:themeColor="text1"/>
          <w:sz w:val="20"/>
          <w:szCs w:val="20"/>
          <w:lang w:val="es-MX"/>
        </w:rPr>
      </w:pPr>
      <w:r w:rsidRPr="00834E5C">
        <w:rPr>
          <w:rFonts w:ascii="Arial" w:hAnsi="Arial"/>
          <w:b/>
          <w:color w:val="000000" w:themeColor="text1"/>
          <w:sz w:val="20"/>
          <w:szCs w:val="20"/>
          <w:lang w:val="es-MX"/>
        </w:rPr>
        <w:t>INTERPRETACIÓN DE LOS RESULTADOS DEL ANÁLISIS</w:t>
      </w:r>
    </w:p>
    <w:p w14:paraId="0224E6E4" w14:textId="77777777" w:rsidR="00633E4E" w:rsidRPr="00834E5C" w:rsidRDefault="00633E4E">
      <w:pPr>
        <w:rPr>
          <w:b/>
          <w:color w:val="000000" w:themeColor="text1"/>
          <w:sz w:val="20"/>
          <w:szCs w:val="20"/>
        </w:rPr>
      </w:pPr>
    </w:p>
    <w:p w14:paraId="75AECB75" w14:textId="0D9C5442" w:rsidR="00633E4E" w:rsidRPr="00834E5C" w:rsidRDefault="00000000">
      <w:pPr>
        <w:spacing w:before="280" w:after="120"/>
        <w:rPr>
          <w:b/>
          <w:color w:val="000000" w:themeColor="text1"/>
          <w:sz w:val="20"/>
          <w:szCs w:val="20"/>
          <w:lang w:val="es-MX"/>
        </w:rPr>
      </w:pPr>
      <w:r w:rsidRPr="00834E5C">
        <w:rPr>
          <w:rFonts w:ascii="Arial" w:hAnsi="Arial"/>
          <w:b/>
          <w:color w:val="000000" w:themeColor="text1"/>
          <w:sz w:val="20"/>
          <w:szCs w:val="20"/>
          <w:lang w:val="es-MX"/>
        </w:rPr>
        <w:t>¿La estacionalidad de los pasajeros aéreos coincide con la de los turistas? ¿A qué regiones viajan?</w:t>
      </w:r>
    </w:p>
    <w:tbl>
      <w:tblPr>
        <w:tblStyle w:val="Tablaconcuadrcula"/>
        <w:tblW w:w="0" w:type="auto"/>
        <w:jc w:val="center"/>
        <w:tblLook w:val="04A0" w:firstRow="1" w:lastRow="0" w:firstColumn="1" w:lastColumn="0" w:noHBand="0" w:noVBand="1"/>
      </w:tblPr>
      <w:tblGrid>
        <w:gridCol w:w="3166"/>
        <w:gridCol w:w="6760"/>
      </w:tblGrid>
      <w:tr w:rsidR="00834E5C" w:rsidRPr="00834E5C" w14:paraId="63F39A6F" w14:textId="77777777" w:rsidTr="003874D9">
        <w:trPr>
          <w:jc w:val="center"/>
        </w:trPr>
        <w:tc>
          <w:tcPr>
            <w:tcW w:w="3168" w:type="dxa"/>
            <w:shd w:val="clear" w:color="auto" w:fill="auto"/>
            <w:tcMar>
              <w:top w:w="90" w:type="dxa"/>
              <w:left w:w="120" w:type="dxa"/>
              <w:bottom w:w="90" w:type="dxa"/>
              <w:right w:w="120" w:type="dxa"/>
            </w:tcMar>
          </w:tcPr>
          <w:p w14:paraId="4DC03E7D" w14:textId="67B3EC36"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Hallazgo de partida</w:t>
            </w:r>
            <w:r w:rsidRPr="00834E5C">
              <w:rPr>
                <w:rFonts w:ascii="Arial" w:hAnsi="Arial"/>
                <w:bCs/>
                <w:color w:val="000000" w:themeColor="text1"/>
                <w:sz w:val="20"/>
                <w:szCs w:val="20"/>
                <w:lang w:val="es-MX"/>
              </w:rPr>
              <w:br/>
            </w:r>
          </w:p>
        </w:tc>
        <w:tc>
          <w:tcPr>
            <w:tcW w:w="6768" w:type="dxa"/>
            <w:shd w:val="clear" w:color="auto" w:fill="FFFFFF"/>
            <w:tcMar>
              <w:top w:w="90" w:type="dxa"/>
              <w:left w:w="120" w:type="dxa"/>
              <w:bottom w:w="90" w:type="dxa"/>
              <w:right w:w="120" w:type="dxa"/>
            </w:tcMar>
          </w:tcPr>
          <w:p w14:paraId="632A2C55" w14:textId="650CCFE5"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Se observa una divergencia estacional y geográfica entre ambas distribuciones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el pico máximo de concentración del turismo interno ocurre en el verano (T1) y en la región PBA - Resto (47,5% de sus turistas en T1, pero solo 2,3 millones de pasajeros aéreos acumulados), trimestre en el cual la proporción de turistas que utilizan el avión cae a su mínimo anual (4,3%), mientras que los pasajeros aéreos mantienen una distribución anual uniforme (CV = 0,083) concentrada en AMBA (51,6 </w:t>
            </w:r>
            <w:proofErr w:type="spellStart"/>
            <w:r w:rsidRPr="00834E5C">
              <w:rPr>
                <w:rFonts w:ascii="Arial" w:hAnsi="Arial"/>
                <w:bCs/>
                <w:color w:val="000000" w:themeColor="text1"/>
                <w:sz w:val="20"/>
                <w:szCs w:val="20"/>
                <w:lang w:val="es-MX"/>
              </w:rPr>
              <w:t>mill</w:t>
            </w:r>
            <w:proofErr w:type="spellEnd"/>
            <w:r w:rsidRPr="00834E5C">
              <w:rPr>
                <w:rFonts w:ascii="Arial" w:hAnsi="Arial"/>
                <w:bCs/>
                <w:color w:val="000000" w:themeColor="text1"/>
                <w:sz w:val="20"/>
                <w:szCs w:val="20"/>
                <w:lang w:val="es-MX"/>
              </w:rPr>
              <w:t xml:space="preserve">.) y Patagonia (25,1 </w:t>
            </w:r>
            <w:proofErr w:type="spellStart"/>
            <w:r w:rsidRPr="00834E5C">
              <w:rPr>
                <w:rFonts w:ascii="Arial" w:hAnsi="Arial"/>
                <w:bCs/>
                <w:color w:val="000000" w:themeColor="text1"/>
                <w:sz w:val="20"/>
                <w:szCs w:val="20"/>
                <w:lang w:val="es-MX"/>
              </w:rPr>
              <w:t>mill</w:t>
            </w:r>
            <w:proofErr w:type="spellEnd"/>
            <w:r w:rsidRPr="00834E5C">
              <w:rPr>
                <w:rFonts w:ascii="Arial" w:hAnsi="Arial"/>
                <w:bCs/>
                <w:color w:val="000000" w:themeColor="text1"/>
                <w:sz w:val="20"/>
                <w:szCs w:val="20"/>
                <w:lang w:val="es-MX"/>
              </w:rPr>
              <w:t>.).</w:t>
            </w:r>
          </w:p>
        </w:tc>
      </w:tr>
      <w:tr w:rsidR="00834E5C" w:rsidRPr="00834E5C" w14:paraId="75EB1E13" w14:textId="77777777" w:rsidTr="003874D9">
        <w:trPr>
          <w:jc w:val="center"/>
        </w:trPr>
        <w:tc>
          <w:tcPr>
            <w:tcW w:w="3168" w:type="dxa"/>
            <w:shd w:val="clear" w:color="auto" w:fill="auto"/>
            <w:tcMar>
              <w:top w:w="90" w:type="dxa"/>
              <w:left w:w="120" w:type="dxa"/>
              <w:bottom w:w="90" w:type="dxa"/>
              <w:right w:w="120" w:type="dxa"/>
            </w:tcMar>
          </w:tcPr>
          <w:p w14:paraId="7C6F2C13" w14:textId="77777777" w:rsidR="00633E4E" w:rsidRDefault="00000000">
            <w:pPr>
              <w:rPr>
                <w:bCs/>
                <w:color w:val="000000" w:themeColor="text1"/>
                <w:sz w:val="20"/>
                <w:szCs w:val="20"/>
                <w:lang w:val="es-MX"/>
              </w:rPr>
            </w:pPr>
            <w:r w:rsidRPr="00834E5C">
              <w:rPr>
                <w:rFonts w:ascii="Arial" w:hAnsi="Arial"/>
                <w:bCs/>
                <w:color w:val="000000" w:themeColor="text1"/>
                <w:sz w:val="20"/>
                <w:szCs w:val="20"/>
                <w:lang w:val="es-MX"/>
              </w:rPr>
              <w:t>INTERPRETACIÓN</w:t>
            </w:r>
            <w:r w:rsidRPr="00834E5C">
              <w:rPr>
                <w:rFonts w:ascii="Arial" w:hAnsi="Arial"/>
                <w:bCs/>
                <w:color w:val="000000" w:themeColor="text1"/>
                <w:sz w:val="20"/>
                <w:szCs w:val="20"/>
                <w:lang w:val="es-MX"/>
              </w:rPr>
              <w:br/>
            </w:r>
          </w:p>
          <w:p w14:paraId="63F3C862" w14:textId="77777777" w:rsidR="003874D9" w:rsidRDefault="003874D9" w:rsidP="003874D9">
            <w:pPr>
              <w:rPr>
                <w:bCs/>
                <w:color w:val="000000" w:themeColor="text1"/>
                <w:sz w:val="20"/>
                <w:szCs w:val="20"/>
                <w:lang w:val="es-MX"/>
              </w:rPr>
            </w:pPr>
          </w:p>
          <w:p w14:paraId="3970179C" w14:textId="77777777" w:rsidR="003874D9" w:rsidRDefault="003874D9" w:rsidP="003874D9">
            <w:pPr>
              <w:rPr>
                <w:bCs/>
                <w:color w:val="000000" w:themeColor="text1"/>
                <w:sz w:val="20"/>
                <w:szCs w:val="20"/>
                <w:lang w:val="es-MX"/>
              </w:rPr>
            </w:pPr>
          </w:p>
          <w:p w14:paraId="58B20D7B" w14:textId="77777777" w:rsidR="003874D9" w:rsidRDefault="003874D9" w:rsidP="003874D9">
            <w:pPr>
              <w:rPr>
                <w:bCs/>
                <w:color w:val="000000" w:themeColor="text1"/>
                <w:sz w:val="20"/>
                <w:szCs w:val="20"/>
                <w:lang w:val="es-MX"/>
              </w:rPr>
            </w:pPr>
          </w:p>
          <w:p w14:paraId="13788133" w14:textId="7C79AF07" w:rsidR="003874D9" w:rsidRPr="003874D9" w:rsidRDefault="003874D9" w:rsidP="003874D9">
            <w:pPr>
              <w:ind w:firstLine="720"/>
              <w:rPr>
                <w:sz w:val="20"/>
                <w:szCs w:val="20"/>
                <w:lang w:val="es-MX"/>
              </w:rPr>
            </w:pPr>
          </w:p>
        </w:tc>
        <w:tc>
          <w:tcPr>
            <w:tcW w:w="6768" w:type="dxa"/>
            <w:shd w:val="clear" w:color="auto" w:fill="auto"/>
            <w:tcMar>
              <w:top w:w="90" w:type="dxa"/>
              <w:left w:w="120" w:type="dxa"/>
              <w:bottom w:w="90" w:type="dxa"/>
              <w:right w:w="120" w:type="dxa"/>
            </w:tcMar>
          </w:tcPr>
          <w:p w14:paraId="11013216" w14:textId="6996BB35"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La distribución temporal y territorial de los pasajeros aéreos de cabotaje no es uniforme respecto a la del turismo interno residente</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el calendario y el mapa del transporte aéreo responden a una dinámica distinta a la del turismo masivo de verano (que se moviliza mayoritariamente por vía terrestre hacia destinos de cercanía como la Costa Atlántica), destacándose el avión en los flujos hacia el nodo metropolitano (AMBA), en los destinos de larga distancia (Patagonia) y durante el tercer trimestre (invierno, 8,4% de participación).</w:t>
            </w:r>
          </w:p>
        </w:tc>
      </w:tr>
      <w:tr w:rsidR="00834E5C" w:rsidRPr="00834E5C" w14:paraId="34C8EBDE" w14:textId="77777777" w:rsidTr="003874D9">
        <w:trPr>
          <w:jc w:val="center"/>
        </w:trPr>
        <w:tc>
          <w:tcPr>
            <w:tcW w:w="3168" w:type="dxa"/>
            <w:shd w:val="clear" w:color="auto" w:fill="auto"/>
            <w:tcMar>
              <w:top w:w="90" w:type="dxa"/>
              <w:left w:w="120" w:type="dxa"/>
              <w:bottom w:w="90" w:type="dxa"/>
              <w:right w:w="120" w:type="dxa"/>
            </w:tcMar>
          </w:tcPr>
          <w:p w14:paraId="57EDC5EC"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Relación con el contexto del problema y las preguntas</w:t>
            </w:r>
          </w:p>
        </w:tc>
        <w:tc>
          <w:tcPr>
            <w:tcW w:w="6768" w:type="dxa"/>
            <w:shd w:val="clear" w:color="auto" w:fill="FFFFFF"/>
            <w:tcMar>
              <w:top w:w="90" w:type="dxa"/>
              <w:left w:w="120" w:type="dxa"/>
              <w:bottom w:w="90" w:type="dxa"/>
              <w:right w:w="120" w:type="dxa"/>
            </w:tcMar>
          </w:tcPr>
          <w:p w14:paraId="57CED4DC" w14:textId="0EA21CAF"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 xml:space="preserve">Dado que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pasajeros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y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turistas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constituyen unidades de medida distintas, se calculó qué proporción del total anual recae en cada trimestre (T1 a T4) y en cada región de destino para todo el período consolidado (125,4 millones de pasajeros de cabotaje y 186,9 millones de turistas residentes, con un factor de ocupación promedio del 82,5% y una participación modal del avión del 5,7%). Asimismo, se evaluó la dispersión mensual por provincia mediante el Coeficiente de Variación (CV).</w:t>
            </w:r>
          </w:p>
        </w:tc>
      </w:tr>
      <w:tr w:rsidR="00834E5C" w:rsidRPr="00834E5C" w14:paraId="65C32C39" w14:textId="77777777" w:rsidTr="003874D9">
        <w:trPr>
          <w:jc w:val="center"/>
        </w:trPr>
        <w:tc>
          <w:tcPr>
            <w:tcW w:w="3168" w:type="dxa"/>
            <w:shd w:val="clear" w:color="auto" w:fill="auto"/>
            <w:tcMar>
              <w:top w:w="90" w:type="dxa"/>
              <w:left w:w="120" w:type="dxa"/>
              <w:bottom w:w="90" w:type="dxa"/>
              <w:right w:w="120" w:type="dxa"/>
            </w:tcMar>
          </w:tcPr>
          <w:p w14:paraId="1B0D655D"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Alcance y limitaciones metodológicas de los datos</w:t>
            </w:r>
          </w:p>
        </w:tc>
        <w:tc>
          <w:tcPr>
            <w:tcW w:w="6768" w:type="dxa"/>
            <w:shd w:val="clear" w:color="auto" w:fill="FFFFFF"/>
            <w:tcMar>
              <w:top w:w="90" w:type="dxa"/>
              <w:left w:w="120" w:type="dxa"/>
              <w:bottom w:w="90" w:type="dxa"/>
              <w:right w:w="120" w:type="dxa"/>
            </w:tcMar>
          </w:tcPr>
          <w:p w14:paraId="6BF65FB9" w14:textId="66D2199E" w:rsidR="00633E4E" w:rsidRPr="00834E5C" w:rsidRDefault="003874D9">
            <w:pPr>
              <w:rPr>
                <w:bCs/>
                <w:color w:val="000000" w:themeColor="text1"/>
                <w:sz w:val="20"/>
                <w:szCs w:val="20"/>
                <w:lang w:val="es-MX"/>
              </w:rPr>
            </w:pPr>
            <w:r>
              <w:rPr>
                <w:rFonts w:ascii="Arial" w:hAnsi="Arial"/>
                <w:bCs/>
                <w:color w:val="000000" w:themeColor="text1"/>
                <w:sz w:val="20"/>
                <w:szCs w:val="20"/>
                <w:lang w:val="es-MX"/>
              </w:rPr>
              <w:t>U</w:t>
            </w:r>
            <w:r w:rsidR="00000000" w:rsidRPr="00834E5C">
              <w:rPr>
                <w:rFonts w:ascii="Arial" w:hAnsi="Arial"/>
                <w:bCs/>
                <w:color w:val="000000" w:themeColor="text1"/>
                <w:sz w:val="20"/>
                <w:szCs w:val="20"/>
                <w:lang w:val="es-MX"/>
              </w:rPr>
              <w:t>n pasajero que aterriza en Aeroparque/Ezeiza puede ser un residente regresando a su hogar o viajando por motivos laborales; por ello la comparación se realiza sobre la estructura porcentual trimestral y regional de cada universo.</w:t>
            </w:r>
            <w:r w:rsidR="00000000" w:rsidRPr="00834E5C">
              <w:rPr>
                <w:rFonts w:ascii="Arial" w:hAnsi="Arial"/>
                <w:bCs/>
                <w:color w:val="000000" w:themeColor="text1"/>
                <w:sz w:val="20"/>
                <w:szCs w:val="20"/>
                <w:lang w:val="es-MX"/>
              </w:rPr>
              <w:br/>
              <w:t>El análisis se circunscribe al período 2017–2025 e incluye el comportamiento atípico de los años 2020 y 2021 por las restricciones sanitarias al transporte aéreo.</w:t>
            </w:r>
          </w:p>
        </w:tc>
      </w:tr>
    </w:tbl>
    <w:p w14:paraId="473D77FF" w14:textId="3F752F17" w:rsidR="00633E4E" w:rsidRPr="003874D9" w:rsidRDefault="00000000">
      <w:pPr>
        <w:spacing w:before="280" w:after="120"/>
        <w:rPr>
          <w:b/>
          <w:color w:val="000000" w:themeColor="text1"/>
          <w:sz w:val="20"/>
          <w:szCs w:val="20"/>
          <w:lang w:val="es-MX"/>
        </w:rPr>
      </w:pPr>
      <w:r w:rsidRPr="003874D9">
        <w:rPr>
          <w:rFonts w:ascii="Arial" w:hAnsi="Arial"/>
          <w:b/>
          <w:color w:val="000000" w:themeColor="text1"/>
          <w:sz w:val="20"/>
          <w:szCs w:val="20"/>
          <w:lang w:val="es-MX"/>
        </w:rPr>
        <w:t>¿Cómo se relacionan el dólar, el gasto de los turistas y los viajes en avión?</w:t>
      </w:r>
    </w:p>
    <w:tbl>
      <w:tblPr>
        <w:tblStyle w:val="Tablaconcuadrcula"/>
        <w:tblW w:w="0" w:type="auto"/>
        <w:jc w:val="center"/>
        <w:tblLook w:val="04A0" w:firstRow="1" w:lastRow="0" w:firstColumn="1" w:lastColumn="0" w:noHBand="0" w:noVBand="1"/>
      </w:tblPr>
      <w:tblGrid>
        <w:gridCol w:w="3166"/>
        <w:gridCol w:w="6760"/>
      </w:tblGrid>
      <w:tr w:rsidR="00834E5C" w:rsidRPr="00834E5C" w14:paraId="213FB1FD" w14:textId="77777777" w:rsidTr="003874D9">
        <w:trPr>
          <w:jc w:val="center"/>
        </w:trPr>
        <w:tc>
          <w:tcPr>
            <w:tcW w:w="3168" w:type="dxa"/>
            <w:shd w:val="clear" w:color="auto" w:fill="auto"/>
            <w:tcMar>
              <w:top w:w="90" w:type="dxa"/>
              <w:left w:w="120" w:type="dxa"/>
              <w:bottom w:w="90" w:type="dxa"/>
              <w:right w:w="120" w:type="dxa"/>
            </w:tcMar>
          </w:tcPr>
          <w:p w14:paraId="1C3141AA" w14:textId="01A203B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Hallazgo de partida</w:t>
            </w:r>
            <w:r w:rsidRPr="00834E5C">
              <w:rPr>
                <w:rFonts w:ascii="Arial" w:hAnsi="Arial"/>
                <w:bCs/>
                <w:color w:val="000000" w:themeColor="text1"/>
                <w:sz w:val="20"/>
                <w:szCs w:val="20"/>
                <w:lang w:val="es-MX"/>
              </w:rPr>
              <w:br/>
            </w:r>
          </w:p>
        </w:tc>
        <w:tc>
          <w:tcPr>
            <w:tcW w:w="6768" w:type="dxa"/>
            <w:shd w:val="clear" w:color="auto" w:fill="FFFFFF"/>
            <w:tcMar>
              <w:top w:w="90" w:type="dxa"/>
              <w:left w:w="120" w:type="dxa"/>
              <w:bottom w:w="90" w:type="dxa"/>
              <w:right w:w="120" w:type="dxa"/>
            </w:tcMar>
          </w:tcPr>
          <w:p w14:paraId="28B0C9F0"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Se observa que los saltos cambiarios de 2018–2019 (+70% y +72%) y 2023–2024 (+127% y +209%) coinciden con caídas pronunciadas en el gasto promedio por turista medido en dólares (−37% y −50% respectivamente), pero no coinciden con una tendencia decreciente en el volumen de pasajeros aéreos ni con una reducción en la cantidad de meses en que se vuela, alcanzándose en 2025 el récord de la serie (17,3 millones de pasajeros).</w:t>
            </w:r>
          </w:p>
        </w:tc>
      </w:tr>
      <w:tr w:rsidR="00834E5C" w:rsidRPr="00834E5C" w14:paraId="65043034" w14:textId="77777777" w:rsidTr="003874D9">
        <w:trPr>
          <w:jc w:val="center"/>
        </w:trPr>
        <w:tc>
          <w:tcPr>
            <w:tcW w:w="3168" w:type="dxa"/>
            <w:shd w:val="clear" w:color="auto" w:fill="auto"/>
            <w:tcMar>
              <w:top w:w="90" w:type="dxa"/>
              <w:left w:w="120" w:type="dxa"/>
              <w:bottom w:w="90" w:type="dxa"/>
              <w:right w:w="120" w:type="dxa"/>
            </w:tcMar>
          </w:tcPr>
          <w:p w14:paraId="239BFA6C" w14:textId="0CC57B04"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INTERPRETACIÓN</w:t>
            </w:r>
            <w:r w:rsidRPr="00834E5C">
              <w:rPr>
                <w:rFonts w:ascii="Arial" w:hAnsi="Arial"/>
                <w:bCs/>
                <w:color w:val="000000" w:themeColor="text1"/>
                <w:sz w:val="20"/>
                <w:szCs w:val="20"/>
                <w:lang w:val="es-MX"/>
              </w:rPr>
              <w:br/>
            </w:r>
          </w:p>
        </w:tc>
        <w:tc>
          <w:tcPr>
            <w:tcW w:w="6768" w:type="dxa"/>
            <w:shd w:val="clear" w:color="auto" w:fill="auto"/>
            <w:tcMar>
              <w:top w:w="90" w:type="dxa"/>
              <w:left w:w="120" w:type="dxa"/>
              <w:bottom w:w="90" w:type="dxa"/>
              <w:right w:w="120" w:type="dxa"/>
            </w:tcMar>
          </w:tcPr>
          <w:p w14:paraId="31E2CDF6"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Dentro del período analizado, la evolución del tipo de cambio se refleja de manera directa en el valor en dólares del gasto turístico individual, pero la variación cambiaria por sí sola no alcanza para describir el comportamiento del volumen de pasajeros de cabotaje, el cual muestra trayectorias de crecimiento (+12,4% en 2018, +13,0% en 2019 y récord en 2025) aun en contextos de suba del tipo de cambio.</w:t>
            </w:r>
          </w:p>
        </w:tc>
      </w:tr>
      <w:tr w:rsidR="00834E5C" w:rsidRPr="00834E5C" w14:paraId="4C9A94B6" w14:textId="77777777" w:rsidTr="003874D9">
        <w:trPr>
          <w:jc w:val="center"/>
        </w:trPr>
        <w:tc>
          <w:tcPr>
            <w:tcW w:w="3168" w:type="dxa"/>
            <w:shd w:val="clear" w:color="auto" w:fill="auto"/>
            <w:tcMar>
              <w:top w:w="90" w:type="dxa"/>
              <w:left w:w="120" w:type="dxa"/>
              <w:bottom w:w="90" w:type="dxa"/>
              <w:right w:w="120" w:type="dxa"/>
            </w:tcMar>
          </w:tcPr>
          <w:p w14:paraId="6CBA32EC"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lastRenderedPageBreak/>
              <w:t>Relación con el contexto del problema y las preguntas</w:t>
            </w:r>
          </w:p>
        </w:tc>
        <w:tc>
          <w:tcPr>
            <w:tcW w:w="6768" w:type="dxa"/>
            <w:shd w:val="clear" w:color="auto" w:fill="FFFFFF"/>
            <w:tcMar>
              <w:top w:w="90" w:type="dxa"/>
              <w:left w:w="120" w:type="dxa"/>
              <w:bottom w:w="90" w:type="dxa"/>
              <w:right w:w="120" w:type="dxa"/>
            </w:tcMar>
          </w:tcPr>
          <w:p w14:paraId="3E40877D"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Se contrastó la variación anual del tipo de cambio oficial y la evolución del gasto promedio por turista expresado en dólares frente a la serie histórica de pasajeros de cabotaje entre 2017 y 2025, con el fin de observar si los períodos de devaluación coinciden con retracciones en la cantidad de pasajeros o con una mayor concentración en menos meses del año.</w:t>
            </w:r>
          </w:p>
        </w:tc>
      </w:tr>
      <w:tr w:rsidR="00834E5C" w:rsidRPr="00834E5C" w14:paraId="3B3C1DA0" w14:textId="77777777" w:rsidTr="003874D9">
        <w:trPr>
          <w:jc w:val="center"/>
        </w:trPr>
        <w:tc>
          <w:tcPr>
            <w:tcW w:w="3168" w:type="dxa"/>
            <w:shd w:val="clear" w:color="auto" w:fill="auto"/>
            <w:tcMar>
              <w:top w:w="90" w:type="dxa"/>
              <w:left w:w="120" w:type="dxa"/>
              <w:bottom w:w="90" w:type="dxa"/>
              <w:right w:w="120" w:type="dxa"/>
            </w:tcMar>
          </w:tcPr>
          <w:p w14:paraId="6147DCD6"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Alcance y limitaciones metodológicas de los datos</w:t>
            </w:r>
          </w:p>
        </w:tc>
        <w:tc>
          <w:tcPr>
            <w:tcW w:w="6768" w:type="dxa"/>
            <w:shd w:val="clear" w:color="auto" w:fill="FFFFFF"/>
            <w:tcMar>
              <w:top w:w="90" w:type="dxa"/>
              <w:left w:w="120" w:type="dxa"/>
              <w:bottom w:w="90" w:type="dxa"/>
              <w:right w:w="120" w:type="dxa"/>
            </w:tcMar>
          </w:tcPr>
          <w:p w14:paraId="1CEFEBF7"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 La conversión del gasto turístico trimestral a dólares utiliza el tipo de cambio oficial promedio de cada trimestre, lo que permite una comparación homogénea de poder adquisitivo en moneda dura a lo largo de los 9 años.</w:t>
            </w:r>
            <w:r w:rsidRPr="00834E5C">
              <w:rPr>
                <w:rFonts w:ascii="Arial" w:hAnsi="Arial"/>
                <w:bCs/>
                <w:color w:val="000000" w:themeColor="text1"/>
                <w:sz w:val="20"/>
                <w:szCs w:val="20"/>
                <w:lang w:val="es-MX"/>
              </w:rPr>
              <w:br/>
              <w:t>• El alcance descriptivo identifica la coexistencia o disociación de las tendencias temporales sin postular relaciones de causalidad econométrica.</w:t>
            </w:r>
          </w:p>
        </w:tc>
      </w:tr>
    </w:tbl>
    <w:p w14:paraId="12A50C93" w14:textId="4159312F" w:rsidR="00633E4E" w:rsidRPr="003874D9" w:rsidRDefault="00000000">
      <w:pPr>
        <w:spacing w:before="280" w:after="120"/>
        <w:rPr>
          <w:b/>
          <w:color w:val="000000" w:themeColor="text1"/>
          <w:sz w:val="20"/>
          <w:szCs w:val="20"/>
          <w:lang w:val="es-MX"/>
        </w:rPr>
      </w:pPr>
      <w:r w:rsidRPr="003874D9">
        <w:rPr>
          <w:rFonts w:ascii="Arial" w:hAnsi="Arial"/>
          <w:b/>
          <w:color w:val="000000" w:themeColor="text1"/>
          <w:sz w:val="20"/>
          <w:szCs w:val="20"/>
          <w:lang w:val="es-MX"/>
        </w:rPr>
        <w:t>¿Cómo se conecta el país?</w:t>
      </w:r>
    </w:p>
    <w:tbl>
      <w:tblPr>
        <w:tblStyle w:val="Tablaconcuadrcula"/>
        <w:tblW w:w="0" w:type="auto"/>
        <w:jc w:val="center"/>
        <w:tblLook w:val="04A0" w:firstRow="1" w:lastRow="0" w:firstColumn="1" w:lastColumn="0" w:noHBand="0" w:noVBand="1"/>
      </w:tblPr>
      <w:tblGrid>
        <w:gridCol w:w="3166"/>
        <w:gridCol w:w="6760"/>
      </w:tblGrid>
      <w:tr w:rsidR="00834E5C" w:rsidRPr="00834E5C" w14:paraId="50DAF43C" w14:textId="77777777" w:rsidTr="003874D9">
        <w:trPr>
          <w:jc w:val="center"/>
        </w:trPr>
        <w:tc>
          <w:tcPr>
            <w:tcW w:w="3168" w:type="dxa"/>
            <w:shd w:val="clear" w:color="auto" w:fill="auto"/>
            <w:tcMar>
              <w:top w:w="90" w:type="dxa"/>
              <w:left w:w="120" w:type="dxa"/>
              <w:bottom w:w="90" w:type="dxa"/>
              <w:right w:w="120" w:type="dxa"/>
            </w:tcMar>
          </w:tcPr>
          <w:p w14:paraId="60E02FC1" w14:textId="633C9075"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Hallazgo de partida</w:t>
            </w:r>
            <w:r w:rsidRPr="00834E5C">
              <w:rPr>
                <w:rFonts w:ascii="Arial" w:hAnsi="Arial"/>
                <w:bCs/>
                <w:color w:val="000000" w:themeColor="text1"/>
                <w:sz w:val="20"/>
                <w:szCs w:val="20"/>
                <w:lang w:val="es-MX"/>
              </w:rPr>
              <w:br/>
            </w:r>
          </w:p>
        </w:tc>
        <w:tc>
          <w:tcPr>
            <w:tcW w:w="6768" w:type="dxa"/>
            <w:shd w:val="clear" w:color="auto" w:fill="FFFFFF"/>
            <w:tcMar>
              <w:top w:w="90" w:type="dxa"/>
              <w:left w:w="120" w:type="dxa"/>
              <w:bottom w:w="90" w:type="dxa"/>
              <w:right w:w="120" w:type="dxa"/>
            </w:tcMar>
          </w:tcPr>
          <w:p w14:paraId="1394DC7A"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 xml:space="preserve">Se observa </w:t>
            </w:r>
            <w:proofErr w:type="gramStart"/>
            <w:r w:rsidRPr="00834E5C">
              <w:rPr>
                <w:rFonts w:ascii="Arial" w:hAnsi="Arial"/>
                <w:bCs/>
                <w:color w:val="000000" w:themeColor="text1"/>
                <w:sz w:val="20"/>
                <w:szCs w:val="20"/>
                <w:lang w:val="es-MX"/>
              </w:rPr>
              <w:t>que</w:t>
            </w:r>
            <w:proofErr w:type="gramEnd"/>
            <w:r w:rsidRPr="00834E5C">
              <w:rPr>
                <w:rFonts w:ascii="Arial" w:hAnsi="Arial"/>
                <w:bCs/>
                <w:color w:val="000000" w:themeColor="text1"/>
                <w:sz w:val="20"/>
                <w:szCs w:val="20"/>
                <w:lang w:val="es-MX"/>
              </w:rPr>
              <w:t xml:space="preserve"> en 2025, año en que el volumen total de pasajeros de cabotaje alcanzó su máximo histórico (17,3 millones), la participación de las rutas directas entre provincias (sin pasar por AMBA) descendió a su mínimo de toda la serie con un 8,8% (frente al 10,1%–11,8% registrado entre 2017 y 2024), producto de un aumento del +12,2% en los vuelos vía Buenos Aires y una caída del −13,8% en los vuelos interprovinciales respecto de 2024.</w:t>
            </w:r>
          </w:p>
        </w:tc>
      </w:tr>
      <w:tr w:rsidR="00834E5C" w:rsidRPr="00834E5C" w14:paraId="302B2452" w14:textId="77777777" w:rsidTr="003874D9">
        <w:trPr>
          <w:jc w:val="center"/>
        </w:trPr>
        <w:tc>
          <w:tcPr>
            <w:tcW w:w="3168" w:type="dxa"/>
            <w:shd w:val="clear" w:color="auto" w:fill="auto"/>
            <w:tcMar>
              <w:top w:w="90" w:type="dxa"/>
              <w:left w:w="120" w:type="dxa"/>
              <w:bottom w:w="90" w:type="dxa"/>
              <w:right w:w="120" w:type="dxa"/>
            </w:tcMar>
          </w:tcPr>
          <w:p w14:paraId="7AD8794F" w14:textId="15EA4475"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INTERPRETACIÓN</w:t>
            </w:r>
            <w:r w:rsidRPr="00834E5C">
              <w:rPr>
                <w:rFonts w:ascii="Arial" w:hAnsi="Arial"/>
                <w:bCs/>
                <w:color w:val="000000" w:themeColor="text1"/>
                <w:sz w:val="20"/>
                <w:szCs w:val="20"/>
                <w:lang w:val="es-MX"/>
              </w:rPr>
              <w:br/>
            </w:r>
          </w:p>
        </w:tc>
        <w:tc>
          <w:tcPr>
            <w:tcW w:w="6768" w:type="dxa"/>
            <w:shd w:val="clear" w:color="auto" w:fill="auto"/>
            <w:tcMar>
              <w:top w:w="90" w:type="dxa"/>
              <w:left w:w="120" w:type="dxa"/>
              <w:bottom w:w="90" w:type="dxa"/>
              <w:right w:w="120" w:type="dxa"/>
            </w:tcMar>
          </w:tcPr>
          <w:p w14:paraId="5DB2D1E5" w14:textId="72ABD512"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La estructura de la red aérea argentina presenta una alta concentración radial en torno a los aeropuertos del AMBA (91,2% del cabotaje en 2025)</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el incremento récord del volumen total de pasajeros en el último año se concentró en las conexiones con Buenos Aires y en los flujos internacionales, mientras que la conectividad transversal directa entre provincias disminuyó tanto en términos absolutos (−13,8%) como relativos (8,8%).</w:t>
            </w:r>
          </w:p>
        </w:tc>
      </w:tr>
      <w:tr w:rsidR="00834E5C" w:rsidRPr="00834E5C" w14:paraId="3D465503" w14:textId="77777777" w:rsidTr="003874D9">
        <w:trPr>
          <w:jc w:val="center"/>
        </w:trPr>
        <w:tc>
          <w:tcPr>
            <w:tcW w:w="3168" w:type="dxa"/>
            <w:shd w:val="clear" w:color="auto" w:fill="auto"/>
            <w:tcMar>
              <w:top w:w="90" w:type="dxa"/>
              <w:left w:w="120" w:type="dxa"/>
              <w:bottom w:w="90" w:type="dxa"/>
              <w:right w:w="120" w:type="dxa"/>
            </w:tcMar>
          </w:tcPr>
          <w:p w14:paraId="021D275F"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Relación con el contexto del problema y las preguntas</w:t>
            </w:r>
          </w:p>
        </w:tc>
        <w:tc>
          <w:tcPr>
            <w:tcW w:w="6768" w:type="dxa"/>
            <w:shd w:val="clear" w:color="auto" w:fill="FFFFFF"/>
            <w:tcMar>
              <w:top w:w="90" w:type="dxa"/>
              <w:left w:w="120" w:type="dxa"/>
              <w:bottom w:w="90" w:type="dxa"/>
              <w:right w:w="120" w:type="dxa"/>
            </w:tcMar>
          </w:tcPr>
          <w:p w14:paraId="337C293A" w14:textId="43695EAA"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 xml:space="preserve">Mediante la columna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conexión</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incorporada a la tabla </w:t>
            </w:r>
            <w:r w:rsidR="00834E5C">
              <w:rPr>
                <w:rFonts w:ascii="Arial" w:hAnsi="Arial"/>
                <w:bCs/>
                <w:color w:val="000000" w:themeColor="text1"/>
                <w:sz w:val="20"/>
                <w:szCs w:val="20"/>
                <w:lang w:val="es-MX"/>
              </w:rPr>
              <w:t>“</w:t>
            </w:r>
            <w:proofErr w:type="spellStart"/>
            <w:r w:rsidRPr="00834E5C">
              <w:rPr>
                <w:rFonts w:ascii="Arial" w:hAnsi="Arial"/>
                <w:bCs/>
                <w:color w:val="000000" w:themeColor="text1"/>
                <w:sz w:val="20"/>
                <w:szCs w:val="20"/>
                <w:lang w:val="es-MX"/>
              </w:rPr>
              <w:t>fact_vuelos_mensual</w:t>
            </w:r>
            <w:proofErr w:type="spellEnd"/>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se clasificó </w:t>
            </w:r>
            <w:proofErr w:type="gramStart"/>
            <w:r w:rsidRPr="00834E5C">
              <w:rPr>
                <w:rFonts w:ascii="Arial" w:hAnsi="Arial"/>
                <w:bCs/>
                <w:color w:val="000000" w:themeColor="text1"/>
                <w:sz w:val="20"/>
                <w:szCs w:val="20"/>
                <w:lang w:val="es-MX"/>
              </w:rPr>
              <w:t>a</w:t>
            </w:r>
            <w:proofErr w:type="gramEnd"/>
            <w:r w:rsidRPr="00834E5C">
              <w:rPr>
                <w:rFonts w:ascii="Arial" w:hAnsi="Arial"/>
                <w:bCs/>
                <w:color w:val="000000" w:themeColor="text1"/>
                <w:sz w:val="20"/>
                <w:szCs w:val="20"/>
                <w:lang w:val="es-MX"/>
              </w:rPr>
              <w:t xml:space="preserve"> cada pasajero de cabotaje en dos grupos excluyentes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Vía Buenos Aires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(cuando el vuelo despega o aterriza en un aeropuerto del AMBA) y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Entre provincias</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(cuando une dos provincias del interior sin tocar aeropuertos del AMBA). Se analizó la evolución del peso porcentual de ambos grupos en la serie 2017–2025 y su variación en el último año.</w:t>
            </w:r>
          </w:p>
        </w:tc>
      </w:tr>
      <w:tr w:rsidR="00834E5C" w:rsidRPr="00834E5C" w14:paraId="5772F6CA" w14:textId="77777777" w:rsidTr="003874D9">
        <w:trPr>
          <w:jc w:val="center"/>
        </w:trPr>
        <w:tc>
          <w:tcPr>
            <w:tcW w:w="3168" w:type="dxa"/>
            <w:shd w:val="clear" w:color="auto" w:fill="auto"/>
            <w:tcMar>
              <w:top w:w="90" w:type="dxa"/>
              <w:left w:w="120" w:type="dxa"/>
              <w:bottom w:w="90" w:type="dxa"/>
              <w:right w:w="120" w:type="dxa"/>
            </w:tcMar>
          </w:tcPr>
          <w:p w14:paraId="4E3834BF" w14:textId="77777777"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Alcance y limitaciones metodológicas de los datos</w:t>
            </w:r>
          </w:p>
        </w:tc>
        <w:tc>
          <w:tcPr>
            <w:tcW w:w="6768" w:type="dxa"/>
            <w:shd w:val="clear" w:color="auto" w:fill="FFFFFF"/>
            <w:tcMar>
              <w:top w:w="90" w:type="dxa"/>
              <w:left w:w="120" w:type="dxa"/>
              <w:bottom w:w="90" w:type="dxa"/>
              <w:right w:w="120" w:type="dxa"/>
            </w:tcMar>
          </w:tcPr>
          <w:p w14:paraId="5D4C695D" w14:textId="54E63DAE" w:rsidR="00633E4E" w:rsidRPr="00834E5C" w:rsidRDefault="00000000">
            <w:pPr>
              <w:rPr>
                <w:bCs/>
                <w:color w:val="000000" w:themeColor="text1"/>
                <w:sz w:val="20"/>
                <w:szCs w:val="20"/>
                <w:lang w:val="es-MX"/>
              </w:rPr>
            </w:pPr>
            <w:r w:rsidRPr="00834E5C">
              <w:rPr>
                <w:rFonts w:ascii="Arial" w:hAnsi="Arial"/>
                <w:bCs/>
                <w:color w:val="000000" w:themeColor="text1"/>
                <w:sz w:val="20"/>
                <w:szCs w:val="20"/>
                <w:lang w:val="es-MX"/>
              </w:rPr>
              <w:t xml:space="preserve">La clasificación </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conexión</w:t>
            </w:r>
            <w:r w:rsidR="00834E5C">
              <w:rPr>
                <w:rFonts w:ascii="Arial" w:hAnsi="Arial"/>
                <w:bCs/>
                <w:color w:val="000000" w:themeColor="text1"/>
                <w:sz w:val="20"/>
                <w:szCs w:val="20"/>
                <w:lang w:val="es-MX"/>
              </w:rPr>
              <w:t>”</w:t>
            </w:r>
            <w:r w:rsidRPr="00834E5C">
              <w:rPr>
                <w:rFonts w:ascii="Arial" w:hAnsi="Arial"/>
                <w:bCs/>
                <w:color w:val="000000" w:themeColor="text1"/>
                <w:sz w:val="20"/>
                <w:szCs w:val="20"/>
                <w:lang w:val="es-MX"/>
              </w:rPr>
              <w:t xml:space="preserve"> divide el cabotaje en dos grupos mutuamente excluyentes según si el tramo tiene origen/destino en aeropuertos del AMBA o si conecta dos provincias directamente sin tocar AMBA.</w:t>
            </w:r>
            <w:r w:rsidRPr="00834E5C">
              <w:rPr>
                <w:rFonts w:ascii="Arial" w:hAnsi="Arial"/>
                <w:bCs/>
                <w:color w:val="000000" w:themeColor="text1"/>
                <w:sz w:val="20"/>
                <w:szCs w:val="20"/>
                <w:lang w:val="es-MX"/>
              </w:rPr>
              <w:br/>
              <w:t>Los datos reflejan tramos de vuelo operados y pasajeros transportados registrados por ANAC entre 2017 y 2025.</w:t>
            </w:r>
          </w:p>
        </w:tc>
      </w:tr>
    </w:tbl>
    <w:p w14:paraId="39ACF25C" w14:textId="77777777" w:rsidR="00772CF0" w:rsidRPr="00834E5C" w:rsidRDefault="00772CF0">
      <w:pPr>
        <w:rPr>
          <w:lang w:val="es-MX"/>
        </w:rPr>
      </w:pPr>
    </w:p>
    <w:sectPr w:rsidR="00772CF0" w:rsidRPr="00834E5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6572865">
    <w:abstractNumId w:val="8"/>
  </w:num>
  <w:num w:numId="2" w16cid:durableId="2095466618">
    <w:abstractNumId w:val="6"/>
  </w:num>
  <w:num w:numId="3" w16cid:durableId="165480860">
    <w:abstractNumId w:val="5"/>
  </w:num>
  <w:num w:numId="4" w16cid:durableId="933854734">
    <w:abstractNumId w:val="4"/>
  </w:num>
  <w:num w:numId="5" w16cid:durableId="2070375397">
    <w:abstractNumId w:val="7"/>
  </w:num>
  <w:num w:numId="6" w16cid:durableId="243151892">
    <w:abstractNumId w:val="3"/>
  </w:num>
  <w:num w:numId="7" w16cid:durableId="1283534771">
    <w:abstractNumId w:val="2"/>
  </w:num>
  <w:num w:numId="8" w16cid:durableId="553348028">
    <w:abstractNumId w:val="1"/>
  </w:num>
  <w:num w:numId="9" w16cid:durableId="181871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4D9"/>
    <w:rsid w:val="003F547D"/>
    <w:rsid w:val="00633E4E"/>
    <w:rsid w:val="00772CF0"/>
    <w:rsid w:val="00834E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229FB"/>
  <w14:defaultImageDpi w14:val="300"/>
  <w15:docId w15:val="{4F4C8498-AAB7-4989-AF13-93688F44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893</Words>
  <Characters>4917</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naufamer</cp:lastModifiedBy>
  <cp:revision>2</cp:revision>
  <dcterms:created xsi:type="dcterms:W3CDTF">2026-10-25T23:22:00Z</dcterms:created>
  <dcterms:modified xsi:type="dcterms:W3CDTF">2026-10-25T23:22:00Z</dcterms:modified>
  <cp:category/>
</cp:coreProperties>
</file>