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680.0" w:type="dxa"/>
        <w:jc w:val="left"/>
        <w:tblInd w:w="0.0" w:type="pct"/>
        <w:tblBorders>
          <w:top w:color="1b18af" w:space="0" w:sz="12" w:val="single"/>
          <w:left w:color="1b18af" w:space="0" w:sz="12" w:val="single"/>
          <w:bottom w:color="1b18af" w:space="0" w:sz="12" w:val="single"/>
          <w:right w:color="1b18af" w:space="0" w:sz="12" w:val="single"/>
          <w:insideH w:color="1b18af" w:space="0" w:sz="12" w:val="single"/>
          <w:insideV w:color="1b18af" w:space="0" w:sz="12" w:val="single"/>
        </w:tblBorders>
        <w:tblLayout w:type="fixed"/>
        <w:tblLook w:val="0600"/>
      </w:tblPr>
      <w:tblGrid>
        <w:gridCol w:w="2340"/>
        <w:gridCol w:w="2340"/>
        <w:tblGridChange w:id="0">
          <w:tblGrid>
            <w:gridCol w:w="2340"/>
            <w:gridCol w:w="2340"/>
          </w:tblGrid>
        </w:tblGridChange>
      </w:tblGrid>
      <w:tr>
        <w:tc>
          <w:tcPr>
            <w:gridSpan w:val="2"/>
            <w:tcBorders>
              <w:top w:color="1b18af" w:space="0" w:sz="12" w:val="single"/>
              <w:left w:color="1b18af" w:space="0" w:sz="12" w:val="single"/>
              <w:bottom w:color="1b18af" w:space="0" w:sz="12" w:val="single"/>
              <w:right w:color="1b18af" w:space="0" w:sz="12" w:val="single"/>
            </w:tcBorders>
            <w:shd w:fill="ffff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Verdana" w:cs="Verdana" w:eastAsia="Verdana" w:hAnsi="Verdana"/>
                <w:color w:val="008000"/>
                <w:sz w:val="80"/>
                <w:szCs w:val="8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80"/>
                <w:szCs w:val="80"/>
                <w:shd w:fill="auto" w:val="clear"/>
                <w:rtl w:val="0"/>
              </w:rPr>
              <w:t xml:space="preserve">I vedutisti</w:t>
            </w:r>
          </w:p>
        </w:tc>
      </w:tr>
      <w:tr>
        <w:tc>
          <w:tcPr>
            <w:tcBorders>
              <w:top w:color="1b18af" w:space="0" w:sz="12" w:val="single"/>
              <w:left w:color="1b18af" w:space="0" w:sz="12" w:val="single"/>
              <w:bottom w:color="1b18af" w:space="0" w:sz="12" w:val="single"/>
              <w:right w:color="1b18af" w:space="0" w:sz="12" w:val="single"/>
            </w:tcBorders>
            <w:shd w:fill="808080" w:val="clear"/>
            <w:tcMar>
              <w:top w:w="400.0" w:type="dxa"/>
              <w:left w:w="400.0" w:type="dxa"/>
              <w:bottom w:w="400.0" w:type="dxa"/>
              <w:right w:w="4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Nel 1700 nasce una nuova corrente artistica, il </w:t>
            </w: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"Vedutismo"</w:t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A caratterizzare questo periodo sono le "vedute", paesaggi sia naturali che cittadini ed è da queste che prende nome.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0" w:lineRule="auto"/>
              <w:contextualSpacing w:val="0"/>
              <w:jc w:val="both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Il vedutismo trova la sua principale espressione nella Serenissima Repubblica, a Venezia, diffondendosi in altre città d'arte come Firenze e Roma.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Diversi sono i suoi rappresentanti; tra i più celebri vanno ricordati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Antonio Canal (il Canaletto)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Francesco Guardi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center"/>
            </w:pPr>
            <w:r w:rsidDel="00000000" w:rsidR="00000000" w:rsidRPr="00000000">
              <w:rPr>
                <w:b w:val="1"/>
                <w:color w:val="000000"/>
                <w:shd w:fill="auto" w:val="clear"/>
                <w:rtl w:val="0"/>
              </w:rPr>
              <w:t xml:space="preserve">Bernardo Bellotto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  <w:color w:val="00000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b18af" w:space="0" w:sz="12" w:val="single"/>
              <w:left w:color="1b18af" w:space="0" w:sz="12" w:val="single"/>
              <w:bottom w:color="1b18af" w:space="0" w:sz="12" w:val="single"/>
              <w:right w:color="1b18af" w:space="0" w:sz="12" w:val="single"/>
            </w:tcBorders>
            <w:shd w:fill="ffffff" w:val="clear"/>
            <w:tcMar>
              <w:top w:w="400.0" w:type="dxa"/>
              <w:left w:w="400.0" w:type="dxa"/>
              <w:bottom w:w="400.0" w:type="dxa"/>
              <w:right w:w="4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Sotto sono riportati alcuni dipinti che hanno meglio distinto questo periodo artistico.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0" w:before="400" w:lineRule="auto"/>
              <w:contextualSpacing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09dfe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00"/>
                <w:shd w:fill="auto" w:val="clear"/>
              </w:rPr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©NEIADE 2017 -- All rights reserved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