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2937"/>
          <w:sz w:val="28"/>
        </w:rPr>
        <w:t>DIGITAL TRANSFER AGENT</w:t>
      </w:r>
    </w:p>
    <w:p>
      <w:pPr>
        <w:pStyle w:val="Title"/>
      </w:pPr>
      <w:r>
        <w:t>OVERSIGHT SOLUTION DESIGN &amp; TECHNICAL SPECIFICATION</w:t>
      </w:r>
    </w:p>
    <w:p>
      <w:r>
        <w:rPr>
          <w:b/>
          <w:color w:val="1F2937"/>
          <w:sz w:val="25"/>
        </w:rPr>
        <w:t>Technical implementation of the DTA Third-Party Oversight &amp; Control Standard</w:t>
      </w:r>
    </w:p>
    <w:p>
      <w:r>
        <w:rPr>
          <w:i/>
          <w:color w:val="6B7280"/>
          <w:sz w:val="19"/>
        </w:rPr>
        <w:t>Provider profile: Securitize | Architecture remains provider-interface agnostic until interfaces are validated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F2"/>
          </w:tcPr>
          <w:p>
            <w:pPr>
              <w:pStyle w:val="Callout"/>
              <w:spacing w:after="40"/>
            </w:pPr>
            <w:r>
              <w:t>Purpose: define how The-Bank can technically ingest provider / blockchain / internal data, execute targeted independent verification, detect material events, manage exceptions, retain evidence and produce oversight reporting. This specification implements the Business Standard; it does not redefine its business controls, taxonomy, severity or ownership.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880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352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Document owner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Technology / DLT Control Lead with DTA Service Owner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Technical design for internal validation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Version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1.0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Date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12 August 2026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Business source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DTA Third-Party Oversight &amp; Control Standard - Business v1.0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Provider profile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Securitize - interfaces / schemas / SLAs subject to validation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Classification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Internal working specification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Intended audience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Technology, Architecture, DLT, Operations, Service Owner, Risk, Cyber, Data, SRE / Production Support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F2"/>
          </w:tcPr>
          <w:p>
            <w:pPr>
              <w:pStyle w:val="Callout"/>
              <w:spacing w:after="40"/>
            </w:pPr>
            <w:r>
              <w:t>Key architecture principle: do not build a second transfer agent. Build an evidence-led oversight capability that consumes provider controls and data, performs selective independent checks for critical outcomes, and routes material events into The-Bank governance.</w:t>
            </w:r>
          </w:p>
        </w:tc>
      </w:tr>
    </w:tbl>
    <w:p/>
    <w:p>
      <w:pPr>
        <w:pStyle w:val="Heading1"/>
      </w:pPr>
      <w:r>
        <w:t>1. Design Authority and Scope</w:t>
      </w:r>
    </w:p>
    <w:p>
      <w:r>
        <w:t>The Business Standard is authoritative for control objectives, risk treatment, Material Event Taxonomy (EVT-xx), Independent Verification controls (IV-xxx), severity, ownership and governance. This document is subordinate to that standard.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760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This specification defines</w:t>
            </w:r>
          </w:p>
        </w:tc>
        <w:tc>
          <w:tcPr>
            <w:tcW w:type="dxa" w:w="5760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This specification does not define</w:t>
            </w:r>
          </w:p>
        </w:tc>
      </w:tr>
      <w:tr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Logical and deployment architecture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Legal characterization of token / fund</w:t>
            </w:r>
          </w:p>
        </w:tc>
      </w:tr>
      <w:tr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Provider, blockchain and internal data interfaces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Which record is legally authoritative - that is set by the approved ARM</w:t>
            </w:r>
          </w:p>
        </w:tc>
      </w:tr>
      <w:tr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Canonical oversight data model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Provider operational control ownership</w:t>
            </w:r>
          </w:p>
        </w:tc>
      </w:tr>
      <w:tr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Data quality and ingestion controls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Business severity or material-event taxonomy</w:t>
            </w:r>
          </w:p>
        </w:tc>
      </w:tr>
      <w:tr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Independent verification rule implementation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New business control IDs that compete with IV-xxx / EVT-xx</w:t>
            </w:r>
          </w:p>
        </w:tc>
      </w:tr>
      <w:tr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Material-event detection mapping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Final contractual thresholds or notification timers</w:t>
            </w:r>
          </w:p>
        </w:tc>
      </w:tr>
      <w:tr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Exception, evidence, alert and workflow design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Replacement of enterprise cyber / TPRM / risk processes</w:t>
            </w:r>
          </w:p>
        </w:tc>
      </w:tr>
      <w:tr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Dashboard, observability, resilience and operations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Provider API availability until validated</w:t>
            </w:r>
          </w:p>
        </w:tc>
      </w:tr>
    </w:tbl>
    <w:p/>
    <w:p>
      <w:pPr>
        <w:pStyle w:val="Heading1"/>
      </w:pPr>
      <w:r>
        <w:t>2. Requirements Traceability</w:t>
      </w:r>
    </w:p>
    <w:p>
      <w:r>
        <w:t>Every material technical component should trace to one or more Business Standard objects.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440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Business ID</w:t>
            </w:r>
          </w:p>
        </w:tc>
        <w:tc>
          <w:tcPr>
            <w:tcW w:type="dxa" w:w="2736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Business object</w:t>
            </w:r>
          </w:p>
        </w:tc>
        <w:tc>
          <w:tcPr>
            <w:tcW w:type="dxa" w:w="6624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Technical implementation requirement</w:t>
            </w:r>
          </w:p>
        </w:tc>
        <w:tc>
          <w:tcPr>
            <w:tcW w:type="dxa" w:w="2016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Primary component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BR-ARM</w:t>
            </w:r>
          </w:p>
        </w:tc>
        <w:tc>
          <w:tcPr>
            <w:tcW w:type="dxa" w:w="273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Authoritative Record Model</w:t>
            </w:r>
          </w:p>
        </w:tc>
        <w:tc>
          <w:tcPr>
            <w:tcW w:type="dxa" w:w="66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Data mapping, comparison logic and conflict handling must follow the approved ARM.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Architecture / Data / Rules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IV-001</w:t>
            </w:r>
          </w:p>
        </w:tc>
        <w:tc>
          <w:tcPr>
            <w:tcW w:type="dxa" w:w="273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Registered supply vs valid token supply</w:t>
            </w:r>
          </w:p>
        </w:tc>
        <w:tc>
          <w:tcPr>
            <w:tcW w:type="dxa" w:w="66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Execute independent supply-integrity comparison and create Critical exception on unexplained mismatch.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Control Engine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IV-002</w:t>
            </w:r>
          </w:p>
        </w:tc>
        <w:tc>
          <w:tcPr>
            <w:tcW w:type="dxa" w:w="273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Mint authorization</w:t>
            </w:r>
          </w:p>
        </w:tc>
        <w:tc>
          <w:tcPr>
            <w:tcW w:type="dxa" w:w="66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Correlate mint events to approved issuance/subscription instructions.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Control Engine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IV-003</w:t>
            </w:r>
          </w:p>
        </w:tc>
        <w:tc>
          <w:tcPr>
            <w:tcW w:type="dxa" w:w="273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Burn authorization</w:t>
            </w:r>
          </w:p>
        </w:tc>
        <w:tc>
          <w:tcPr>
            <w:tcW w:type="dxa" w:w="66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Correlate burn events to approved redemption/cross-network instructions.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Control Engine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IV-004</w:t>
            </w:r>
          </w:p>
        </w:tc>
        <w:tc>
          <w:tcPr>
            <w:tcW w:type="dxa" w:w="273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Risk-based position validation</w:t>
            </w:r>
          </w:p>
        </w:tc>
        <w:tc>
          <w:tcPr>
            <w:tcW w:type="dxa" w:w="66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Compare selected provider positions, blockchain positions and internal reference/accounting data where applicable.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Control Engine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IV-005</w:t>
            </w:r>
          </w:p>
        </w:tc>
        <w:tc>
          <w:tcPr>
            <w:tcW w:type="dxa" w:w="273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Aged provider breaks</w:t>
            </w:r>
          </w:p>
        </w:tc>
        <w:tc>
          <w:tcPr>
            <w:tcW w:type="dxa" w:w="66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Consume provider primary reconciliation break feed and age/escalate outstanding items.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Exception Mgmt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IV-006</w:t>
            </w:r>
          </w:p>
        </w:tc>
        <w:tc>
          <w:tcPr>
            <w:tcW w:type="dxa" w:w="273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Privileged/admin events &amp; upgrades</w:t>
            </w:r>
          </w:p>
        </w:tc>
        <w:tc>
          <w:tcPr>
            <w:tcW w:type="dxa" w:w="66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Ingest provider change/security events and observable on-chain admin events; detect unapproved material change.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Event Detection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IV-007</w:t>
            </w:r>
          </w:p>
        </w:tc>
        <w:tc>
          <w:tcPr>
            <w:tcW w:type="dxa" w:w="273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Network/finality anomalies</w:t>
            </w:r>
          </w:p>
        </w:tc>
        <w:tc>
          <w:tcPr>
            <w:tcW w:type="dxa" w:w="66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Ingest network status/finality indicators relevant to the supported chain(s).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Monitoring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IV-008</w:t>
            </w:r>
          </w:p>
        </w:tc>
        <w:tc>
          <w:tcPr>
            <w:tcW w:type="dxa" w:w="273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Incident completeness</w:t>
            </w:r>
          </w:p>
        </w:tc>
        <w:tc>
          <w:tcPr>
            <w:tcW w:type="dxa" w:w="66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Compare provider incident feed to The-Bank detections and material control failures.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Incident / Assurance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EVT-01..12</w:t>
            </w:r>
          </w:p>
        </w:tc>
        <w:tc>
          <w:tcPr>
            <w:tcW w:type="dxa" w:w="273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Material Event Taxonomy</w:t>
            </w:r>
          </w:p>
        </w:tc>
        <w:tc>
          <w:tcPr>
            <w:tcW w:type="dxa" w:w="66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Use Business Standard severity/treatment and route technical detections to the appropriate governance path.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Alerting / Workflow</w:t>
            </w:r>
          </w:p>
        </w:tc>
      </w:tr>
    </w:tbl>
    <w:p/>
    <w:p>
      <w:pPr>
        <w:pStyle w:val="Heading1"/>
      </w:pPr>
      <w:r>
        <w:t>3. Target-State Logical Architecture</w:t>
      </w:r>
    </w:p>
    <w:p>
      <w:r>
        <w:t>The target state separates source systems, controlled ingestion, independent verification/control execution, evidence and exception services, and presentation / integration channels.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4F6"/>
          </w:tcPr>
          <w:p>
            <w:r/>
            <w:r>
              <w:rPr>
                <w:rFonts w:ascii="Consolas" w:hAnsi="Consolas"/>
                <w:sz w:val="15"/>
              </w:rPr>
              <w:t>Securitize / DTA Provider          Blockchain / DLT            The-Bank Internal</w:t>
              <w:br/>
            </w:r>
            <w:r>
              <w:rPr>
                <w:rFonts w:ascii="Consolas" w:hAnsi="Consolas"/>
                <w:sz w:val="15"/>
              </w:rPr>
              <w:t xml:space="preserve">  - TA register / positions          - token events / supply       - fund/accounting refs</w:t>
              <w:br/>
            </w:r>
            <w:r>
              <w:rPr>
                <w:rFonts w:ascii="Consolas" w:hAnsi="Consolas"/>
                <w:sz w:val="15"/>
              </w:rPr>
              <w:t xml:space="preserve">  - transaction feed                - wallet balances             - approved instructions</w:t>
              <w:br/>
            </w:r>
            <w:r>
              <w:rPr>
                <w:rFonts w:ascii="Consolas" w:hAnsi="Consolas"/>
                <w:sz w:val="15"/>
              </w:rPr>
              <w:t xml:space="preserve">  - primary reconciliation          - admin/upgrade events        - asset/share-class ref</w:t>
              <w:br/>
            </w:r>
            <w:r>
              <w:rPr>
                <w:rFonts w:ascii="Consolas" w:hAnsi="Consolas"/>
                <w:sz w:val="15"/>
              </w:rPr>
              <w:t xml:space="preserve">  - exceptions / incidents          - block/finality status       - risk/change approvals</w:t>
              <w:br/>
            </w:r>
            <w:r>
              <w:rPr>
                <w:rFonts w:ascii="Consolas" w:hAnsi="Consolas"/>
                <w:sz w:val="15"/>
              </w:rPr>
              <w:t xml:space="preserve">  - changes / SLA / attestations     - network availability       - identity refs if needed</w:t>
              <w:br/>
            </w:r>
            <w:r>
              <w:rPr>
                <w:rFonts w:ascii="Consolas" w:hAnsi="Consolas"/>
                <w:sz w:val="15"/>
              </w:rPr>
              <w:t xml:space="preserve">              \                         |                         /</w:t>
              <w:br/>
            </w:r>
            <w:r>
              <w:rPr>
                <w:rFonts w:ascii="Consolas" w:hAnsi="Consolas"/>
                <w:sz w:val="15"/>
              </w:rPr>
              <w:t xml:space="preserve">               \                        |                        /</w:t>
              <w:br/>
            </w:r>
            <w:r>
              <w:rPr>
                <w:rFonts w:ascii="Consolas" w:hAnsi="Consolas"/>
                <w:sz w:val="15"/>
              </w:rPr>
              <w:t xml:space="preserve">                +---- Secure Ingestion &amp; Data Quality Layer ----+</w:t>
              <w:br/>
            </w:r>
            <w:r>
              <w:rPr>
                <w:rFonts w:ascii="Consolas" w:hAnsi="Consolas"/>
                <w:sz w:val="15"/>
              </w:rPr>
              <w:t xml:space="preserve">                       validation | schema | dedup | lineage</w:t>
              <w:br/>
            </w:r>
            <w:r>
              <w:rPr>
                <w:rFonts w:ascii="Consolas" w:hAnsi="Consolas"/>
                <w:sz w:val="15"/>
              </w:rPr>
              <w:t xml:space="preserve">                                      |</w:t>
              <w:br/>
            </w:r>
            <w:r>
              <w:rPr>
                <w:rFonts w:ascii="Consolas" w:hAnsi="Consolas"/>
                <w:sz w:val="15"/>
              </w:rPr>
              <w:t xml:space="preserve">                          Canonical Oversight Data Model</w:t>
              <w:br/>
            </w:r>
            <w:r>
              <w:rPr>
                <w:rFonts w:ascii="Consolas" w:hAnsi="Consolas"/>
                <w:sz w:val="15"/>
              </w:rPr>
              <w:t xml:space="preserve">                                      |</w:t>
              <w:br/>
            </w:r>
            <w:r>
              <w:rPr>
                <w:rFonts w:ascii="Consolas" w:hAnsi="Consolas"/>
                <w:sz w:val="15"/>
              </w:rPr>
              <w:t xml:space="preserve">                    Oversight Control &amp; Verification Engine</w:t>
              <w:br/>
            </w:r>
            <w:r>
              <w:rPr>
                <w:rFonts w:ascii="Consolas" w:hAnsi="Consolas"/>
                <w:sz w:val="15"/>
              </w:rPr>
              <w:t xml:space="preserve">              IV rules | EVT detection | KPI/KRI | correlation</w:t>
              <w:br/>
            </w:r>
            <w:r>
              <w:rPr>
                <w:rFonts w:ascii="Consolas" w:hAnsi="Consolas"/>
                <w:sz w:val="15"/>
              </w:rPr>
              <w:t xml:space="preserve">                                      |</w:t>
              <w:br/>
            </w:r>
            <w:r>
              <w:rPr>
                <w:rFonts w:ascii="Consolas" w:hAnsi="Consolas"/>
                <w:sz w:val="15"/>
              </w:rPr>
              <w:t xml:space="preserve">        +-----------------------------+-----------------------------+</w:t>
              <w:br/>
            </w:r>
            <w:r>
              <w:rPr>
                <w:rFonts w:ascii="Consolas" w:hAnsi="Consolas"/>
                <w:sz w:val="15"/>
              </w:rPr>
              <w:t xml:space="preserve">        |                             |                             |</w:t>
              <w:br/>
            </w:r>
            <w:r>
              <w:rPr>
                <w:rFonts w:ascii="Consolas" w:hAnsi="Consolas"/>
                <w:sz w:val="15"/>
              </w:rPr>
              <w:t xml:space="preserve"> Exception / Workflow          Evidence Repository          Dashboard / Reporting</w:t>
              <w:br/>
            </w:r>
            <w:r>
              <w:rPr>
                <w:rFonts w:ascii="Consolas" w:hAnsi="Consolas"/>
                <w:sz w:val="15"/>
              </w:rPr>
              <w:t xml:space="preserve"> ServiceNow/Jira/etc.          immutable references         monthly / event driven</w:t>
              <w:br/>
            </w:r>
            <w:r>
              <w:rPr>
                <w:rFonts w:ascii="Consolas" w:hAnsi="Consolas"/>
                <w:sz w:val="15"/>
              </w:rPr>
              <w:t xml:space="preserve">        |                             |                             |</w:t>
              <w:br/>
            </w:r>
            <w:r>
              <w:rPr>
                <w:rFonts w:ascii="Consolas" w:hAnsi="Consolas"/>
                <w:sz w:val="15"/>
              </w:rPr>
              <w:t xml:space="preserve">        +-------------------------- Audit Trail --------------------+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F2"/>
          </w:tcPr>
          <w:p>
            <w:pPr>
              <w:pStyle w:val="Callout"/>
              <w:spacing w:after="40"/>
            </w:pPr>
            <w:r>
              <w:t>Phase 1 does not require every component to be automated. A controlled file/API ingestion process, evidence repository, dashboard and existing incident/workflow tooling can satisfy the architecture if traceability and control execution are preserved.</w:t>
            </w:r>
          </w:p>
        </w:tc>
      </w:tr>
    </w:tbl>
    <w:p/>
    <w:p>
      <w:pPr>
        <w:pStyle w:val="Heading1"/>
      </w:pPr>
      <w:r>
        <w:t>4. Data Sources and Interfaces</w:t>
      </w:r>
    </w:p>
    <w:p>
      <w:r>
        <w:t>The solution should prefer structured provider APIs/files over manual re-keying. Exact Securitize availability remains TBD until the Provider Information Request is completed.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3600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Provider feed</w:t>
            </w:r>
          </w:p>
        </w:tc>
        <w:tc>
          <w:tcPr>
            <w:tcW w:type="dxa" w:w="2160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Target frequency</w:t>
            </w:r>
          </w:p>
        </w:tc>
        <w:tc>
          <w:tcPr>
            <w:tcW w:type="dxa" w:w="4464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Use</w:t>
            </w:r>
          </w:p>
        </w:tc>
        <w:tc>
          <w:tcPr>
            <w:tcW w:type="dxa" w:w="1872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Readiness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TA register / position snapshot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Daily minimum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IV-001 / IV-004; ARM integrity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P1 - required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Transaction extract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Daily or near-real-time where justified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IV-002 / IV-003; KPI/KRI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P1 - required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Provider primary reconciliation results / breaks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Daily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IV-005; control reliance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P1 - required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Exception log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Daily / monthly pack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Aging, trends, RCA / issue management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P1 - required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Incident notification/feed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Event-driven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EVT routing / IV-008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P1 - required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Material change notification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Advance / event-driven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IV-006 / EVT-11 / change governance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P1 - required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SLA / service KPI report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Monthly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KPI/KRI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P2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Control attestations / assurance metadata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Quarterly / annual / event-driven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Reliance assessment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P2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Smart-contract / admin-role evidence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Release / event-driven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IV-006, EVT-05/06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P1 where in scope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Critical dependency / fourth-party inventory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Annual / change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EVT-10, concentration / resilience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P2</w:t>
            </w:r>
          </w:p>
        </w:tc>
      </w:tr>
    </w:tbl>
    <w:p/>
    <w:p>
      <w:pPr>
        <w:pStyle w:val="Heading2"/>
      </w:pPr>
      <w:r>
        <w:t>4.1 Blockchain / DLT data sources</w:t>
      </w:r>
    </w:p>
    <w:p>
      <w:pPr>
        <w:pStyle w:val="ListBullet"/>
        <w:spacing w:after="40"/>
      </w:pPr>
      <w:r>
        <w:t>Validated token contract address(es), network identifiers and relevant token standard.</w:t>
      </w:r>
    </w:p>
    <w:p>
      <w:pPr>
        <w:pStyle w:val="ListBullet"/>
        <w:spacing w:after="40"/>
      </w:pPr>
      <w:r>
        <w:t>Mint, burn and transfer events required for the approved control set.</w:t>
      </w:r>
    </w:p>
    <w:p>
      <w:pPr>
        <w:pStyle w:val="ListBullet"/>
        <w:spacing w:after="40"/>
      </w:pPr>
      <w:r>
        <w:t>Total valid token supply and selected wallet/holder positions where permitted and technically meaningful.</w:t>
      </w:r>
    </w:p>
    <w:p>
      <w:pPr>
        <w:pStyle w:val="ListBullet"/>
        <w:spacing w:after="40"/>
      </w:pPr>
      <w:r>
        <w:t>Privileged/admin role events and contract upgrade events where observable.</w:t>
      </w:r>
    </w:p>
    <w:p>
      <w:pPr>
        <w:pStyle w:val="ListBullet"/>
        <w:spacing w:after="40"/>
      </w:pPr>
      <w:r>
        <w:t>Block height, block timestamp, confirmation/finality status and network health indicators.</w:t>
      </w:r>
    </w:p>
    <w:p>
      <w:pPr>
        <w:pStyle w:val="ListBullet"/>
        <w:spacing w:after="40"/>
      </w:pPr>
      <w:r>
        <w:t>Fork/reorg indicators or provider/network alerts where relevant to the supported chain.</w:t>
      </w:r>
    </w:p>
    <w:p>
      <w:r>
        <w:t>The implementation must not assume public blockchain data alone is legally authoritative. Interpretation is governed by the ARM.</w:t>
      </w:r>
    </w:p>
    <w:p>
      <w:pPr>
        <w:pStyle w:val="Heading2"/>
      </w:pPr>
      <w:r>
        <w:t>4.2 The-Bank internal data sources</w:t>
      </w:r>
    </w:p>
    <w:p>
      <w:pPr>
        <w:pStyle w:val="ListBullet"/>
        <w:spacing w:after="40"/>
      </w:pPr>
      <w:r>
        <w:t>Approved issuance/subscription and redemption/cancellation instructions required for IV-002 / IV-003.</w:t>
      </w:r>
    </w:p>
    <w:p>
      <w:pPr>
        <w:pStyle w:val="ListBullet"/>
        <w:spacing w:after="40"/>
      </w:pPr>
      <w:r>
        <w:t>Fund/share-class/security master and network/contract reference data.</w:t>
      </w:r>
    </w:p>
    <w:p>
      <w:pPr>
        <w:pStyle w:val="ListBullet"/>
        <w:spacing w:after="40"/>
      </w:pPr>
      <w:r>
        <w:t>Fund-accounting / custody / cash / settlement reference data only where required by the approved ARM/control design.</w:t>
      </w:r>
    </w:p>
    <w:p>
      <w:pPr>
        <w:pStyle w:val="ListBullet"/>
        <w:spacing w:after="40"/>
      </w:pPr>
      <w:r>
        <w:t>Approved material change records, risk acceptances and DLT/network approval records.</w:t>
      </w:r>
    </w:p>
    <w:p>
      <w:pPr>
        <w:pStyle w:val="ListBullet"/>
        <w:spacing w:after="40"/>
      </w:pPr>
      <w:r>
        <w:t>ServiceNow / enterprise incident and problem records for The-Bank-detected events.</w:t>
      </w:r>
    </w:p>
    <w:p>
      <w:pPr>
        <w:pStyle w:val="ListBullet"/>
        <w:spacing w:after="40"/>
      </w:pPr>
      <w:r>
        <w:t>Identity data only where required for the control objective; prefer pseudonymous investor/account references.</w:t>
      </w:r>
    </w:p>
    <w:p>
      <w:pPr>
        <w:pStyle w:val="Heading1"/>
      </w:pPr>
      <w:r>
        <w:t>5. Canonical Oversight Data Model</w:t>
      </w:r>
    </w:p>
    <w:p>
      <w:r>
        <w:t>A canonical model decouples the oversight logic from provider-specific files and APIs. Provider payloads are mapped to stable business entities and retain source lineage.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592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6336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Minimum fields</w:t>
            </w:r>
          </w:p>
        </w:tc>
        <w:tc>
          <w:tcPr>
            <w:tcW w:type="dxa" w:w="3168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Asset / Share Class</w:t>
            </w:r>
          </w:p>
        </w:tc>
        <w:tc>
          <w:tcPr>
            <w:tcW w:type="dxa" w:w="633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asset_id, fund_id, share_class_id, currency, contract_id, network_id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Reference object for all controls.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Investor / Account Ref</w:t>
            </w:r>
          </w:p>
        </w:tc>
        <w:tc>
          <w:tcPr>
            <w:tcW w:type="dxa" w:w="633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provider_account_id, internal_pseudonymous_ref, wallet_id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PII minimized; identity mapping held separately when necessary.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Wallet / Address</w:t>
            </w:r>
          </w:p>
        </w:tc>
        <w:tc>
          <w:tcPr>
            <w:tcW w:type="dxa" w:w="633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wallet_id, address, network_id, status / eligibility where available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Supports position / transfer / restriction controls.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Transaction</w:t>
            </w:r>
          </w:p>
        </w:tc>
        <w:tc>
          <w:tcPr>
            <w:tcW w:type="dxa" w:w="633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provider_tx_id, internal_ref, type, quantity, status, timestamps, asset_id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Core subscription/redemption/transfer lifecycle record.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Blockchain Event</w:t>
            </w:r>
          </w:p>
        </w:tc>
        <w:tc>
          <w:tcPr>
            <w:tcW w:type="dxa" w:w="633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tx_hash, block_id, event_type, contract_id, wallet(s), amount, finality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Mint/burn/transfer/admin/upgrade evidence.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Provider Reconciliation</w:t>
            </w:r>
          </w:p>
        </w:tc>
        <w:tc>
          <w:tcPr>
            <w:tcW w:type="dxa" w:w="633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recon_id, scope, period, result, break_count, material_breaks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Provider primary-control evidence.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Exception</w:t>
            </w:r>
          </w:p>
        </w:tc>
        <w:tc>
          <w:tcPr>
            <w:tcW w:type="dxa" w:w="633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exception_id, source_control, severity, state, owner, due_date, root_cause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Common issue record.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Incident</w:t>
            </w:r>
          </w:p>
        </w:tc>
        <w:tc>
          <w:tcPr>
            <w:tcW w:type="dxa" w:w="633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incident_id, provider/internal ref, severity, affected_scope, timestamps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Event-driven governance object.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Material Change</w:t>
            </w:r>
          </w:p>
        </w:tc>
        <w:tc>
          <w:tcPr>
            <w:tcW w:type="dxa" w:w="633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change_id, category, approval_status, implementation_date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Used by IV-006 and EVT-11/12.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Evidence Object</w:t>
            </w:r>
          </w:p>
        </w:tc>
        <w:tc>
          <w:tcPr>
            <w:tcW w:type="dxa" w:w="633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evidence_id, source_uri/file_id, extract_ts, hash/ref, retention_class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Links technical execution to auditable source evidence.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Control Result</w:t>
            </w:r>
          </w:p>
        </w:tc>
        <w:tc>
          <w:tcPr>
            <w:tcW w:type="dxa" w:w="633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control_id, execution_id, period, status, rule_version, evidence_ids, exception_id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Auditable output of IV/KPI/KRI execution.</w:t>
            </w:r>
          </w:p>
        </w:tc>
      </w:tr>
    </w:tbl>
    <w:p/>
    <w:p>
      <w:pPr>
        <w:pStyle w:val="Heading1"/>
      </w:pPr>
      <w:r>
        <w:t>6. Ingestion, Data Quality and Lineage</w:t>
      </w:r>
    </w:p>
    <w:p>
      <w:r>
        <w:t>No control result should be produced from unvalidated data. The ingestion layer must fail visibly and create a data-quality exception when required inputs are incomplete or late.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024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Data-quality control</w:t>
            </w:r>
          </w:p>
        </w:tc>
        <w:tc>
          <w:tcPr>
            <w:tcW w:type="dxa" w:w="6912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Expected behavior</w:t>
            </w:r>
          </w:p>
        </w:tc>
        <w:tc>
          <w:tcPr>
            <w:tcW w:type="dxa" w:w="2016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Traceability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Completeness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Expected files/records/partitions received; expected record counts or provider control totals present.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DATA-01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Timeliness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Feed arrives within approved window; late feed creates operational exception.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DATA-02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Schema validation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Required fields/types/enums conform to the approved provider interface contract.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DATA-03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Uniqueness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Duplicate provider transaction IDs / events are detected and handled deterministically.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DATA-03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Referential integrity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Asset, account/wallet and network/contract references resolve to approved reference data.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DATA-03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Source integrity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Retain source file/API identifier, extraction timestamp and hash/immutable reference where practical.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Evidence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Normalization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Map provider/network-specific values to canonical types without losing original raw value.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Architecture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Reconciliation to source totals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Where provided, validate imported record counts/totals to provider report/control totals.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Data assurance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F2"/>
          </w:tcPr>
          <w:p>
            <w:pPr>
              <w:pStyle w:val="Callout"/>
              <w:spacing w:after="40"/>
            </w:pPr>
            <w:r>
              <w:t>Data-quality failure must never be silently interpreted as a passed business control.</w:t>
            </w:r>
          </w:p>
        </w:tc>
      </w:tr>
    </w:tbl>
    <w:p/>
    <w:p>
      <w:pPr>
        <w:pStyle w:val="Heading1"/>
      </w:pPr>
      <w:r>
        <w:t>7. Oversight Control &amp; Independent Verification Engine</w:t>
      </w:r>
    </w:p>
    <w:p>
      <w:r>
        <w:t>The engine executes only the control rules approved in the Business Standard / Control Catalogue. Rules must be versioned, deterministic, evidence-linked and auditable.</w:t>
      </w:r>
    </w:p>
    <w:p>
      <w:pPr>
        <w:pStyle w:val="Heading2"/>
      </w:pPr>
      <w:r>
        <w:t>7.1 Standard rule execution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4F6"/>
          </w:tcPr>
          <w:p>
            <w:r/>
            <w:r>
              <w:rPr>
                <w:rFonts w:ascii="Consolas" w:hAnsi="Consolas"/>
                <w:sz w:val="15"/>
              </w:rPr>
              <w:t>receive input(s)</w:t>
              <w:br/>
            </w:r>
            <w:r>
              <w:rPr>
                <w:rFonts w:ascii="Consolas" w:hAnsi="Consolas"/>
                <w:sz w:val="15"/>
              </w:rPr>
              <w:t xml:space="preserve"> -&gt; validate data quality</w:t>
              <w:br/>
            </w:r>
            <w:r>
              <w:rPr>
                <w:rFonts w:ascii="Consolas" w:hAnsi="Consolas"/>
                <w:sz w:val="15"/>
              </w:rPr>
              <w:t xml:space="preserve"> -&gt; resolve reference data / ARM context</w:t>
              <w:br/>
            </w:r>
            <w:r>
              <w:rPr>
                <w:rFonts w:ascii="Consolas" w:hAnsi="Consolas"/>
                <w:sz w:val="15"/>
              </w:rPr>
              <w:t xml:space="preserve"> -&gt; normalize</w:t>
              <w:br/>
            </w:r>
            <w:r>
              <w:rPr>
                <w:rFonts w:ascii="Consolas" w:hAnsi="Consolas"/>
                <w:sz w:val="15"/>
              </w:rPr>
              <w:t xml:space="preserve"> -&gt; execute rule</w:t>
              <w:br/>
            </w:r>
            <w:r>
              <w:rPr>
                <w:rFonts w:ascii="Consolas" w:hAnsi="Consolas"/>
                <w:sz w:val="15"/>
              </w:rPr>
              <w:t xml:space="preserve"> -&gt; calculate result / materiality</w:t>
              <w:br/>
            </w:r>
            <w:r>
              <w:rPr>
                <w:rFonts w:ascii="Consolas" w:hAnsi="Consolas"/>
                <w:sz w:val="15"/>
              </w:rPr>
              <w:t xml:space="preserve"> -&gt; create exception when required</w:t>
              <w:br/>
            </w:r>
            <w:r>
              <w:rPr>
                <w:rFonts w:ascii="Consolas" w:hAnsi="Consolas"/>
                <w:sz w:val="15"/>
              </w:rPr>
              <w:t xml:space="preserve"> -&gt; attach evidence references</w:t>
              <w:br/>
            </w:r>
            <w:r>
              <w:rPr>
                <w:rFonts w:ascii="Consolas" w:hAnsi="Consolas"/>
                <w:sz w:val="15"/>
              </w:rPr>
              <w:t xml:space="preserve"> -&gt; route alert / workflow</w:t>
              <w:br/>
            </w:r>
            <w:r>
              <w:rPr>
                <w:rFonts w:ascii="Consolas" w:hAnsi="Consolas"/>
                <w:sz w:val="15"/>
              </w:rPr>
              <w:t xml:space="preserve"> -&gt; persist control result + rule version + timestamps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1152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2160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Rule intent</w:t>
            </w:r>
          </w:p>
        </w:tc>
        <w:tc>
          <w:tcPr>
            <w:tcW w:type="dxa" w:w="4896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Illustrative technical condition</w:t>
            </w:r>
          </w:p>
        </w:tc>
        <w:tc>
          <w:tcPr>
            <w:tcW w:type="dxa" w:w="2448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1872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Target execution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3"/>
              </w:rPr>
              <w:t>IV-001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3"/>
              </w:rPr>
              <w:t>Supply integrity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3"/>
              </w:rPr>
              <w:t>valid_token_supply != authoritative_registered_supply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3"/>
              </w:rPr>
              <w:t>Critical exception; EVT-04 candidate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3"/>
              </w:rPr>
              <w:t>Daily / business-day cycle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3"/>
              </w:rPr>
              <w:t>IV-002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3"/>
              </w:rPr>
              <w:t>Authorized mint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3"/>
              </w:rPr>
              <w:t>mint_event exists AND no matching approved issuance/subscription instruction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3"/>
              </w:rPr>
              <w:t>Critical; EVT-01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3"/>
              </w:rPr>
              <w:t>Daily / near-real-time if approved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3"/>
              </w:rPr>
              <w:t>IV-003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3"/>
              </w:rPr>
              <w:t>Authorized burn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3"/>
              </w:rPr>
              <w:t>burn_event exists AND no matching approved redemption/cross-network instruction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3"/>
              </w:rPr>
              <w:t>Critical; EVT-02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3"/>
              </w:rPr>
              <w:t>Daily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3"/>
              </w:rPr>
              <w:t>IV-004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3"/>
              </w:rPr>
              <w:t>Position validation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3"/>
              </w:rPr>
              <w:t>selected authoritative/provider position != corresponding validated on-chain/internal position under ARM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3"/>
              </w:rPr>
              <w:t>High/Critical based on scope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3"/>
              </w:rPr>
              <w:t>Risk-based / daily-weekly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3"/>
              </w:rPr>
              <w:t>IV-005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3"/>
              </w:rPr>
              <w:t>Aged provider break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3"/>
              </w:rPr>
              <w:t>provider_break_open_age &gt; approved SLA / materiality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3"/>
              </w:rPr>
              <w:t>Escalating exception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3"/>
              </w:rPr>
              <w:t>Daily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3"/>
              </w:rPr>
              <w:t>IV-006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3"/>
              </w:rPr>
              <w:t>Unapproved admin / upgrade event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3"/>
              </w:rPr>
              <w:t>material admin/upgrade event detected AND no approved change reference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3"/>
              </w:rPr>
              <w:t>Critical; EVT-11 / EVT-06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3"/>
              </w:rPr>
              <w:t>Event-driven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3"/>
              </w:rPr>
              <w:t>IV-007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3"/>
              </w:rPr>
              <w:t>Network / finality anomaly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3"/>
              </w:rPr>
              <w:t>service-impacting network/finality signal exceeds approved tolerance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3"/>
              </w:rPr>
              <w:t>High/Critical by impact; EVT-07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3"/>
              </w:rPr>
              <w:t>Event-driven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3"/>
              </w:rPr>
              <w:t>IV-008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3"/>
              </w:rPr>
              <w:t>Incident completeness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3"/>
              </w:rPr>
              <w:t>The-Bank material control/event detection AND no corresponding provider incident within approved notification expectation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3"/>
              </w:rPr>
              <w:t>Challenge / reliance reassessment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3"/>
              </w:rPr>
              <w:t>Event-driven</w:t>
            </w:r>
          </w:p>
        </w:tc>
      </w:tr>
    </w:tbl>
    <w:p/>
    <w:p>
      <w:pPr>
        <w:pStyle w:val="SmallNote"/>
      </w:pPr>
      <w:r>
        <w:t>Conditions above are design expressions, not final production logic. Matching keys, timing windows, materiality and tolerances must be approved with Operations / Risk and validated against actual Securitize data.</w:t>
      </w:r>
    </w:p>
    <w:p>
      <w:pPr>
        <w:pStyle w:val="Heading1"/>
      </w:pPr>
      <w:r>
        <w:t>8. Material Event Detection Mapping</w:t>
      </w:r>
    </w:p>
    <w:p>
      <w:r>
        <w:t>The solution may detect or corroborate business-defined material events. The event ID, business severity and treatment are not defined by the platform; they are inherited from the Business Standard.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3168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Business event</w:t>
            </w:r>
          </w:p>
        </w:tc>
        <w:tc>
          <w:tcPr>
            <w:tcW w:type="dxa" w:w="4896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Detection / corroboration sources</w:t>
            </w:r>
          </w:p>
        </w:tc>
        <w:tc>
          <w:tcPr>
            <w:tcW w:type="dxa" w:w="2016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Primary technical control</w:t>
            </w:r>
          </w:p>
        </w:tc>
        <w:tc>
          <w:tcPr>
            <w:tcW w:type="dxa" w:w="2592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Workflow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EVT-01 Unauthorized mint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Blockchain mint event + approved instruction feed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IV-002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Critical incident route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EVT-02 Unauthorized burn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Blockchain burn event + approved redemption/cross-chain instruction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IV-003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Critical incident route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EVT-03 Ownership mismatch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Provider/register position + selected blockchain/internal position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IV-004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High/Critical based on impact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EVT-04 Token supply mismatch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Provider authoritative supply + blockchain total valid supply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IV-001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Critical incident route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EVT-05 Privileged credential/key compromise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Provider security incident feed; privileged/admin-event evidence; The-Bank cyber signal if applicable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Security correlation / IV-008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Critical cyber + DTA governance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EVT-06 Smart-contract exploit / unauthorized upgrade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Provider incident/change feed; on-chain upgrade/admin event; assurance alert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IV-006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Critical incident/change route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EVT-07 DLT/network outage/finality issue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Node/RPC/network status + provider service incident/SLA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IV-007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Impact-based incident route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EVT-08 Regulatory status issue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Provider notification / compliance attestation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Provider oversight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Legal/Compliance governance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EVT-09 Material privacy/cyber breach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Provider incident feed + enterprise cyber notification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Provider oversight / IV-008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Cyber/privacy + DTA governance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EVT-10 Provider/fourth-party failure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Provider incident / dependency notification / enterprise TPRM signal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Provider oversight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Continuity / exit governance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EVT-11 Material unapproved change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Change feed + observed admin/network/config event + approval registry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IV-006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Critical if integrity/control impact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EVT-12 ARM change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Approved business/legal change record only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N/A - governance trigger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Pre-approval / architecture re-baseline</w:t>
            </w:r>
          </w:p>
        </w:tc>
      </w:tr>
    </w:tbl>
    <w:p/>
    <w:p>
      <w:pPr>
        <w:pStyle w:val="Heading1"/>
      </w:pPr>
      <w:r>
        <w:t>9. Exception and Workflow Management</w:t>
      </w:r>
    </w:p>
    <w:p>
      <w:r>
        <w:t>A technical exception represents a failed or indeterminate control result. It must be routed to the existing enterprise workflow / incident tooling where possible rather than creating an isolated ticketing ecosystem.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880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8640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content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Exception ID</w:t>
            </w:r>
          </w:p>
        </w:tc>
        <w:tc>
          <w:tcPr>
            <w:tcW w:type="dxa" w:w="86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Globally unique ID with source control/event ID.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Control / Event</w:t>
            </w:r>
          </w:p>
        </w:tc>
        <w:tc>
          <w:tcPr>
            <w:tcW w:type="dxa" w:w="86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IV-xxx / EVT-xx / DATA-xx reference.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Severity</w:t>
            </w:r>
          </w:p>
        </w:tc>
        <w:tc>
          <w:tcPr>
            <w:tcW w:type="dxa" w:w="86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Inherited from business taxonomy / approved control materiality.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Detection path</w:t>
            </w:r>
          </w:p>
        </w:tc>
        <w:tc>
          <w:tcPr>
            <w:tcW w:type="dxa" w:w="86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Provider, The-Bank rule, blockchain/network monitor, assurance review.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Scope</w:t>
            </w:r>
          </w:p>
        </w:tc>
        <w:tc>
          <w:tcPr>
            <w:tcW w:type="dxa" w:w="86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Fund/share class, transaction, account/wallet reference, quantity/amount where applicable.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Owner</w:t>
            </w:r>
          </w:p>
        </w:tc>
        <w:tc>
          <w:tcPr>
            <w:tcW w:type="dxa" w:w="86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Provider owner plus The-Bank accountable owner.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SLA / due date</w:t>
            </w:r>
          </w:p>
        </w:tc>
        <w:tc>
          <w:tcPr>
            <w:tcW w:type="dxa" w:w="86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Approved investigation/remediation expectation.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Evidence</w:t>
            </w:r>
          </w:p>
        </w:tc>
        <w:tc>
          <w:tcPr>
            <w:tcW w:type="dxa" w:w="86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Input source references, hashes, control result and supporting reports.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Root cause</w:t>
            </w:r>
          </w:p>
        </w:tc>
        <w:tc>
          <w:tcPr>
            <w:tcW w:type="dxa" w:w="86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Confirmed cause classification once known.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Resolution</w:t>
            </w:r>
          </w:p>
        </w:tc>
        <w:tc>
          <w:tcPr>
            <w:tcW w:type="dxa" w:w="86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Corrective action and evidence.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Closure</w:t>
            </w:r>
          </w:p>
        </w:tc>
        <w:tc>
          <w:tcPr>
            <w:tcW w:type="dxa" w:w="86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The-Bank validation / approval, lessons learned and residual risk.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4F6"/>
          </w:tcPr>
          <w:p>
            <w:r/>
            <w:r>
              <w:rPr>
                <w:rFonts w:ascii="Consolas" w:hAnsi="Consolas"/>
                <w:sz w:val="15"/>
              </w:rPr>
              <w:t>Detected -&gt; Data validated -&gt; Classified -&gt; Ticket/incident created -&gt; Assigned</w:t>
              <w:br/>
            </w:r>
            <w:r>
              <w:rPr>
                <w:rFonts w:ascii="Consolas" w:hAnsi="Consolas"/>
                <w:sz w:val="15"/>
              </w:rPr>
              <w:t>-&gt; Provider investigation -&gt; The-Bank challenge / impact assessment</w:t>
              <w:br/>
            </w:r>
            <w:r>
              <w:rPr>
                <w:rFonts w:ascii="Consolas" w:hAnsi="Consolas"/>
                <w:sz w:val="15"/>
              </w:rPr>
              <w:t>-&gt; Remediation -&gt; Evidence review -&gt; Closure / residual risk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F2"/>
          </w:tcPr>
          <w:p>
            <w:pPr>
              <w:pStyle w:val="Callout"/>
              <w:spacing w:after="40"/>
            </w:pPr>
            <w:r>
              <w:t>Critical and High events bypass normal monthly governance and use event-driven escalation.</w:t>
            </w:r>
          </w:p>
        </w:tc>
      </w:tr>
    </w:tbl>
    <w:p/>
    <w:p>
      <w:pPr>
        <w:pStyle w:val="Heading1"/>
      </w:pPr>
      <w:r>
        <w:t>10. Evidence Repository and Audit Trail</w:t>
      </w:r>
    </w:p>
    <w:p>
      <w:r>
        <w:t>Every material control result should be reproducible from retained source evidence or a durable immutable reference to it. The repository may use existing enterprise document/evidence storage if it satisfies security, retention and traceability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168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Evidence attribute</w:t>
            </w:r>
          </w:p>
        </w:tc>
        <w:tc>
          <w:tcPr>
            <w:tcW w:type="dxa" w:w="8352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Minimum requirement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Evidence ID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Stable unique identifier.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Source system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Provider API/file, blockchain source, internal system, assurance report.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Source identifier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Filename/API request/report ID/transaction hash/document ID.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Extraction timestamp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When evidence was obtained.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Integrity reference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Hash or immutable reference where practical.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Control / Event linkage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IV-xxx / EVT-xx / KPI-KRI / incident / change ID.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Rule version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Technical rule/configuration version used.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Pass / Fail / Indeterminate / Not Executed.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Retention class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Mapped to applicable records / risk / audit retention rules.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Access / audit trail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Least privilege plus logged access/admin changes.</w:t>
            </w:r>
          </w:p>
        </w:tc>
      </w:tr>
    </w:tbl>
    <w:p/>
    <w:p>
      <w:r>
        <w:t>Raw provider data containing investor PII should not be retained beyond the control objective and approved retention need. Prefer pseudonymous references and minimize replicated identity data.</w:t>
      </w:r>
    </w:p>
    <w:p>
      <w:pPr>
        <w:pStyle w:val="Heading1"/>
      </w:pPr>
      <w:r>
        <w:t>11. Dashboard, Reporting and Integration</w:t>
      </w:r>
    </w:p>
    <w:p>
      <w:r>
        <w:t>The platform should support the Business Standard's monthly and event-driven reporting model. The dashboard is not the authoritative control record; underlying evidence and control results 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168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View</w:t>
            </w:r>
          </w:p>
        </w:tc>
        <w:tc>
          <w:tcPr>
            <w:tcW w:type="dxa" w:w="8352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Minimum technical content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Executive service health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Overall RAG, register integrity, transactions, service, risk/control events, changes, actions.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Control execution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IV control status, execution timestamp, failures/indeterminate results, evidence linkage.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Exception aging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Open items by severity/control/provider owner/age/SLA.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Provider reconciliation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Latest provider primary reconciliation status and unresolved material breaks.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DLT / network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Network availability/finality issues, supported network status, material changes.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Incident / material event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EVT-xx occurrences, provider notification status, investigation/closure.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Assurance / findings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SOC/audit/assessment coverage, findings, remediation and reliance status.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Data quality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Feed completeness/timeliness/schema failures and missing control executions.</w:t>
            </w:r>
          </w:p>
        </w:tc>
      </w:tr>
    </w:tbl>
    <w:p/>
    <w:p>
      <w:pPr>
        <w:pStyle w:val="Heading2"/>
      </w:pPr>
      <w:r>
        <w:t>11.1 Integration targets</w:t>
      </w:r>
    </w:p>
    <w:p>
      <w:pPr>
        <w:pStyle w:val="ListBullet"/>
        <w:spacing w:after="40"/>
      </w:pPr>
      <w:r>
        <w:t>Enterprise incident / problem / workflow tooling (for example ServiceNow or approved equivalent).</w:t>
      </w:r>
    </w:p>
    <w:p>
      <w:pPr>
        <w:pStyle w:val="ListBullet"/>
        <w:spacing w:after="40"/>
      </w:pPr>
      <w:r>
        <w:t>Enterprise BI / reporting tooling for monthly and quarterly oversight packs.</w:t>
      </w:r>
    </w:p>
    <w:p>
      <w:pPr>
        <w:pStyle w:val="ListBullet"/>
        <w:spacing w:after="40"/>
      </w:pPr>
      <w:r>
        <w:t>Approved evidence/document repository or data platform.</w:t>
      </w:r>
    </w:p>
    <w:p>
      <w:pPr>
        <w:pStyle w:val="ListBullet"/>
        <w:spacing w:after="40"/>
      </w:pPr>
      <w:r>
        <w:t>Enterprise IAM / SSO, logging, security monitoring and secret-management services.</w:t>
      </w:r>
    </w:p>
    <w:p>
      <w:pPr>
        <w:pStyle w:val="ListBullet"/>
        <w:spacing w:after="40"/>
      </w:pPr>
      <w:r>
        <w:t>Notification channels approved for operational and Critical event routing.</w:t>
      </w:r>
    </w:p>
    <w:p>
      <w:pPr>
        <w:pStyle w:val="Heading1"/>
      </w:pPr>
      <w:r>
        <w:t>12. Security, Privacy and Access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168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Control area</w:t>
            </w:r>
          </w:p>
        </w:tc>
        <w:tc>
          <w:tcPr>
            <w:tcW w:type="dxa" w:w="8352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Technical requirement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Identity / access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SSO; least privilege; RBAC by role; periodic recertification; no shared administrative IDs.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Segregation of duties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Rule development, production rule approval, exception closure and platform admin segregated where practicable.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Secrets / credentials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Provider/API credentials held in approved secret manager; rotation and access logging.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Encryption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Approved encryption in transit and at rest.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Data minimization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Ingest only data needed for control objective; use pseudonymous investor/account references by default.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Administrative logging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Log rule changes, data overrides, reprocessing, exception overrides and evidence modifications.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Security monitoring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Platform and integration failures routed to enterprise monitoring / SOC where appropriate.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Retention / deletion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Retention classes approved with Legal/Records/Privacy; secure deletion at end of retention.</w:t>
            </w:r>
          </w:p>
        </w:tc>
      </w:tr>
    </w:tbl>
    <w:p/>
    <w:p>
      <w:pPr>
        <w:pStyle w:val="Heading1"/>
      </w:pPr>
      <w:r>
        <w:t>13. Resilience, Recovery and Manual Fallback</w:t>
      </w:r>
    </w:p>
    <w:p>
      <w:r>
        <w:t>The oversight platform must fail safely: a platform outage must not stop the provider's DTA service, but must be visible and must trigger compensating manual oversight for critical controls.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456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8064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Minimum fallback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Oversight platform outage</w:t>
            </w:r>
          </w:p>
        </w:tc>
        <w:tc>
          <w:tcPr>
            <w:tcW w:type="dxa" w:w="806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Continue provider service; capture provider reports manually; perform critical IV reviews manually where feasible; backload results later.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Provider feed outage</w:t>
            </w:r>
          </w:p>
        </w:tc>
        <w:tc>
          <w:tcPr>
            <w:tcW w:type="dxa" w:w="806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Detect missing feed; create data-quality exception; request contingency report/file; mark affected controls Not Executed/Indeterminate.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Blockchain data source outage</w:t>
            </w:r>
          </w:p>
        </w:tc>
        <w:tc>
          <w:tcPr>
            <w:tcW w:type="dxa" w:w="806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Use approved alternative node/RPC/data source where possible; do not infer control pass from missing chain data.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Workflow/ticketing outage</w:t>
            </w:r>
          </w:p>
        </w:tc>
        <w:tc>
          <w:tcPr>
            <w:tcW w:type="dxa" w:w="806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Record Critical/High events in approved manual fallback log and emergency communication channel; backload tickets when restored.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Evidence repository outage</w:t>
            </w:r>
          </w:p>
        </w:tc>
        <w:tc>
          <w:tcPr>
            <w:tcW w:type="dxa" w:w="806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Preserve source data in approved secure temporary location; reconcile/upload once restored.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Recovery</w:t>
            </w:r>
          </w:p>
        </w:tc>
        <w:tc>
          <w:tcPr>
            <w:tcW w:type="dxa" w:w="806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Reconcile missed control executions, exceptions and evidence before declaring oversight service fully restored.</w:t>
            </w:r>
          </w:p>
        </w:tc>
      </w:tr>
    </w:tbl>
    <w:p/>
    <w:p>
      <w:pPr>
        <w:pStyle w:val="ListBullet"/>
        <w:spacing w:after="40"/>
      </w:pPr>
      <w:r>
        <w:t>Annual or risk-based test of manual oversight fallback.</w:t>
      </w:r>
    </w:p>
    <w:p>
      <w:pPr>
        <w:pStyle w:val="ListBullet"/>
        <w:spacing w:after="40"/>
      </w:pPr>
      <w:r>
        <w:t>Periodic provider data-feed contingency test.</w:t>
      </w:r>
    </w:p>
    <w:p>
      <w:pPr>
        <w:pStyle w:val="ListBullet"/>
        <w:spacing w:after="40"/>
      </w:pPr>
      <w:r>
        <w:t>Periodic blockchain/network outage tabletop.</w:t>
      </w:r>
    </w:p>
    <w:p>
      <w:pPr>
        <w:pStyle w:val="ListBullet"/>
        <w:spacing w:after="40"/>
      </w:pPr>
      <w:r>
        <w:t>Event-driven retest after material architecture or control change.</w:t>
      </w:r>
    </w:p>
    <w:p>
      <w:pPr>
        <w:pStyle w:val="Heading1"/>
      </w:pPr>
      <w:r>
        <w:t>14. Observability and Production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312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Operational signal</w:t>
            </w:r>
          </w:p>
        </w:tc>
        <w:tc>
          <w:tcPr>
            <w:tcW w:type="dxa" w:w="8208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Minimum monitoring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Data ingestion</w:t>
            </w:r>
          </w:p>
        </w:tc>
        <w:tc>
          <w:tcPr>
            <w:tcW w:type="dxa" w:w="82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Feed arrival, record count, schema failures, duplicate rate, processing latency.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Control engine</w:t>
            </w:r>
          </w:p>
        </w:tc>
        <w:tc>
          <w:tcPr>
            <w:tcW w:type="dxa" w:w="82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Execution success, execution duration, failed/indeterminate controls, rule-version deployment.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Evidence service</w:t>
            </w:r>
          </w:p>
        </w:tc>
        <w:tc>
          <w:tcPr>
            <w:tcW w:type="dxa" w:w="82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Write failures, missing hashes/refs, storage capacity, retention job failures.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Workflow integration</w:t>
            </w:r>
          </w:p>
        </w:tc>
        <w:tc>
          <w:tcPr>
            <w:tcW w:type="dxa" w:w="82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Ticket creation failures, notification failures, retry/backlog.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DLT source</w:t>
            </w:r>
          </w:p>
        </w:tc>
        <w:tc>
          <w:tcPr>
            <w:tcW w:type="dxa" w:w="82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Node/RPC availability, chain head/finality lag, provider/network errors.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Security</w:t>
            </w:r>
          </w:p>
        </w:tc>
        <w:tc>
          <w:tcPr>
            <w:tcW w:type="dxa" w:w="82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Admin actions, failed authentication, privilege changes, secret-access anomalies.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Platform health</w:t>
            </w:r>
          </w:p>
        </w:tc>
        <w:tc>
          <w:tcPr>
            <w:tcW w:type="dxa" w:w="82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Availability, latency, resource saturation, error rate and dependency health.</w:t>
            </w:r>
          </w:p>
        </w:tc>
      </w:tr>
    </w:tbl>
    <w:p/>
    <w:p>
      <w:pPr>
        <w:pStyle w:val="Heading2"/>
      </w:pPr>
      <w:r>
        <w:t>14.1 Operational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040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6480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Primary ownership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Business control definition / severity</w:t>
            </w:r>
          </w:p>
        </w:tc>
        <w:tc>
          <w:tcPr>
            <w:tcW w:type="dxa" w:w="64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DTA Service Owner + Operations/Risk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Rule implementation / platform</w:t>
            </w:r>
          </w:p>
        </w:tc>
        <w:tc>
          <w:tcPr>
            <w:tcW w:type="dxa" w:w="64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Technology / DLT Control Lead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Production support</w:t>
            </w:r>
          </w:p>
        </w:tc>
        <w:tc>
          <w:tcPr>
            <w:tcW w:type="dxa" w:w="64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SRE / Production Support / Technology Service team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Provider data quality issue</w:t>
            </w:r>
          </w:p>
        </w:tc>
        <w:tc>
          <w:tcPr>
            <w:tcW w:type="dxa" w:w="64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DTA Provider + Operations Oversight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Critical event investigation</w:t>
            </w:r>
          </w:p>
        </w:tc>
        <w:tc>
          <w:tcPr>
            <w:tcW w:type="dxa" w:w="64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DTA Service Owner + Provider + relevant Risk/Technology/Cyber function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Evidence / audit retrieval</w:t>
            </w:r>
          </w:p>
        </w:tc>
        <w:tc>
          <w:tcPr>
            <w:tcW w:type="dxa" w:w="64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DTA Oversight team + Technology platform owner</w:t>
            </w:r>
          </w:p>
        </w:tc>
      </w:tr>
    </w:tbl>
    <w:p/>
    <w:p>
      <w:pPr>
        <w:pStyle w:val="Heading1"/>
      </w:pPr>
      <w:r>
        <w:t>15.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880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NFR</w:t>
            </w:r>
          </w:p>
        </w:tc>
        <w:tc>
          <w:tcPr>
            <w:tcW w:type="dxa" w:w="8640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NFR-01 Availability</w:t>
            </w:r>
          </w:p>
        </w:tc>
        <w:tc>
          <w:tcPr>
            <w:tcW w:type="dxa" w:w="86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Oversight platform target to be set by business impact assessment; provider DTA service must not depend on platform availability.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NFR-02 Recoverability</w:t>
            </w:r>
          </w:p>
        </w:tc>
        <w:tc>
          <w:tcPr>
            <w:tcW w:type="dxa" w:w="86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RTO/RPO to be approved; missed controls and evidence must be recoverable/replayable.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NFR-03 Auditability</w:t>
            </w:r>
          </w:p>
        </w:tc>
        <w:tc>
          <w:tcPr>
            <w:tcW w:type="dxa" w:w="86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100% of material control results traceable to rule version and source evidence.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NFR-04 Security</w:t>
            </w:r>
          </w:p>
        </w:tc>
        <w:tc>
          <w:tcPr>
            <w:tcW w:type="dxa" w:w="86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Enterprise security baseline; least privilege, encryption, logging and secret management.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NFR-05 Privacy</w:t>
            </w:r>
          </w:p>
        </w:tc>
        <w:tc>
          <w:tcPr>
            <w:tcW w:type="dxa" w:w="86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PII minimization and approved retention / residency.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NFR-06 Scalability</w:t>
            </w:r>
          </w:p>
        </w:tc>
        <w:tc>
          <w:tcPr>
            <w:tcW w:type="dxa" w:w="86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Support additional funds/share classes/networks without rewriting control framework.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NFR-07 Maintainability</w:t>
            </w:r>
          </w:p>
        </w:tc>
        <w:tc>
          <w:tcPr>
            <w:tcW w:type="dxa" w:w="86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Configuration-driven mappings/rules where practical; version-controlled deployment.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NFR-08 Observability</w:t>
            </w:r>
          </w:p>
        </w:tc>
        <w:tc>
          <w:tcPr>
            <w:tcW w:type="dxa" w:w="86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End-to-end monitoring of feeds, rules, evidence, workflow and dependencies.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NFR-09 Data integrity</w:t>
            </w:r>
          </w:p>
        </w:tc>
        <w:tc>
          <w:tcPr>
            <w:tcW w:type="dxa" w:w="86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Idempotent ingestion/reprocessing and deterministic rule execution.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NFR-10 Explainability</w:t>
            </w:r>
          </w:p>
        </w:tc>
        <w:tc>
          <w:tcPr>
            <w:tcW w:type="dxa" w:w="86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Control result must identify inputs, condition, rule version and reason for pass/fail/indeterminate.</w:t>
            </w:r>
          </w:p>
        </w:tc>
      </w:tr>
    </w:tbl>
    <w:p/>
    <w:p>
      <w:pPr>
        <w:pStyle w:val="Heading1"/>
      </w:pPr>
      <w:r>
        <w:t>16. Deployment Architecture - Recommended Pattern</w:t>
      </w:r>
    </w:p>
    <w:p>
      <w:r>
        <w:t>The exact platform must conform to The-Bank enterprise architecture standards. The following is a logical deployment pattern, not a mandatory technology stack.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4F6"/>
          </w:tcPr>
          <w:p>
            <w:r/>
            <w:r>
              <w:rPr>
                <w:rFonts w:ascii="Consolas" w:hAnsi="Consolas"/>
                <w:sz w:val="15"/>
              </w:rPr>
              <w:t>Provider secure API / file transfer       Blockchain node / RPC / data provider</w:t>
              <w:br/>
            </w:r>
            <w:r>
              <w:rPr>
                <w:rFonts w:ascii="Consolas" w:hAnsi="Consolas"/>
                <w:sz w:val="15"/>
              </w:rPr>
              <w:t xml:space="preserve">                 |                                      |</w:t>
              <w:br/>
            </w:r>
            <w:r>
              <w:rPr>
                <w:rFonts w:ascii="Consolas" w:hAnsi="Consolas"/>
                <w:sz w:val="15"/>
              </w:rPr>
              <w:t xml:space="preserve">                 +---------- Private / controlled ingress +</w:t>
              <w:br/>
            </w:r>
            <w:r>
              <w:rPr>
                <w:rFonts w:ascii="Consolas" w:hAnsi="Consolas"/>
                <w:sz w:val="15"/>
              </w:rPr>
              <w:t xml:space="preserve">                                      |</w:t>
              <w:br/>
            </w:r>
            <w:r>
              <w:rPr>
                <w:rFonts w:ascii="Consolas" w:hAnsi="Consolas"/>
                <w:sz w:val="15"/>
              </w:rPr>
              <w:t xml:space="preserve">                          Ingestion / validation services</w:t>
              <w:br/>
            </w:r>
            <w:r>
              <w:rPr>
                <w:rFonts w:ascii="Consolas" w:hAnsi="Consolas"/>
                <w:sz w:val="15"/>
              </w:rPr>
              <w:t xml:space="preserve">                                      |</w:t>
              <w:br/>
            </w:r>
            <w:r>
              <w:rPr>
                <w:rFonts w:ascii="Consolas" w:hAnsi="Consolas"/>
                <w:sz w:val="15"/>
              </w:rPr>
              <w:t xml:space="preserve">             +------------------------+-----------------------+</w:t>
              <w:br/>
            </w:r>
            <w:r>
              <w:rPr>
                <w:rFonts w:ascii="Consolas" w:hAnsi="Consolas"/>
                <w:sz w:val="15"/>
              </w:rPr>
              <w:t xml:space="preserve">             |                        |                       |</w:t>
              <w:br/>
            </w:r>
            <w:r>
              <w:rPr>
                <w:rFonts w:ascii="Consolas" w:hAnsi="Consolas"/>
                <w:sz w:val="15"/>
              </w:rPr>
              <w:t xml:space="preserve">        Raw evidence             Canonical store       Reference / config</w:t>
              <w:br/>
            </w:r>
            <w:r>
              <w:rPr>
                <w:rFonts w:ascii="Consolas" w:hAnsi="Consolas"/>
                <w:sz w:val="15"/>
              </w:rPr>
              <w:t xml:space="preserve">             |                        |                       |</w:t>
              <w:br/>
            </w:r>
            <w:r>
              <w:rPr>
                <w:rFonts w:ascii="Consolas" w:hAnsi="Consolas"/>
                <w:sz w:val="15"/>
              </w:rPr>
              <w:t xml:space="preserve">             +---------------- Control Engine ----------------+</w:t>
              <w:br/>
            </w:r>
            <w:r>
              <w:rPr>
                <w:rFonts w:ascii="Consolas" w:hAnsi="Consolas"/>
                <w:sz w:val="15"/>
              </w:rPr>
              <w:t xml:space="preserve">                                      |</w:t>
              <w:br/>
            </w:r>
            <w:r>
              <w:rPr>
                <w:rFonts w:ascii="Consolas" w:hAnsi="Consolas"/>
                <w:sz w:val="15"/>
              </w:rPr>
              <w:t xml:space="preserve">             +------------------------+-----------------------+</w:t>
              <w:br/>
            </w:r>
            <w:r>
              <w:rPr>
                <w:rFonts w:ascii="Consolas" w:hAnsi="Consolas"/>
                <w:sz w:val="15"/>
              </w:rPr>
              <w:t xml:space="preserve">             |                        |                       |</w:t>
              <w:br/>
            </w:r>
            <w:r>
              <w:rPr>
                <w:rFonts w:ascii="Consolas" w:hAnsi="Consolas"/>
                <w:sz w:val="15"/>
              </w:rPr>
              <w:t xml:space="preserve">      Evidence repository       Workflow adapter        Reporting dataset</w:t>
              <w:br/>
            </w:r>
            <w:r>
              <w:rPr>
                <w:rFonts w:ascii="Consolas" w:hAnsi="Consolas"/>
                <w:sz w:val="15"/>
              </w:rPr>
              <w:t xml:space="preserve">             |                        |                       |</w:t>
              <w:br/>
            </w:r>
            <w:r>
              <w:rPr>
                <w:rFonts w:ascii="Consolas" w:hAnsi="Consolas"/>
                <w:sz w:val="15"/>
              </w:rPr>
              <w:t xml:space="preserve">        Audit / review          ServiceNow/etc.         BI / governance pack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Cross-cutting: IAM/SSO | secrets | logging/SIEM | monitoring | backup/DR | retention</w:t>
            </w:r>
          </w:p>
        </w:tc>
      </w:tr>
    </w:tbl>
    <w:p/>
    <w:p>
      <w:pPr>
        <w:pStyle w:val="Heading2"/>
      </w:pPr>
      <w:r>
        <w:t>16.1 Technology selection principles</w:t>
      </w:r>
    </w:p>
    <w:p>
      <w:pPr>
        <w:pStyle w:val="ListBullet"/>
        <w:spacing w:after="40"/>
      </w:pPr>
      <w:r>
        <w:t>Reuse approved enterprise services before introducing bespoke components.</w:t>
      </w:r>
    </w:p>
    <w:p>
      <w:pPr>
        <w:pStyle w:val="ListBullet"/>
        <w:spacing w:after="40"/>
      </w:pPr>
      <w:r>
        <w:t>Prefer API/file contracts and canonical data mapping over UI scraping or manual re-keying.</w:t>
      </w:r>
    </w:p>
    <w:p>
      <w:pPr>
        <w:pStyle w:val="ListBullet"/>
        <w:spacing w:after="40"/>
      </w:pPr>
      <w:r>
        <w:t>Do not couple business rules to one provider schema or one blockchain data provider.</w:t>
      </w:r>
    </w:p>
    <w:p>
      <w:pPr>
        <w:pStyle w:val="ListBullet"/>
        <w:spacing w:after="40"/>
      </w:pPr>
      <w:r>
        <w:t>Keep raw evidence / lineage separate from presentation-layer transformations.</w:t>
      </w:r>
    </w:p>
    <w:p>
      <w:pPr>
        <w:pStyle w:val="ListBullet"/>
        <w:spacing w:after="40"/>
      </w:pPr>
      <w:r>
        <w:t>Use version-controlled configuration and auditable change promotion for rules and reference data.</w:t>
      </w:r>
    </w:p>
    <w:p>
      <w:pPr>
        <w:pStyle w:val="Heading1"/>
      </w:pPr>
      <w:r>
        <w:t>17. Phased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168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016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Indicative horizon</w:t>
            </w:r>
          </w:p>
        </w:tc>
        <w:tc>
          <w:tcPr>
            <w:tcW w:type="dxa" w:w="6624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Technical deliverables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Phase 0 - Decisions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0-4 weeks</w:t>
            </w:r>
          </w:p>
        </w:tc>
        <w:tc>
          <w:tcPr>
            <w:tcW w:type="dxa" w:w="66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Approve ARM decision path, control set, taxonomy, service criticality, internal owners; issue/complete provider information request.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Phase 1 - Controlled Manual / Semi-Automated Oversight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4-10 weeks</w:t>
            </w:r>
          </w:p>
        </w:tc>
        <w:tc>
          <w:tcPr>
            <w:tcW w:type="dxa" w:w="66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Receive provider extracts/reports; controlled repository; manual/SQL/Python verification for IV-001..005 as feasible; dashboard; workflow integration.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Phase 2 - Automated Ingestion &amp; Control Engine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8-16+ weeks</w:t>
            </w:r>
          </w:p>
        </w:tc>
        <w:tc>
          <w:tcPr>
            <w:tcW w:type="dxa" w:w="66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Automated provider feeds; canonical model; scheduled control execution; evidence linkage; alerts; data-quality monitoring.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Phase 3 - DLT / Event Integration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12-20+ weeks</w:t>
            </w:r>
          </w:p>
        </w:tc>
        <w:tc>
          <w:tcPr>
            <w:tcW w:type="dxa" w:w="66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Blockchain source integration; privileged/admin events; network/finality monitoring; IV-006/007 automation.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Phase 4 - Mature Continuous Oversight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Ongoing</w:t>
            </w:r>
          </w:p>
        </w:tc>
        <w:tc>
          <w:tcPr>
            <w:tcW w:type="dxa" w:w="66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Trend analytics, control reliance automation support, resilience tests, provider/interface expansion, additional products/networks.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F2"/>
          </w:tcPr>
          <w:p>
            <w:pPr>
              <w:pStyle w:val="Callout"/>
              <w:spacing w:after="40"/>
            </w:pPr>
            <w:r>
              <w:t>Do not wait for a fully automated target state to begin oversight. Phase 1 can operate using controlled provider reports, documented manual verification and existing enterprise tooling while interfaces are matured.</w:t>
            </w:r>
          </w:p>
        </w:tc>
      </w:tr>
    </w:tbl>
    <w:p/>
    <w:p>
      <w:pPr>
        <w:pStyle w:val="Heading1"/>
      </w:pPr>
      <w:r>
        <w:t>18. Provider Interface Validation - Securitize</w:t>
      </w:r>
    </w:p>
    <w:p>
      <w:r>
        <w:t>The following items are implementation blockers or design inputs and must be confirmed through the Securitize Provider Information Request.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744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Validation item</w:t>
            </w:r>
          </w:p>
        </w:tc>
        <w:tc>
          <w:tcPr>
            <w:tcW w:type="dxa" w:w="6624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Technical impact</w:t>
            </w:r>
          </w:p>
        </w:tc>
        <w:tc>
          <w:tcPr>
            <w:tcW w:type="dxa" w:w="1440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Exact legal entity / service scope</w:t>
            </w:r>
          </w:p>
        </w:tc>
        <w:tc>
          <w:tcPr>
            <w:tcW w:type="dxa" w:w="66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Determines source systems, responsibilities and evidence ownership.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P1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TA register / position export</w:t>
            </w:r>
          </w:p>
        </w:tc>
        <w:tc>
          <w:tcPr>
            <w:tcW w:type="dxa" w:w="66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Required for ARM integrity and IV-001/004.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P1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Transaction feed + stable IDs</w:t>
            </w:r>
          </w:p>
        </w:tc>
        <w:tc>
          <w:tcPr>
            <w:tcW w:type="dxa" w:w="66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Required for IV-002/003 and transaction KPI.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P1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Primary reconciliation report / break feed</w:t>
            </w:r>
          </w:p>
        </w:tc>
        <w:tc>
          <w:tcPr>
            <w:tcW w:type="dxa" w:w="66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Required for IV-005 and control reliance.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P1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Incident notification mechanism</w:t>
            </w:r>
          </w:p>
        </w:tc>
        <w:tc>
          <w:tcPr>
            <w:tcW w:type="dxa" w:w="66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Required for EVT routing / IV-008.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P1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Material change notifications</w:t>
            </w:r>
          </w:p>
        </w:tc>
        <w:tc>
          <w:tcPr>
            <w:tcW w:type="dxa" w:w="66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Required for IV-006 / change governance.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P1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Smart-contract addresses / versions / admin model</w:t>
            </w:r>
          </w:p>
        </w:tc>
        <w:tc>
          <w:tcPr>
            <w:tcW w:type="dxa" w:w="66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Required for DLT control mapping and observable admin events.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P1 where in scope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Supported blockchain/node/RPC data / references</w:t>
            </w:r>
          </w:p>
        </w:tc>
        <w:tc>
          <w:tcPr>
            <w:tcW w:type="dxa" w:w="66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Required for chain verification strategy.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P1/P2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Assurance reports and scope</w:t>
            </w:r>
          </w:p>
        </w:tc>
        <w:tc>
          <w:tcPr>
            <w:tcW w:type="dxa" w:w="66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Required for reliance strategy.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P2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Fourth-party inventory</w:t>
            </w:r>
          </w:p>
        </w:tc>
        <w:tc>
          <w:tcPr>
            <w:tcW w:type="dxa" w:w="66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Required for concentration/resilience design.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P2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Exit/data export capability</w:t>
            </w:r>
          </w:p>
        </w:tc>
        <w:tc>
          <w:tcPr>
            <w:tcW w:type="dxa" w:w="66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Required for exit test and retention architecture.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P1/P2</w:t>
            </w:r>
          </w:p>
        </w:tc>
      </w:tr>
    </w:tbl>
    <w:p/>
    <w:p>
      <w:pPr>
        <w:pStyle w:val="Heading1"/>
      </w:pPr>
      <w:r>
        <w:t>19. Open Technical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168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6912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2016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Canonical platform location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Which approved data/application platform hosts ingestion, canonical data, rule execution and evidence metadata?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Technology Architecture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Blockchain data source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Direct node, managed RPC, provider data, independent analytics source or layered approach?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DLT / Architecture / Risk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Workflow tool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Which enterprise tool receives exceptions/incidents and action tracking?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Service Owner / Technology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Evidence storage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Which repository satisfies auditability, retention, privacy and hash/reference needs?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Technology / Records / Risk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Rule execution technology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SQL, data platform jobs, workflow/rules engine, service code or combination?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Technology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Scheduling / near-real-time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Which controls require event-driven execution vs daily batch?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Operations / Risk / Technology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Identity data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Can all controls operate with pseudonymous references, or are limited identity joins required?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Privacy / Operations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RTO/RPO and availability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What service tier is justified for the oversight capability?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Business / Technology / Risk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Threshold governance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Where are approved KPI/KRI/materiality thresholds stored and how are changes governed?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Service Owner / Risk / Technology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Environment model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Dev/test/prod and provider test/sandbox availability for integration validation.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Technology / Provider</w:t>
            </w:r>
          </w:p>
        </w:tc>
      </w:tr>
    </w:tbl>
    <w:p/>
    <w:p>
      <w:pPr>
        <w:pStyle w:val="Heading1"/>
      </w:pPr>
      <w:r>
        <w:t>20. Acceptance Criteria for Technical Design</w:t>
      </w:r>
    </w:p>
    <w:p>
      <w:pPr>
        <w:pStyle w:val="ListBullet"/>
        <w:spacing w:after="40"/>
      </w:pPr>
      <w:r>
        <w:t>All critical Business Standard objects are traceable to architecture components and/or technical controls.</w:t>
      </w:r>
    </w:p>
    <w:p>
      <w:pPr>
        <w:pStyle w:val="ListBullet"/>
        <w:spacing w:after="40"/>
      </w:pPr>
      <w:r>
        <w:t>No technical rule changes the meaning or severity of an EVT-xx / IV-xxx without Business Standard approval.</w:t>
      </w:r>
    </w:p>
    <w:p>
      <w:pPr>
        <w:pStyle w:val="ListBullet"/>
        <w:spacing w:after="40"/>
      </w:pPr>
      <w:r>
        <w:t>Provider primary reconciliation remains provider-owned and is not recreated as a shadow DTA process.</w:t>
      </w:r>
    </w:p>
    <w:p>
      <w:pPr>
        <w:pStyle w:val="ListBullet"/>
        <w:spacing w:after="40"/>
      </w:pPr>
      <w:r>
        <w:t>Required inputs for each automated control are identified and have an owner/interface.</w:t>
      </w:r>
    </w:p>
    <w:p>
      <w:pPr>
        <w:pStyle w:val="ListBullet"/>
        <w:spacing w:after="40"/>
      </w:pPr>
      <w:r>
        <w:t>Missing/late data produces a visible data-quality exception and never a false control pass.</w:t>
      </w:r>
    </w:p>
    <w:p>
      <w:pPr>
        <w:pStyle w:val="ListBullet"/>
        <w:spacing w:after="40"/>
      </w:pPr>
      <w:r>
        <w:t>Every material control result is traceable to source evidence and rule version.</w:t>
      </w:r>
    </w:p>
    <w:p>
      <w:pPr>
        <w:pStyle w:val="ListBullet"/>
        <w:spacing w:after="40"/>
      </w:pPr>
      <w:r>
        <w:t>Critical event detections route to approved enterprise incident/escalation processes.</w:t>
      </w:r>
    </w:p>
    <w:p>
      <w:pPr>
        <w:pStyle w:val="ListBullet"/>
        <w:spacing w:after="40"/>
      </w:pPr>
      <w:r>
        <w:t>Security, privacy, retention, IAM and audit requirements are satisfied.</w:t>
      </w:r>
    </w:p>
    <w:p>
      <w:pPr>
        <w:pStyle w:val="ListBullet"/>
        <w:spacing w:after="40"/>
      </w:pPr>
      <w:r>
        <w:t>Manual fallback exists for critical oversight during platform/feed outage.</w:t>
      </w:r>
    </w:p>
    <w:p>
      <w:pPr>
        <w:pStyle w:val="ListBullet"/>
        <w:spacing w:after="40"/>
      </w:pPr>
      <w:r>
        <w:t>Production deployment has observability, support ownership and tested recovery.</w:t>
      </w:r>
    </w:p>
    <w:p>
      <w:pPr>
        <w:pStyle w:val="ListBullet"/>
        <w:spacing w:after="40"/>
      </w:pPr>
      <w:r>
        <w:t>Securitize-specific assumptions are either validated or explicitly tracked as open blockers.</w:t>
      </w:r>
    </w:p>
    <w:p>
      <w:r>
        <w:br w:type="page"/>
      </w:r>
    </w:p>
    <w:p>
      <w:pPr>
        <w:pStyle w:val="Heading1"/>
      </w:pPr>
      <w:r>
        <w:t>Appendix A - IV Control Technical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1152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IV ID</w:t>
            </w:r>
          </w:p>
        </w:tc>
        <w:tc>
          <w:tcPr>
            <w:tcW w:type="dxa" w:w="5040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inputs</w:t>
            </w:r>
          </w:p>
        </w:tc>
        <w:tc>
          <w:tcPr>
            <w:tcW w:type="dxa" w:w="1728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Execution</w:t>
            </w:r>
          </w:p>
        </w:tc>
        <w:tc>
          <w:tcPr>
            <w:tcW w:type="dxa" w:w="2016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2304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IV-001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Provider TA register/position; blockchain supply; ARM reference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Daily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Control Engine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Critical exception / EVT-04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IV-002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Mint events; approved issuance/subscription instructions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Daily / event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Control Engine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Critical / EVT-01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IV-003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Burn events; approved redemption/cross-chain instructions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Daily / event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Control Engine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Critical / EVT-02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IV-004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Selected provider positions; blockchain/internal refs under ARM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Risk-based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Control Engine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High/Critical exception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IV-005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Provider primary recon break feed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Daily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Exception Service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Aging / escalation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IV-006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Change feed; admin/upgrade events; approval registry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Event-driven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Event Detection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Critical / EVT-06/11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IV-007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Network/finality metrics; provider service incident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Event-driven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Monitoring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EVT-07 by impact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IV-008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Provider incident feed; The-Bank detections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Event-driven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Incident correlation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Challenge / reliance reassessment</w:t>
            </w:r>
          </w:p>
        </w:tc>
      </w:tr>
    </w:tbl>
    <w:p/>
    <w:p>
      <w:pPr>
        <w:pStyle w:val="Heading1"/>
      </w:pPr>
      <w:r>
        <w:t>Appendix B - Example Control Result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4F6"/>
          </w:tcPr>
          <w:p>
            <w:r/>
            <w:r>
              <w:rPr>
                <w:rFonts w:ascii="Consolas" w:hAnsi="Consolas"/>
                <w:sz w:val="15"/>
              </w:rPr>
              <w:t>{</w:t>
              <w:br/>
            </w:r>
            <w:r>
              <w:rPr>
                <w:rFonts w:ascii="Consolas" w:hAnsi="Consolas"/>
                <w:sz w:val="15"/>
              </w:rPr>
              <w:t xml:space="preserve">  "control_id": "IV-002",</w:t>
              <w:br/>
            </w:r>
            <w:r>
              <w:rPr>
                <w:rFonts w:ascii="Consolas" w:hAnsi="Consolas"/>
                <w:sz w:val="15"/>
              </w:rPr>
              <w:t xml:space="preserve">  "execution_id": "2026-08-12T08:00:00Z_IV-002_FUND-A",</w:t>
              <w:br/>
            </w:r>
            <w:r>
              <w:rPr>
                <w:rFonts w:ascii="Consolas" w:hAnsi="Consolas"/>
                <w:sz w:val="15"/>
              </w:rPr>
              <w:t xml:space="preserve">  "rule_version": "1.3.0",</w:t>
              <w:br/>
            </w:r>
            <w:r>
              <w:rPr>
                <w:rFonts w:ascii="Consolas" w:hAnsi="Consolas"/>
                <w:sz w:val="15"/>
              </w:rPr>
              <w:t xml:space="preserve">  "asset_id": "FUND-A-CLASS-I",</w:t>
              <w:br/>
            </w:r>
            <w:r>
              <w:rPr>
                <w:rFonts w:ascii="Consolas" w:hAnsi="Consolas"/>
                <w:sz w:val="15"/>
              </w:rPr>
              <w:t xml:space="preserve">  "result": "FAIL",</w:t>
              <w:br/>
            </w:r>
            <w:r>
              <w:rPr>
                <w:rFonts w:ascii="Consolas" w:hAnsi="Consolas"/>
                <w:sz w:val="15"/>
              </w:rPr>
              <w:t xml:space="preserve">  "severity": "CRITICAL",</w:t>
              <w:br/>
            </w:r>
            <w:r>
              <w:rPr>
                <w:rFonts w:ascii="Consolas" w:hAnsi="Consolas"/>
                <w:sz w:val="15"/>
              </w:rPr>
              <w:t xml:space="preserve">  "event_candidate": "EVT-01",</w:t>
              <w:br/>
            </w:r>
            <w:r>
              <w:rPr>
                <w:rFonts w:ascii="Consolas" w:hAnsi="Consolas"/>
                <w:sz w:val="15"/>
              </w:rPr>
              <w:t xml:space="preserve">  "provider_transaction_id": "PTX-12345",</w:t>
              <w:br/>
            </w:r>
            <w:r>
              <w:rPr>
                <w:rFonts w:ascii="Consolas" w:hAnsi="Consolas"/>
                <w:sz w:val="15"/>
              </w:rPr>
              <w:t xml:space="preserve">  "blockchain_transaction_hash": "0x...",</w:t>
              <w:br/>
            </w:r>
            <w:r>
              <w:rPr>
                <w:rFonts w:ascii="Consolas" w:hAnsi="Consolas"/>
                <w:sz w:val="15"/>
              </w:rPr>
              <w:t xml:space="preserve">  "evidence_ids": ["EVID-01","EVID-02"],</w:t>
              <w:br/>
            </w:r>
            <w:r>
              <w:rPr>
                <w:rFonts w:ascii="Consolas" w:hAnsi="Consolas"/>
                <w:sz w:val="15"/>
              </w:rPr>
              <w:t xml:space="preserve">  "exception_id": "EXC-00042",</w:t>
              <w:br/>
            </w:r>
            <w:r>
              <w:rPr>
                <w:rFonts w:ascii="Consolas" w:hAnsi="Consolas"/>
                <w:sz w:val="15"/>
              </w:rPr>
              <w:t xml:space="preserve">  "executed_at": "2026-08-12T08:00:02Z"</w:t>
              <w:br/>
            </w:r>
            <w:r>
              <w:rPr>
                <w:rFonts w:ascii="Consolas" w:hAnsi="Consolas"/>
                <w:sz w:val="15"/>
              </w:rPr>
              <w:t>}</w:t>
            </w:r>
          </w:p>
        </w:tc>
      </w:tr>
    </w:tbl>
    <w:p/>
    <w:p>
      <w:pPr>
        <w:pStyle w:val="SmallNote"/>
      </w:pPr>
      <w:r>
        <w:t>Example only. Final schema and field naming should follow The-Bank data architecture standards and the actual provider interface.</w:t>
      </w:r>
    </w:p>
    <w:p>
      <w:pPr>
        <w:pStyle w:val="Heading1"/>
      </w:pPr>
      <w:r>
        <w:t>Appendix C - Technical Design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760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5760"/>
            <w:shd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Business authority - DTA Third-Party Oversight &amp; Control Standard - Business v1.0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Internal artifact; this specification is subordinate to it.</w:t>
            </w:r>
          </w:p>
        </w:tc>
      </w:tr>
      <w:tr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Securitize Provider Information Request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Internal artifact; source for interface / evidence validation.</w:t>
            </w:r>
          </w:p>
        </w:tc>
      </w:tr>
      <w:tr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DTA Control Catalogue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Internal artifact; detailed control inventory.</w:t>
            </w:r>
          </w:p>
        </w:tc>
      </w:tr>
      <w:tr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DTA KPI/KRI Catalogue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Internal artifact; metric definitions and governance.</w:t>
            </w:r>
          </w:p>
        </w:tc>
      </w:tr>
    </w:tbl>
    <w:p/>
    <w:p>
      <w:pPr>
        <w:pStyle w:val="Heading1"/>
      </w:pPr>
      <w:r>
        <w:t>Appendix D - External Architecture / Technology Qualifications</w:t>
      </w:r>
    </w:p>
    <w:p>
      <w:r>
        <w:t>This technical specification intentionally does not claim that Securitize exposes any specific API, webhook, data schema, node/RPC integration or real-time notification capability unless validated through the provider engagement. Likewise, technical control frequencies shown as daily/event-driven are target design positions that must be reconciled with approved risk appetite, contracts and actual interface capability.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F2"/>
          </w:tcPr>
          <w:p>
            <w:pPr>
              <w:pStyle w:val="Callout"/>
              <w:spacing w:after="40"/>
            </w:pPr>
            <w:r>
              <w:t>Final implementation gate: no production architecture decision should rely on an unverified Securitize interface or on the assumption that blockchain state is legally authoritative. Both must be explicitly validated.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6"/>
      </w:rPr>
      <w:t>Technical working specification | Version 1.0 |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B7280"/>
        <w:sz w:val="16"/>
      </w:rPr>
      <w:t>The-Bank | DTA Oversight Solution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C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C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rial" w:hAnsi="Arial"/>
      <w:b w:val="0"/>
      <w:color w:val="6B7280"/>
      <w:sz w:val="16"/>
    </w:rPr>
  </w:style>
  <w:style w:type="paragraph" w:customStyle="1" w:styleId="Callout">
    <w:name w:val="Callout"/>
    <w:pPr>
      <w:spacing w:after="60"/>
    </w:pPr>
    <w:rPr>
      <w:rFonts w:ascii="Arial" w:hAnsi="Arial"/>
      <w:b/>
      <w:color w:val="1F2937"/>
      <w:sz w:val="19"/>
    </w:rPr>
  </w:style>
  <w:style w:type="paragraph" w:customStyle="1" w:styleId="CodeLike">
    <w:name w:val="CodeLike"/>
    <w:pPr>
      <w:spacing w:after="60"/>
    </w:pPr>
    <w:rPr>
      <w:rFonts w:ascii="Arial" w:hAnsi="Arial"/>
      <w:b w:val="0"/>
      <w:color w:val="1F293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