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1F2937"/>
          <w:sz w:val="28"/>
        </w:rPr>
        <w:t>DIGITAL TRANSFER AGENT</w:t>
      </w:r>
    </w:p>
    <w:p>
      <w:pPr>
        <w:pStyle w:val="Title"/>
      </w:pPr>
      <w:r>
        <w:t>THIRD-PARTY OVERSIGHT &amp; CONTROL STANDARD</w:t>
      </w:r>
    </w:p>
    <w:p>
      <w:r>
        <w:rPr>
          <w:b/>
          <w:color w:val="1F2937"/>
          <w:sz w:val="28"/>
        </w:rPr>
        <w:t>Business / Risk / Governance Standard</w:t>
      </w:r>
    </w:p>
    <w:p>
      <w:r>
        <w:rPr>
          <w:i/>
          <w:color w:val="6B7280"/>
          <w:sz w:val="20"/>
        </w:rPr>
        <w:t>Vendor-neutral core standard with Securitize implementation profile</w:t>
      </w:r>
    </w:p>
    <w:p/>
    <w:tbl>
      <w:tblPr>
        <w:tblStyle w:val="TableGrid"/>
        <w:tblW w:type="auto" w:w="0"/>
        <w:tblLook w:firstColumn="1" w:firstRow="1" w:lastColumn="0" w:lastRow="0" w:noHBand="0" w:noVBand="1" w:val="04A0"/>
      </w:tblPr>
      <w:tblGrid>
        <w:gridCol w:w="10166"/>
      </w:tblGrid>
      <w:tr>
        <w:tc>
          <w:tcPr>
            <w:tcW w:type="dxa" w:w="10166"/>
            <w:shd w:fill="FFF2F2"/>
          </w:tcPr>
          <w:p>
            <w:pPr>
              <w:pStyle w:val="Callout"/>
              <w:spacing w:after="40"/>
            </w:pPr>
            <w:r>
              <w:t>Purpose: define what The-Bank must govern, oversee, verify, evidence and escalate when a Digital Transfer Agent provider performs the DTA service end-to-end. This standard deliberately does not define the technical implementation of the oversight platform.</w:t>
            </w:r>
          </w:p>
        </w:tc>
      </w:tr>
    </w:tbl>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C00000"/>
          </w:tcPr>
          <w:p>
            <w:r>
              <w:rPr>
                <w:rFonts w:ascii="Arial" w:hAnsi="Arial"/>
                <w:b/>
                <w:color w:val="FFFFFF"/>
                <w:sz w:val="16"/>
              </w:rPr>
              <w:t>Field</w:t>
            </w:r>
          </w:p>
        </w:tc>
        <w:tc>
          <w:tcPr>
            <w:tcW w:type="dxa" w:w="8208"/>
            <w:shd w:fill="C00000"/>
          </w:tcPr>
          <w:p>
            <w:r>
              <w:rPr>
                <w:rFonts w:ascii="Arial" w:hAnsi="Arial"/>
                <w:b/>
                <w:color w:val="FFFFFF"/>
                <w:sz w:val="16"/>
              </w:rPr>
              <w:t>Value</w:t>
            </w:r>
          </w:p>
        </w:tc>
      </w:tr>
      <w:tr>
        <w:tc>
          <w:tcPr>
            <w:tcW w:type="dxa" w:w="2880"/>
            <w:vAlign w:val="top"/>
          </w:tcPr>
          <w:p>
            <w:pPr>
              <w:spacing w:after="20"/>
            </w:pPr>
            <w:r>
              <w:rPr>
                <w:rFonts w:ascii="Arial" w:hAnsi="Arial"/>
                <w:sz w:val="18"/>
              </w:rPr>
              <w:t>Document owner</w:t>
            </w:r>
          </w:p>
        </w:tc>
        <w:tc>
          <w:tcPr>
            <w:tcW w:type="dxa" w:w="8208"/>
            <w:vAlign w:val="top"/>
          </w:tcPr>
          <w:p>
            <w:pPr>
              <w:spacing w:after="20"/>
            </w:pPr>
            <w:r>
              <w:rPr>
                <w:rFonts w:ascii="Arial" w:hAnsi="Arial"/>
                <w:sz w:val="18"/>
              </w:rPr>
              <w:t>DTA Service Owner / designated Business Owner</w:t>
            </w:r>
          </w:p>
        </w:tc>
      </w:tr>
      <w:tr>
        <w:tc>
          <w:tcPr>
            <w:tcW w:type="dxa" w:w="2880"/>
            <w:vAlign w:val="top"/>
          </w:tcPr>
          <w:p>
            <w:pPr>
              <w:spacing w:after="20"/>
            </w:pPr>
            <w:r>
              <w:rPr>
                <w:rFonts w:ascii="Arial" w:hAnsi="Arial"/>
                <w:sz w:val="18"/>
              </w:rPr>
              <w:t>Status</w:t>
            </w:r>
          </w:p>
        </w:tc>
        <w:tc>
          <w:tcPr>
            <w:tcW w:type="dxa" w:w="8208"/>
            <w:vAlign w:val="top"/>
          </w:tcPr>
          <w:p>
            <w:pPr>
              <w:spacing w:after="20"/>
            </w:pPr>
            <w:r>
              <w:rPr>
                <w:rFonts w:ascii="Arial" w:hAnsi="Arial"/>
                <w:sz w:val="18"/>
              </w:rPr>
              <w:t>Final draft for internal validation</w:t>
            </w:r>
          </w:p>
        </w:tc>
      </w:tr>
      <w:tr>
        <w:tc>
          <w:tcPr>
            <w:tcW w:type="dxa" w:w="2880"/>
            <w:vAlign w:val="top"/>
          </w:tcPr>
          <w:p>
            <w:pPr>
              <w:spacing w:after="20"/>
            </w:pPr>
            <w:r>
              <w:rPr>
                <w:rFonts w:ascii="Arial" w:hAnsi="Arial"/>
                <w:sz w:val="18"/>
              </w:rPr>
              <w:t>Version</w:t>
            </w:r>
          </w:p>
        </w:tc>
        <w:tc>
          <w:tcPr>
            <w:tcW w:type="dxa" w:w="8208"/>
            <w:vAlign w:val="top"/>
          </w:tcPr>
          <w:p>
            <w:pPr>
              <w:spacing w:after="20"/>
            </w:pPr>
            <w:r>
              <w:rPr>
                <w:rFonts w:ascii="Arial" w:hAnsi="Arial"/>
                <w:sz w:val="18"/>
              </w:rPr>
              <w:t>1.0</w:t>
            </w:r>
          </w:p>
        </w:tc>
      </w:tr>
      <w:tr>
        <w:tc>
          <w:tcPr>
            <w:tcW w:type="dxa" w:w="2880"/>
            <w:vAlign w:val="top"/>
          </w:tcPr>
          <w:p>
            <w:pPr>
              <w:spacing w:after="20"/>
            </w:pPr>
            <w:r>
              <w:rPr>
                <w:rFonts w:ascii="Arial" w:hAnsi="Arial"/>
                <w:sz w:val="18"/>
              </w:rPr>
              <w:t>Date</w:t>
            </w:r>
          </w:p>
        </w:tc>
        <w:tc>
          <w:tcPr>
            <w:tcW w:type="dxa" w:w="8208"/>
            <w:vAlign w:val="top"/>
          </w:tcPr>
          <w:p>
            <w:pPr>
              <w:spacing w:after="20"/>
            </w:pPr>
            <w:r>
              <w:rPr>
                <w:rFonts w:ascii="Arial" w:hAnsi="Arial"/>
                <w:sz w:val="18"/>
              </w:rPr>
              <w:t>12 August 2026</w:t>
            </w:r>
          </w:p>
        </w:tc>
      </w:tr>
      <w:tr>
        <w:tc>
          <w:tcPr>
            <w:tcW w:type="dxa" w:w="2880"/>
            <w:vAlign w:val="top"/>
          </w:tcPr>
          <w:p>
            <w:pPr>
              <w:spacing w:after="20"/>
            </w:pPr>
            <w:r>
              <w:rPr>
                <w:rFonts w:ascii="Arial" w:hAnsi="Arial"/>
                <w:sz w:val="18"/>
              </w:rPr>
              <w:t>Provider profile</w:t>
            </w:r>
          </w:p>
        </w:tc>
        <w:tc>
          <w:tcPr>
            <w:tcW w:type="dxa" w:w="8208"/>
            <w:vAlign w:val="top"/>
          </w:tcPr>
          <w:p>
            <w:pPr>
              <w:spacing w:after="20"/>
            </w:pPr>
            <w:r>
              <w:rPr>
                <w:rFonts w:ascii="Arial" w:hAnsi="Arial"/>
                <w:sz w:val="18"/>
              </w:rPr>
              <w:t>Securitize</w:t>
            </w:r>
          </w:p>
        </w:tc>
      </w:tr>
      <w:tr>
        <w:tc>
          <w:tcPr>
            <w:tcW w:type="dxa" w:w="2880"/>
            <w:vAlign w:val="top"/>
          </w:tcPr>
          <w:p>
            <w:pPr>
              <w:spacing w:after="20"/>
            </w:pPr>
            <w:r>
              <w:rPr>
                <w:rFonts w:ascii="Arial" w:hAnsi="Arial"/>
                <w:sz w:val="18"/>
              </w:rPr>
              <w:t>Classification</w:t>
            </w:r>
          </w:p>
        </w:tc>
        <w:tc>
          <w:tcPr>
            <w:tcW w:type="dxa" w:w="8208"/>
            <w:vAlign w:val="top"/>
          </w:tcPr>
          <w:p>
            <w:pPr>
              <w:spacing w:after="20"/>
            </w:pPr>
            <w:r>
              <w:rPr>
                <w:rFonts w:ascii="Arial" w:hAnsi="Arial"/>
                <w:sz w:val="18"/>
              </w:rPr>
              <w:t>Internal working standard</w:t>
            </w:r>
          </w:p>
        </w:tc>
      </w:tr>
      <w:tr>
        <w:tc>
          <w:tcPr>
            <w:tcW w:type="dxa" w:w="2880"/>
            <w:vAlign w:val="top"/>
          </w:tcPr>
          <w:p>
            <w:pPr>
              <w:spacing w:after="20"/>
            </w:pPr>
            <w:r>
              <w:rPr>
                <w:rFonts w:ascii="Arial" w:hAnsi="Arial"/>
                <w:sz w:val="18"/>
              </w:rPr>
              <w:t>Review cycle</w:t>
            </w:r>
          </w:p>
        </w:tc>
        <w:tc>
          <w:tcPr>
            <w:tcW w:type="dxa" w:w="8208"/>
            <w:vAlign w:val="top"/>
          </w:tcPr>
          <w:p>
            <w:pPr>
              <w:spacing w:after="20"/>
            </w:pPr>
            <w:r>
              <w:rPr>
                <w:rFonts w:ascii="Arial" w:hAnsi="Arial"/>
                <w:sz w:val="18"/>
              </w:rPr>
              <w:t>At least annually and on material service, regulatory, contractual or architecture change</w:t>
            </w:r>
          </w:p>
        </w:tc>
      </w:tr>
      <w:tr>
        <w:tc>
          <w:tcPr>
            <w:tcW w:type="dxa" w:w="2880"/>
            <w:vAlign w:val="top"/>
          </w:tcPr>
          <w:p>
            <w:pPr>
              <w:spacing w:after="20"/>
            </w:pPr>
            <w:r>
              <w:rPr>
                <w:rFonts w:ascii="Arial" w:hAnsi="Arial"/>
                <w:sz w:val="18"/>
              </w:rPr>
              <w:t>Intended audience</w:t>
            </w:r>
          </w:p>
        </w:tc>
        <w:tc>
          <w:tcPr>
            <w:tcW w:type="dxa" w:w="8208"/>
            <w:vAlign w:val="top"/>
          </w:tcPr>
          <w:p>
            <w:pPr>
              <w:spacing w:after="20"/>
            </w:pPr>
            <w:r>
              <w:rPr>
                <w:rFonts w:ascii="Arial" w:hAnsi="Arial"/>
                <w:sz w:val="18"/>
              </w:rPr>
              <w:t>Business, Fund/Operations, Risk, Compliance, Legal, Technology, TPRM, Internal Audit</w:t>
            </w:r>
          </w:p>
        </w:tc>
      </w:tr>
    </w:tbl>
    <w:p/>
    <w:tbl>
      <w:tblPr>
        <w:tblStyle w:val="TableGrid"/>
        <w:tblW w:type="auto" w:w="0"/>
        <w:tblLook w:firstColumn="1" w:firstRow="1" w:lastColumn="0" w:lastRow="0" w:noHBand="0" w:noVBand="1" w:val="04A0"/>
      </w:tblPr>
      <w:tblGrid>
        <w:gridCol w:w="10166"/>
      </w:tblGrid>
      <w:tr>
        <w:tc>
          <w:tcPr>
            <w:tcW w:type="dxa" w:w="10166"/>
            <w:shd w:fill="FFF2F2"/>
          </w:tcPr>
          <w:p>
            <w:pPr>
              <w:pStyle w:val="Callout"/>
              <w:spacing w:after="40"/>
            </w:pPr>
            <w:r>
              <w:t>Core principle: the DTA Provider operates and controls the DTA service. The-Bank retains accountability for oversight, risk decisions, targeted independent verification of critical outcomes, material-event governance, assurance and exit readiness.</w:t>
            </w:r>
          </w:p>
        </w:tc>
      </w:tr>
    </w:tbl>
    <w:p/>
    <w:p>
      <w:pPr>
        <w:pStyle w:val="Heading1"/>
      </w:pPr>
      <w:r>
        <w:t>Document hierarchy and design boundary</w:t>
      </w:r>
    </w:p>
    <w:p>
      <w:r>
        <w:t>This document is the authoritative Business / Risk / Control standard for the DTA oversight model. It defines control objectives, accountability, material-event taxonomy, governance, risk treatment and minimum evidence.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168"/>
            <w:shd w:fill="C00000"/>
          </w:tcPr>
          <w:p>
            <w:r>
              <w:rPr>
                <w:rFonts w:ascii="Arial" w:hAnsi="Arial"/>
                <w:b/>
                <w:color w:val="FFFFFF"/>
                <w:sz w:val="16"/>
              </w:rPr>
              <w:t>Document / Artifact</w:t>
            </w:r>
          </w:p>
        </w:tc>
        <w:tc>
          <w:tcPr>
            <w:tcW w:type="dxa" w:w="6048"/>
            <w:shd w:fill="C00000"/>
          </w:tcPr>
          <w:p>
            <w:r>
              <w:rPr>
                <w:rFonts w:ascii="Arial" w:hAnsi="Arial"/>
                <w:b/>
                <w:color w:val="FFFFFF"/>
                <w:sz w:val="16"/>
              </w:rPr>
              <w:t>Role</w:t>
            </w:r>
          </w:p>
        </w:tc>
        <w:tc>
          <w:tcPr>
            <w:tcW w:type="dxa" w:w="2304"/>
            <w:shd w:fill="C00000"/>
          </w:tcPr>
          <w:p>
            <w:r>
              <w:rPr>
                <w:rFonts w:ascii="Arial" w:hAnsi="Arial"/>
                <w:b/>
                <w:color w:val="FFFFFF"/>
                <w:sz w:val="16"/>
              </w:rPr>
              <w:t>Authority</w:t>
            </w:r>
          </w:p>
        </w:tc>
      </w:tr>
      <w:tr>
        <w:tc>
          <w:tcPr>
            <w:tcW w:type="dxa" w:w="3168"/>
            <w:vAlign w:val="top"/>
          </w:tcPr>
          <w:p>
            <w:pPr>
              <w:spacing w:after="20"/>
            </w:pPr>
            <w:r>
              <w:rPr>
                <w:rFonts w:ascii="Arial" w:hAnsi="Arial"/>
                <w:sz w:val="16"/>
              </w:rPr>
              <w:t>DTA Third-Party Oversight &amp; Control Standard</w:t>
            </w:r>
          </w:p>
        </w:tc>
        <w:tc>
          <w:tcPr>
            <w:tcW w:type="dxa" w:w="6048"/>
            <w:vAlign w:val="top"/>
          </w:tcPr>
          <w:p>
            <w:pPr>
              <w:spacing w:after="20"/>
            </w:pPr>
            <w:r>
              <w:rPr>
                <w:rFonts w:ascii="Arial" w:hAnsi="Arial"/>
                <w:sz w:val="16"/>
              </w:rPr>
              <w:t>Defines what must be controlled, why, by whom and how failures are governed.</w:t>
            </w:r>
          </w:p>
        </w:tc>
        <w:tc>
          <w:tcPr>
            <w:tcW w:type="dxa" w:w="2304"/>
            <w:vAlign w:val="top"/>
          </w:tcPr>
          <w:p>
            <w:pPr>
              <w:spacing w:after="20"/>
            </w:pPr>
            <w:r>
              <w:rPr>
                <w:rFonts w:ascii="Arial" w:hAnsi="Arial"/>
                <w:sz w:val="16"/>
              </w:rPr>
              <w:t>Authoritative business/control standard</w:t>
            </w:r>
          </w:p>
        </w:tc>
      </w:tr>
      <w:tr>
        <w:tc>
          <w:tcPr>
            <w:tcW w:type="dxa" w:w="3168"/>
            <w:vAlign w:val="top"/>
          </w:tcPr>
          <w:p>
            <w:pPr>
              <w:spacing w:after="20"/>
            </w:pPr>
            <w:r>
              <w:rPr>
                <w:rFonts w:ascii="Arial" w:hAnsi="Arial"/>
                <w:sz w:val="16"/>
              </w:rPr>
              <w:t>DTA Control Catalogue</w:t>
            </w:r>
          </w:p>
        </w:tc>
        <w:tc>
          <w:tcPr>
            <w:tcW w:type="dxa" w:w="6048"/>
            <w:vAlign w:val="top"/>
          </w:tcPr>
          <w:p>
            <w:pPr>
              <w:spacing w:after="20"/>
            </w:pPr>
            <w:r>
              <w:rPr>
                <w:rFonts w:ascii="Arial" w:hAnsi="Arial"/>
                <w:sz w:val="16"/>
              </w:rPr>
              <w:t>Operational inventory of controls defined by this standard.</w:t>
            </w:r>
          </w:p>
        </w:tc>
        <w:tc>
          <w:tcPr>
            <w:tcW w:type="dxa" w:w="2304"/>
            <w:vAlign w:val="top"/>
          </w:tcPr>
          <w:p>
            <w:pPr>
              <w:spacing w:after="20"/>
            </w:pPr>
            <w:r>
              <w:rPr>
                <w:rFonts w:ascii="Arial" w:hAnsi="Arial"/>
                <w:sz w:val="16"/>
              </w:rPr>
              <w:t>Supporting operational artifact</w:t>
            </w:r>
          </w:p>
        </w:tc>
      </w:tr>
      <w:tr>
        <w:tc>
          <w:tcPr>
            <w:tcW w:type="dxa" w:w="3168"/>
            <w:vAlign w:val="top"/>
          </w:tcPr>
          <w:p>
            <w:pPr>
              <w:spacing w:after="20"/>
            </w:pPr>
            <w:r>
              <w:rPr>
                <w:rFonts w:ascii="Arial" w:hAnsi="Arial"/>
                <w:sz w:val="16"/>
              </w:rPr>
              <w:t>DTA KPI/KRI Catalogue</w:t>
            </w:r>
          </w:p>
        </w:tc>
        <w:tc>
          <w:tcPr>
            <w:tcW w:type="dxa" w:w="6048"/>
            <w:vAlign w:val="top"/>
          </w:tcPr>
          <w:p>
            <w:pPr>
              <w:spacing w:after="20"/>
            </w:pPr>
            <w:r>
              <w:rPr>
                <w:rFonts w:ascii="Arial" w:hAnsi="Arial"/>
                <w:sz w:val="16"/>
              </w:rPr>
              <w:t>Operational metric definitions and recurring status reporting.</w:t>
            </w:r>
          </w:p>
        </w:tc>
        <w:tc>
          <w:tcPr>
            <w:tcW w:type="dxa" w:w="2304"/>
            <w:vAlign w:val="top"/>
          </w:tcPr>
          <w:p>
            <w:pPr>
              <w:spacing w:after="20"/>
            </w:pPr>
            <w:r>
              <w:rPr>
                <w:rFonts w:ascii="Arial" w:hAnsi="Arial"/>
                <w:sz w:val="16"/>
              </w:rPr>
              <w:t>Supporting operational artifact</w:t>
            </w:r>
          </w:p>
        </w:tc>
      </w:tr>
      <w:tr>
        <w:tc>
          <w:tcPr>
            <w:tcW w:type="dxa" w:w="3168"/>
            <w:vAlign w:val="top"/>
          </w:tcPr>
          <w:p>
            <w:pPr>
              <w:spacing w:after="20"/>
            </w:pPr>
            <w:r>
              <w:rPr>
                <w:rFonts w:ascii="Arial" w:hAnsi="Arial"/>
                <w:sz w:val="16"/>
              </w:rPr>
              <w:t>Securitize Provider Information Request</w:t>
            </w:r>
          </w:p>
        </w:tc>
        <w:tc>
          <w:tcPr>
            <w:tcW w:type="dxa" w:w="6048"/>
            <w:vAlign w:val="top"/>
          </w:tcPr>
          <w:p>
            <w:pPr>
              <w:spacing w:after="20"/>
            </w:pPr>
            <w:r>
              <w:rPr>
                <w:rFonts w:ascii="Arial" w:hAnsi="Arial"/>
                <w:sz w:val="16"/>
              </w:rPr>
              <w:t>Validates provider-specific facts, evidence, interfaces and gaps.</w:t>
            </w:r>
          </w:p>
        </w:tc>
        <w:tc>
          <w:tcPr>
            <w:tcW w:type="dxa" w:w="2304"/>
            <w:vAlign w:val="top"/>
          </w:tcPr>
          <w:p>
            <w:pPr>
              <w:spacing w:after="20"/>
            </w:pPr>
            <w:r>
              <w:rPr>
                <w:rFonts w:ascii="Arial" w:hAnsi="Arial"/>
                <w:sz w:val="16"/>
              </w:rPr>
              <w:t>Provider due diligence / implementation artifact</w:t>
            </w:r>
          </w:p>
        </w:tc>
      </w:tr>
      <w:tr>
        <w:tc>
          <w:tcPr>
            <w:tcW w:type="dxa" w:w="3168"/>
            <w:vAlign w:val="top"/>
          </w:tcPr>
          <w:p>
            <w:pPr>
              <w:spacing w:after="20"/>
            </w:pPr>
            <w:r>
              <w:rPr>
                <w:rFonts w:ascii="Arial" w:hAnsi="Arial"/>
                <w:sz w:val="16"/>
              </w:rPr>
              <w:t>DTA Oversight Solution Design &amp; Technical Specification</w:t>
            </w:r>
          </w:p>
        </w:tc>
        <w:tc>
          <w:tcPr>
            <w:tcW w:type="dxa" w:w="6048"/>
            <w:vAlign w:val="top"/>
          </w:tcPr>
          <w:p>
            <w:pPr>
              <w:spacing w:after="20"/>
            </w:pPr>
            <w:r>
              <w:rPr>
                <w:rFonts w:ascii="Arial" w:hAnsi="Arial"/>
                <w:sz w:val="16"/>
              </w:rPr>
              <w:t>Defines how IT ingests data, executes rules, stores evidence, alerts and operates the solution.</w:t>
            </w:r>
          </w:p>
        </w:tc>
        <w:tc>
          <w:tcPr>
            <w:tcW w:type="dxa" w:w="2304"/>
            <w:vAlign w:val="top"/>
          </w:tcPr>
          <w:p>
            <w:pPr>
              <w:spacing w:after="20"/>
            </w:pPr>
            <w:r>
              <w:rPr>
                <w:rFonts w:ascii="Arial" w:hAnsi="Arial"/>
                <w:sz w:val="16"/>
              </w:rPr>
              <w:t>Technical implementation; must trace to this standard</w:t>
            </w:r>
          </w:p>
        </w:tc>
      </w:tr>
      <w:tr>
        <w:tc>
          <w:tcPr>
            <w:tcW w:type="dxa" w:w="3168"/>
            <w:vAlign w:val="top"/>
          </w:tcPr>
          <w:p>
            <w:pPr>
              <w:spacing w:after="20"/>
            </w:pPr>
            <w:r>
              <w:rPr>
                <w:rFonts w:ascii="Arial" w:hAnsi="Arial"/>
                <w:sz w:val="16"/>
              </w:rPr>
              <w:t>Monthly DTA Oversight Pack</w:t>
            </w:r>
          </w:p>
        </w:tc>
        <w:tc>
          <w:tcPr>
            <w:tcW w:type="dxa" w:w="6048"/>
            <w:vAlign w:val="top"/>
          </w:tcPr>
          <w:p>
            <w:pPr>
              <w:spacing w:after="20"/>
            </w:pPr>
            <w:r>
              <w:rPr>
                <w:rFonts w:ascii="Arial" w:hAnsi="Arial"/>
                <w:sz w:val="16"/>
              </w:rPr>
              <w:t>Reports actual service, control, risk and action outcomes.</w:t>
            </w:r>
          </w:p>
        </w:tc>
        <w:tc>
          <w:tcPr>
            <w:tcW w:type="dxa" w:w="2304"/>
            <w:vAlign w:val="top"/>
          </w:tcPr>
          <w:p>
            <w:pPr>
              <w:spacing w:after="20"/>
            </w:pPr>
            <w:r>
              <w:rPr>
                <w:rFonts w:ascii="Arial" w:hAnsi="Arial"/>
                <w:sz w:val="16"/>
              </w:rPr>
              <w:t>BAU governance artifact</w:t>
            </w:r>
          </w:p>
        </w:tc>
      </w:tr>
    </w:tbl>
    <w:p/>
    <w:tbl>
      <w:tblPr>
        <w:tblStyle w:val="TableGrid"/>
        <w:tblW w:type="auto" w:w="0"/>
        <w:tblLook w:firstColumn="1" w:firstRow="1" w:lastColumn="0" w:lastRow="0" w:noHBand="0" w:noVBand="1" w:val="04A0"/>
      </w:tblPr>
      <w:tblGrid>
        <w:gridCol w:w="10166"/>
      </w:tblGrid>
      <w:tr>
        <w:tc>
          <w:tcPr>
            <w:tcW w:type="dxa" w:w="10166"/>
            <w:shd w:fill="FFF2F2"/>
          </w:tcPr>
          <w:p>
            <w:pPr>
              <w:pStyle w:val="Callout"/>
              <w:spacing w:after="40"/>
            </w:pPr>
            <w:r>
              <w:t>Design rule: business control IDs, event taxonomy, severity and ownership are defined here. The technical solution references those IDs and implements detection/evidence/workflow; it does not create a competing taxonomy.</w:t>
            </w:r>
          </w:p>
        </w:tc>
      </w:tr>
    </w:tbl>
    <w:p/>
    <w:p>
      <w:pPr>
        <w:pStyle w:val="Heading1"/>
      </w:pPr>
      <w:r>
        <w:t>1. Executive Summary</w:t>
      </w:r>
    </w:p>
    <w:p>
      <w:r>
        <w:t>The-Bank intends to use an external Digital Transfer Agent (DTA) provider to perform the transfer-agent service end-to-end, including recordkeeping and transaction processing and, where contractually in scope, digital-asset/token lifecycle activities supporting issuance, transfer and redemption.</w:t>
      </w:r>
    </w:p>
    <w:p>
      <w:r>
        <w:t>The-Bank therefore does not establish a second operational DTA. Provider controls remain the primary operational controls; The-Bank monitors outcomes and risks and performs targeted independent verification for critical investor, legal, register-integrity and token-integrity outcomes; independent assurance provides an additional layer of objective evidence.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736"/>
            <w:shd w:fill="C00000"/>
          </w:tcPr>
          <w:p>
            <w:r>
              <w:rPr>
                <w:rFonts w:ascii="Arial" w:hAnsi="Arial"/>
                <w:b/>
                <w:color w:val="FFFFFF"/>
                <w:sz w:val="16"/>
              </w:rPr>
              <w:t>Layer</w:t>
            </w:r>
          </w:p>
        </w:tc>
        <w:tc>
          <w:tcPr>
            <w:tcW w:type="dxa" w:w="2592"/>
            <w:shd w:fill="C00000"/>
          </w:tcPr>
          <w:p>
            <w:r>
              <w:rPr>
                <w:rFonts w:ascii="Arial" w:hAnsi="Arial"/>
                <w:b/>
                <w:color w:val="FFFFFF"/>
                <w:sz w:val="16"/>
              </w:rPr>
              <w:t>Performed by</w:t>
            </w:r>
          </w:p>
        </w:tc>
        <w:tc>
          <w:tcPr>
            <w:tcW w:type="dxa" w:w="4464"/>
            <w:shd w:fill="C00000"/>
          </w:tcPr>
          <w:p>
            <w:r>
              <w:rPr>
                <w:rFonts w:ascii="Arial" w:hAnsi="Arial"/>
                <w:b/>
                <w:color w:val="FFFFFF"/>
                <w:sz w:val="16"/>
              </w:rPr>
              <w:t>Purpose</w:t>
            </w:r>
          </w:p>
        </w:tc>
        <w:tc>
          <w:tcPr>
            <w:tcW w:type="dxa" w:w="2448"/>
            <w:shd w:fill="C00000"/>
          </w:tcPr>
          <w:p>
            <w:r>
              <w:rPr>
                <w:rFonts w:ascii="Arial" w:hAnsi="Arial"/>
                <w:b/>
                <w:color w:val="FFFFFF"/>
                <w:sz w:val="16"/>
              </w:rPr>
              <w:t>Typical evidence</w:t>
            </w:r>
          </w:p>
        </w:tc>
      </w:tr>
      <w:tr>
        <w:tc>
          <w:tcPr>
            <w:tcW w:type="dxa" w:w="2736"/>
            <w:vAlign w:val="top"/>
          </w:tcPr>
          <w:p>
            <w:pPr>
              <w:spacing w:after="20"/>
            </w:pPr>
            <w:r>
              <w:rPr>
                <w:rFonts w:ascii="Arial" w:hAnsi="Arial"/>
                <w:sz w:val="16"/>
              </w:rPr>
              <w:t>Provider Controls</w:t>
            </w:r>
          </w:p>
        </w:tc>
        <w:tc>
          <w:tcPr>
            <w:tcW w:type="dxa" w:w="2592"/>
            <w:vAlign w:val="top"/>
          </w:tcPr>
          <w:p>
            <w:pPr>
              <w:spacing w:after="20"/>
            </w:pPr>
            <w:r>
              <w:rPr>
                <w:rFonts w:ascii="Arial" w:hAnsi="Arial"/>
                <w:sz w:val="16"/>
              </w:rPr>
              <w:t>DTA Provider</w:t>
            </w:r>
          </w:p>
        </w:tc>
        <w:tc>
          <w:tcPr>
            <w:tcW w:type="dxa" w:w="4464"/>
            <w:vAlign w:val="top"/>
          </w:tcPr>
          <w:p>
            <w:pPr>
              <w:spacing w:after="20"/>
            </w:pPr>
            <w:r>
              <w:rPr>
                <w:rFonts w:ascii="Arial" w:hAnsi="Arial"/>
                <w:sz w:val="16"/>
              </w:rPr>
              <w:t>Operate the DTA process and prevent/detect errors or unauthorized activity.</w:t>
            </w:r>
          </w:p>
        </w:tc>
        <w:tc>
          <w:tcPr>
            <w:tcW w:type="dxa" w:w="2448"/>
            <w:vAlign w:val="top"/>
          </w:tcPr>
          <w:p>
            <w:pPr>
              <w:spacing w:after="20"/>
            </w:pPr>
            <w:r>
              <w:rPr>
                <w:rFonts w:ascii="Arial" w:hAnsi="Arial"/>
                <w:sz w:val="16"/>
              </w:rPr>
              <w:t>System logs, primary reconciliations, approvals, exceptions, attestations</w:t>
            </w:r>
          </w:p>
        </w:tc>
      </w:tr>
      <w:tr>
        <w:tc>
          <w:tcPr>
            <w:tcW w:type="dxa" w:w="2736"/>
            <w:vAlign w:val="top"/>
          </w:tcPr>
          <w:p>
            <w:pPr>
              <w:spacing w:after="20"/>
            </w:pPr>
            <w:r>
              <w:rPr>
                <w:rFonts w:ascii="Arial" w:hAnsi="Arial"/>
                <w:sz w:val="16"/>
              </w:rPr>
              <w:t>The-Bank Oversight &amp; Targeted Independent Verification</w:t>
            </w:r>
          </w:p>
        </w:tc>
        <w:tc>
          <w:tcPr>
            <w:tcW w:type="dxa" w:w="2592"/>
            <w:vAlign w:val="top"/>
          </w:tcPr>
          <w:p>
            <w:pPr>
              <w:spacing w:after="20"/>
            </w:pPr>
            <w:r>
              <w:rPr>
                <w:rFonts w:ascii="Arial" w:hAnsi="Arial"/>
                <w:sz w:val="16"/>
              </w:rPr>
              <w:t>The-Bank</w:t>
            </w:r>
          </w:p>
        </w:tc>
        <w:tc>
          <w:tcPr>
            <w:tcW w:type="dxa" w:w="4464"/>
            <w:vAlign w:val="top"/>
          </w:tcPr>
          <w:p>
            <w:pPr>
              <w:spacing w:after="20"/>
            </w:pPr>
            <w:r>
              <w:rPr>
                <w:rFonts w:ascii="Arial" w:hAnsi="Arial"/>
                <w:sz w:val="16"/>
              </w:rPr>
              <w:t>Assess service outcomes, challenge exceptions and independently verify selected critical outcomes.</w:t>
            </w:r>
          </w:p>
        </w:tc>
        <w:tc>
          <w:tcPr>
            <w:tcW w:type="dxa" w:w="2448"/>
            <w:vAlign w:val="top"/>
          </w:tcPr>
          <w:p>
            <w:pPr>
              <w:spacing w:after="20"/>
            </w:pPr>
            <w:r>
              <w:rPr>
                <w:rFonts w:ascii="Arial" w:hAnsi="Arial"/>
                <w:sz w:val="16"/>
              </w:rPr>
              <w:t>KPI/KRI, independent checks, exception review, governance decisions, remediation tracking</w:t>
            </w:r>
          </w:p>
        </w:tc>
      </w:tr>
      <w:tr>
        <w:tc>
          <w:tcPr>
            <w:tcW w:type="dxa" w:w="2736"/>
            <w:vAlign w:val="top"/>
          </w:tcPr>
          <w:p>
            <w:pPr>
              <w:spacing w:after="20"/>
            </w:pPr>
            <w:r>
              <w:rPr>
                <w:rFonts w:ascii="Arial" w:hAnsi="Arial"/>
                <w:sz w:val="16"/>
              </w:rPr>
              <w:t>Independent Assurance</w:t>
            </w:r>
          </w:p>
        </w:tc>
        <w:tc>
          <w:tcPr>
            <w:tcW w:type="dxa" w:w="2592"/>
            <w:vAlign w:val="top"/>
          </w:tcPr>
          <w:p>
            <w:pPr>
              <w:spacing w:after="20"/>
            </w:pPr>
            <w:r>
              <w:rPr>
                <w:rFonts w:ascii="Arial" w:hAnsi="Arial"/>
                <w:sz w:val="16"/>
              </w:rPr>
              <w:t>Internal Audit / external assurance / regulator</w:t>
            </w:r>
          </w:p>
        </w:tc>
        <w:tc>
          <w:tcPr>
            <w:tcW w:type="dxa" w:w="4464"/>
            <w:vAlign w:val="top"/>
          </w:tcPr>
          <w:p>
            <w:pPr>
              <w:spacing w:after="20"/>
            </w:pPr>
            <w:r>
              <w:rPr>
                <w:rFonts w:ascii="Arial" w:hAnsi="Arial"/>
                <w:sz w:val="16"/>
              </w:rPr>
              <w:t>Provide objective evidence over control design and/or operating effectiveness.</w:t>
            </w:r>
          </w:p>
        </w:tc>
        <w:tc>
          <w:tcPr>
            <w:tcW w:type="dxa" w:w="2448"/>
            <w:vAlign w:val="top"/>
          </w:tcPr>
          <w:p>
            <w:pPr>
              <w:spacing w:after="20"/>
            </w:pPr>
            <w:r>
              <w:rPr>
                <w:rFonts w:ascii="Arial" w:hAnsi="Arial"/>
                <w:sz w:val="16"/>
              </w:rPr>
              <w:t>SOC 1/2, audits, security assessments, regulatory reviews, smart-contract assessments</w:t>
            </w:r>
          </w:p>
        </w:tc>
      </w:tr>
    </w:tbl>
    <w:p/>
    <w:tbl>
      <w:tblPr>
        <w:tblStyle w:val="TableGrid"/>
        <w:tblW w:type="auto" w:w="0"/>
        <w:tblLook w:firstColumn="1" w:firstRow="1" w:lastColumn="0" w:lastRow="0" w:noHBand="0" w:noVBand="1" w:val="04A0"/>
      </w:tblPr>
      <w:tblGrid>
        <w:gridCol w:w="10166"/>
      </w:tblGrid>
      <w:tr>
        <w:tc>
          <w:tcPr>
            <w:tcW w:type="dxa" w:w="10166"/>
            <w:shd w:fill="FFF2F2"/>
          </w:tcPr>
          <w:p>
            <w:pPr>
              <w:pStyle w:val="Callout"/>
              <w:spacing w:after="40"/>
            </w:pPr>
            <w:r>
              <w:t>The-Bank should rely on provider controls where evidence is sufficient, but independently verify outcomes that could create material investor, legal, operational or token-integrity risk.</w:t>
            </w:r>
          </w:p>
        </w:tc>
      </w:tr>
    </w:tbl>
    <w:p/>
    <w:p>
      <w:pPr>
        <w:pStyle w:val="Heading1"/>
      </w:pPr>
      <w:r>
        <w:t>2. Purpose and Objectives</w:t>
      </w:r>
    </w:p>
    <w:p>
      <w:pPr>
        <w:pStyle w:val="ListBullet"/>
        <w:spacing w:after="40"/>
      </w:pPr>
      <w:r>
        <w:t>Prevent unnecessary duplication of provider operations while preserving effective challenge.</w:t>
      </w:r>
    </w:p>
    <w:p>
      <w:pPr>
        <w:pStyle w:val="ListBullet"/>
        <w:spacing w:after="40"/>
      </w:pPr>
      <w:r>
        <w:t>Define minimum service, risk, control, evidence and reporting expectations.</w:t>
      </w:r>
    </w:p>
    <w:p>
      <w:pPr>
        <w:pStyle w:val="ListBullet"/>
        <w:spacing w:after="40"/>
      </w:pPr>
      <w:r>
        <w:t>Define accountability and escalation for material incidents, reconciliation breaks, control failures and material changes.</w:t>
      </w:r>
    </w:p>
    <w:p>
      <w:pPr>
        <w:pStyle w:val="ListBullet"/>
        <w:spacing w:after="40"/>
      </w:pPr>
      <w:r>
        <w:t>Establish the Authoritative Record Model (ARM) as a mandatory pre-go-live business/legal decision.</w:t>
      </w:r>
    </w:p>
    <w:p>
      <w:pPr>
        <w:pStyle w:val="ListBullet"/>
        <w:spacing w:after="40"/>
      </w:pPr>
      <w:r>
        <w:t>Define when provider controls may be relied upon and when targeted independent verification is required.</w:t>
      </w:r>
    </w:p>
    <w:p>
      <w:pPr>
        <w:pStyle w:val="ListBullet"/>
        <w:spacing w:after="40"/>
      </w:pPr>
      <w:r>
        <w:t>Provide a basis for contracts, service schedules, due diligence, SLA/KRI design, assurance reviews and governance forums.</w:t>
      </w:r>
    </w:p>
    <w:p>
      <w:pPr>
        <w:pStyle w:val="ListBullet"/>
        <w:spacing w:after="40"/>
      </w:pPr>
      <w:r>
        <w:t>Create a scalable model that can be applied to additional tokenized funds, chains, products or jurisdictions.</w:t>
      </w:r>
    </w:p>
    <w:p>
      <w:pPr>
        <w:pStyle w:val="Heading1"/>
      </w:pPr>
      <w:r>
        <w:t>3. Scope, Assumptions and Out of Scope</w:t>
      </w:r>
    </w:p>
    <w:p>
      <w:pPr>
        <w:pStyle w:val="Heading2"/>
      </w:pPr>
      <w:r>
        <w:t>3.1 In scope</w:t>
      </w:r>
    </w:p>
    <w:p>
      <w:pPr>
        <w:pStyle w:val="ListBullet"/>
        <w:spacing w:after="40"/>
      </w:pPr>
      <w:r>
        <w:t>Transfer-agent service performance and record integrity.</w:t>
      </w:r>
    </w:p>
    <w:p>
      <w:pPr>
        <w:pStyle w:val="ListBullet"/>
        <w:spacing w:after="40"/>
      </w:pPr>
      <w:r>
        <w:t>Subscriptions, issuance/minting, transfers, redemptions and burns where in the provider mandate.</w:t>
      </w:r>
    </w:p>
    <w:p>
      <w:pPr>
        <w:pStyle w:val="ListBullet"/>
        <w:spacing w:after="40"/>
      </w:pPr>
      <w:r>
        <w:t>Investor/securityholder register records and related token records.</w:t>
      </w:r>
    </w:p>
    <w:p>
      <w:pPr>
        <w:pStyle w:val="ListBullet"/>
        <w:spacing w:after="40"/>
      </w:pPr>
      <w:r>
        <w:t>Provider primary reconciliation and The-Bank targeted independent verification.</w:t>
      </w:r>
    </w:p>
    <w:p>
      <w:pPr>
        <w:pStyle w:val="ListBullet"/>
        <w:spacing w:after="40"/>
      </w:pPr>
      <w:r>
        <w:t>Service availability, incidents, exceptions, material changes and resilience.</w:t>
      </w:r>
    </w:p>
    <w:p>
      <w:pPr>
        <w:pStyle w:val="ListBullet"/>
        <w:spacing w:after="40"/>
      </w:pPr>
      <w:r>
        <w:t>Security, privileged access, key-management and smart-contract governance relevant to the service.</w:t>
      </w:r>
    </w:p>
    <w:p>
      <w:pPr>
        <w:pStyle w:val="ListBullet"/>
        <w:spacing w:after="40"/>
      </w:pPr>
      <w:r>
        <w:t>Blockchain/network due diligence and material network changes.</w:t>
      </w:r>
    </w:p>
    <w:p>
      <w:pPr>
        <w:pStyle w:val="ListBullet"/>
        <w:spacing w:after="40"/>
      </w:pPr>
      <w:r>
        <w:t>Critical subcontractors/fourth parties and technology dependencies.</w:t>
      </w:r>
    </w:p>
    <w:p>
      <w:pPr>
        <w:pStyle w:val="ListBullet"/>
        <w:spacing w:after="40"/>
      </w:pPr>
      <w:r>
        <w:t>Regulatory status, assurance reports, control attestations and remediation.</w:t>
      </w:r>
    </w:p>
    <w:p>
      <w:pPr>
        <w:pStyle w:val="ListBullet"/>
        <w:spacing w:after="40"/>
      </w:pPr>
      <w:r>
        <w:t>Exit, transition and data/record portability.</w:t>
      </w:r>
    </w:p>
    <w:p>
      <w:pPr>
        <w:pStyle w:val="Heading2"/>
      </w:pPr>
      <w:r>
        <w:t>3.2 Out of scope</w:t>
      </w:r>
    </w:p>
    <w:p>
      <w:pPr>
        <w:pStyle w:val="ListBullet"/>
        <w:spacing w:after="40"/>
      </w:pPr>
      <w:r>
        <w:t>Re-performing every provider transaction or maintaining a shadow transfer-agent operation.</w:t>
      </w:r>
    </w:p>
    <w:p>
      <w:pPr>
        <w:pStyle w:val="ListBullet"/>
        <w:spacing w:after="40"/>
      </w:pPr>
      <w:r>
        <w:t>Defining the legal characterization of a specific token, security or fund.</w:t>
      </w:r>
    </w:p>
    <w:p>
      <w:pPr>
        <w:pStyle w:val="ListBullet"/>
        <w:spacing w:after="40"/>
      </w:pPr>
      <w:r>
        <w:t>Replacing enterprise-wide TPRM, cyber, legal, compliance, procurement or operational-risk frameworks.</w:t>
      </w:r>
    </w:p>
    <w:p>
      <w:pPr>
        <w:pStyle w:val="ListBullet"/>
        <w:spacing w:after="40"/>
      </w:pPr>
      <w:r>
        <w:t>Defining detailed technical architecture, implementation code, product schemas or platform deployment design.</w:t>
      </w:r>
    </w:p>
    <w:p>
      <w:pPr>
        <w:pStyle w:val="ListBullet"/>
        <w:spacing w:after="40"/>
      </w:pPr>
      <w:r>
        <w:t>Detailed investment-product governance outside the DTA service.</w:t>
      </w:r>
    </w:p>
    <w:p>
      <w:pPr>
        <w:pStyle w:val="Heading2"/>
      </w:pPr>
      <w:r>
        <w:t>3.3 Key assumptions</w:t>
      </w:r>
    </w:p>
    <w:p>
      <w:pPr>
        <w:pStyle w:val="ListBullet"/>
        <w:spacing w:after="40"/>
      </w:pPr>
      <w:r>
        <w:t>The appointed DTA Provider performs the agreed DTA/transfer-agent service under contract.</w:t>
      </w:r>
    </w:p>
    <w:p>
      <w:pPr>
        <w:pStyle w:val="ListBullet"/>
        <w:spacing w:after="40"/>
      </w:pPr>
      <w:r>
        <w:t>The legally authoritative books-and-records model is explicitly defined in product/legal documentation.</w:t>
      </w:r>
    </w:p>
    <w:p>
      <w:pPr>
        <w:pStyle w:val="ListBullet"/>
        <w:spacing w:after="40"/>
      </w:pPr>
      <w:r>
        <w:t>KYC/AML, sanctions, wallet eligibility, custody, cash settlement and distribution responsibilities are explicitly allocated.</w:t>
      </w:r>
    </w:p>
    <w:p>
      <w:pPr>
        <w:pStyle w:val="ListBullet"/>
        <w:spacing w:after="40"/>
      </w:pPr>
      <w:r>
        <w:t>The-Bank has contractual access to reporting, data, evidence, audit rights and notifications required to operate this standard.</w:t>
      </w:r>
    </w:p>
    <w:p>
      <w:pPr>
        <w:pStyle w:val="Heading1"/>
      </w:pPr>
      <w:r>
        <w:t>4. Regulatory and Standards Basis</w:t>
      </w:r>
    </w:p>
    <w:p>
      <w:r>
        <w:t>There is no single globally adopted DTA oversight standard. This standard uses established third-party-risk, transfer-agent, assurance and tokenization/DLT principles as control-design anchors. Legal and Compliance determine actual applicability for the contracting entity, product and jurisdictions.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320"/>
            <w:shd w:fill="C00000"/>
          </w:tcPr>
          <w:p>
            <w:r>
              <w:rPr>
                <w:rFonts w:ascii="Arial" w:hAnsi="Arial"/>
                <w:b/>
                <w:color w:val="FFFFFF"/>
                <w:sz w:val="16"/>
              </w:rPr>
              <w:t>Reference / Anchor</w:t>
            </w:r>
          </w:p>
        </w:tc>
        <w:tc>
          <w:tcPr>
            <w:tcW w:type="dxa" w:w="7200"/>
            <w:shd w:fill="C00000"/>
          </w:tcPr>
          <w:p>
            <w:r>
              <w:rPr>
                <w:rFonts w:ascii="Arial" w:hAnsi="Arial"/>
                <w:b/>
                <w:color w:val="FFFFFF"/>
                <w:sz w:val="16"/>
              </w:rPr>
              <w:t>Use in this standard</w:t>
            </w:r>
          </w:p>
        </w:tc>
      </w:tr>
      <w:tr>
        <w:tc>
          <w:tcPr>
            <w:tcW w:type="dxa" w:w="4320"/>
            <w:vAlign w:val="top"/>
          </w:tcPr>
          <w:p>
            <w:pPr>
              <w:spacing w:after="20"/>
            </w:pPr>
            <w:r>
              <w:rPr>
                <w:rFonts w:ascii="Arial" w:hAnsi="Arial"/>
                <w:sz w:val="16"/>
              </w:rPr>
              <w:t>BCBS Principles for the Sound Management of Third-Party Risk (2025)</w:t>
            </w:r>
          </w:p>
        </w:tc>
        <w:tc>
          <w:tcPr>
            <w:tcW w:type="dxa" w:w="7200"/>
            <w:vAlign w:val="top"/>
          </w:tcPr>
          <w:p>
            <w:pPr>
              <w:spacing w:after="20"/>
            </w:pPr>
            <w:r>
              <w:rPr>
                <w:rFonts w:ascii="Arial" w:hAnsi="Arial"/>
                <w:sz w:val="16"/>
              </w:rPr>
              <w:t>Umbrella lifecycle framework: governance, due diligence, contracting, monitoring, dependencies, resilience and exit.</w:t>
            </w:r>
          </w:p>
        </w:tc>
      </w:tr>
      <w:tr>
        <w:tc>
          <w:tcPr>
            <w:tcW w:type="dxa" w:w="4320"/>
            <w:vAlign w:val="top"/>
          </w:tcPr>
          <w:p>
            <w:pPr>
              <w:spacing w:after="20"/>
            </w:pPr>
            <w:r>
              <w:rPr>
                <w:rFonts w:ascii="Arial" w:hAnsi="Arial"/>
                <w:sz w:val="16"/>
              </w:rPr>
              <w:t>SEC transfer-agent framework, including Rules 17Ad-6 / 17Ad-7 where applicable</w:t>
            </w:r>
          </w:p>
        </w:tc>
        <w:tc>
          <w:tcPr>
            <w:tcW w:type="dxa" w:w="7200"/>
            <w:vAlign w:val="top"/>
          </w:tcPr>
          <w:p>
            <w:pPr>
              <w:spacing w:after="20"/>
            </w:pPr>
            <w:r>
              <w:rPr>
                <w:rFonts w:ascii="Arial" w:hAnsi="Arial"/>
                <w:sz w:val="16"/>
              </w:rPr>
              <w:t>Books-and-records and record-preservation design anchor.</w:t>
            </w:r>
          </w:p>
        </w:tc>
      </w:tr>
      <w:tr>
        <w:tc>
          <w:tcPr>
            <w:tcW w:type="dxa" w:w="4320"/>
            <w:vAlign w:val="top"/>
          </w:tcPr>
          <w:p>
            <w:pPr>
              <w:spacing w:after="20"/>
            </w:pPr>
            <w:r>
              <w:rPr>
                <w:rFonts w:ascii="Arial" w:hAnsi="Arial"/>
                <w:sz w:val="16"/>
              </w:rPr>
              <w:t>SEC Rule 17Ad-13 context where applicable</w:t>
            </w:r>
          </w:p>
        </w:tc>
        <w:tc>
          <w:tcPr>
            <w:tcW w:type="dxa" w:w="7200"/>
            <w:vAlign w:val="top"/>
          </w:tcPr>
          <w:p>
            <w:pPr>
              <w:spacing w:after="20"/>
            </w:pPr>
            <w:r>
              <w:rPr>
                <w:rFonts w:ascii="Arial" w:hAnsi="Arial"/>
                <w:sz w:val="16"/>
              </w:rPr>
              <w:t>Independent evaluation/remediation of transfer-agent internal-control deficiencies.</w:t>
            </w:r>
          </w:p>
        </w:tc>
      </w:tr>
      <w:tr>
        <w:tc>
          <w:tcPr>
            <w:tcW w:type="dxa" w:w="4320"/>
            <w:vAlign w:val="top"/>
          </w:tcPr>
          <w:p>
            <w:pPr>
              <w:spacing w:after="20"/>
            </w:pPr>
            <w:r>
              <w:rPr>
                <w:rFonts w:ascii="Arial" w:hAnsi="Arial"/>
                <w:sz w:val="16"/>
              </w:rPr>
              <w:t>FINRA Regulatory Notice 21-29 where relevant</w:t>
            </w:r>
          </w:p>
        </w:tc>
        <w:tc>
          <w:tcPr>
            <w:tcW w:type="dxa" w:w="7200"/>
            <w:vAlign w:val="top"/>
          </w:tcPr>
          <w:p>
            <w:pPr>
              <w:spacing w:after="20"/>
            </w:pPr>
            <w:r>
              <w:rPr>
                <w:rFonts w:ascii="Arial" w:hAnsi="Arial"/>
                <w:sz w:val="16"/>
              </w:rPr>
              <w:t>Outsourcing does not eliminate supervisory responsibility.</w:t>
            </w:r>
          </w:p>
        </w:tc>
      </w:tr>
      <w:tr>
        <w:tc>
          <w:tcPr>
            <w:tcW w:type="dxa" w:w="4320"/>
            <w:vAlign w:val="top"/>
          </w:tcPr>
          <w:p>
            <w:pPr>
              <w:spacing w:after="20"/>
            </w:pPr>
            <w:r>
              <w:rPr>
                <w:rFonts w:ascii="Arial" w:hAnsi="Arial"/>
                <w:sz w:val="16"/>
              </w:rPr>
              <w:t>SOC 1 / SOC 2 / ISO 27001 where available</w:t>
            </w:r>
          </w:p>
        </w:tc>
        <w:tc>
          <w:tcPr>
            <w:tcW w:type="dxa" w:w="7200"/>
            <w:vAlign w:val="top"/>
          </w:tcPr>
          <w:p>
            <w:pPr>
              <w:spacing w:after="20"/>
            </w:pPr>
            <w:r>
              <w:rPr>
                <w:rFonts w:ascii="Arial" w:hAnsi="Arial"/>
                <w:sz w:val="16"/>
              </w:rPr>
              <w:t>Independent assurance inputs; scope and relevance must be assessed.</w:t>
            </w:r>
          </w:p>
        </w:tc>
      </w:tr>
      <w:tr>
        <w:tc>
          <w:tcPr>
            <w:tcW w:type="dxa" w:w="4320"/>
            <w:vAlign w:val="top"/>
          </w:tcPr>
          <w:p>
            <w:pPr>
              <w:spacing w:after="20"/>
            </w:pPr>
            <w:r>
              <w:rPr>
                <w:rFonts w:ascii="Arial" w:hAnsi="Arial"/>
                <w:sz w:val="16"/>
              </w:rPr>
              <w:t>IOSCO Tokenization of Financial Assets (2025)</w:t>
            </w:r>
          </w:p>
        </w:tc>
        <w:tc>
          <w:tcPr>
            <w:tcW w:type="dxa" w:w="7200"/>
            <w:vAlign w:val="top"/>
          </w:tcPr>
          <w:p>
            <w:pPr>
              <w:spacing w:after="20"/>
            </w:pPr>
            <w:r>
              <w:rPr>
                <w:rFonts w:ascii="Arial" w:hAnsi="Arial"/>
                <w:sz w:val="16"/>
              </w:rPr>
              <w:t>Tokenization/DLT risk lens for legal record, market integrity, technology and investor protection.</w:t>
            </w:r>
          </w:p>
        </w:tc>
      </w:tr>
      <w:tr>
        <w:tc>
          <w:tcPr>
            <w:tcW w:type="dxa" w:w="4320"/>
            <w:vAlign w:val="top"/>
          </w:tcPr>
          <w:p>
            <w:pPr>
              <w:spacing w:after="20"/>
            </w:pPr>
            <w:r>
              <w:rPr>
                <w:rFonts w:ascii="Arial" w:hAnsi="Arial"/>
                <w:sz w:val="16"/>
              </w:rPr>
              <w:t>The-Bank policies</w:t>
            </w:r>
          </w:p>
        </w:tc>
        <w:tc>
          <w:tcPr>
            <w:tcW w:type="dxa" w:w="7200"/>
            <w:vAlign w:val="top"/>
          </w:tcPr>
          <w:p>
            <w:pPr>
              <w:spacing w:after="20"/>
            </w:pPr>
            <w:r>
              <w:rPr>
                <w:rFonts w:ascii="Arial" w:hAnsi="Arial"/>
                <w:sz w:val="16"/>
              </w:rPr>
              <w:t>Binding internal requirements for outsourcing, cyber, resilience, operational risk, compliance and records management.</w:t>
            </w:r>
          </w:p>
        </w:tc>
      </w:tr>
    </w:tbl>
    <w:p/>
    <w:p>
      <w:pPr>
        <w:pStyle w:val="Heading1"/>
      </w:pPr>
      <w:r>
        <w:t>5. Oversight Principles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C00000"/>
          </w:tcPr>
          <w:p>
            <w:r>
              <w:rPr>
                <w:rFonts w:ascii="Arial" w:hAnsi="Arial"/>
                <w:b/>
                <w:color w:val="FFFFFF"/>
                <w:sz w:val="16"/>
              </w:rPr>
              <w:t>Principle</w:t>
            </w:r>
          </w:p>
        </w:tc>
        <w:tc>
          <w:tcPr>
            <w:tcW w:type="dxa" w:w="8640"/>
            <w:shd w:fill="C00000"/>
          </w:tcPr>
          <w:p>
            <w:r>
              <w:rPr>
                <w:rFonts w:ascii="Arial" w:hAnsi="Arial"/>
                <w:b/>
                <w:color w:val="FFFFFF"/>
                <w:sz w:val="16"/>
              </w:rPr>
              <w:t>Expectation</w:t>
            </w:r>
          </w:p>
        </w:tc>
      </w:tr>
      <w:tr>
        <w:tc>
          <w:tcPr>
            <w:tcW w:type="dxa" w:w="2880"/>
            <w:vAlign w:val="top"/>
          </w:tcPr>
          <w:p>
            <w:pPr>
              <w:spacing w:after="20"/>
            </w:pPr>
            <w:r>
              <w:rPr>
                <w:rFonts w:ascii="Arial" w:hAnsi="Arial"/>
                <w:sz w:val="16"/>
              </w:rPr>
              <w:t>Accountability is retained</w:t>
            </w:r>
          </w:p>
        </w:tc>
        <w:tc>
          <w:tcPr>
            <w:tcW w:type="dxa" w:w="8640"/>
            <w:vAlign w:val="top"/>
          </w:tcPr>
          <w:p>
            <w:pPr>
              <w:spacing w:after="20"/>
            </w:pPr>
            <w:r>
              <w:rPr>
                <w:rFonts w:ascii="Arial" w:hAnsi="Arial"/>
                <w:sz w:val="16"/>
              </w:rPr>
              <w:t>The-Bank retains accountability for effective oversight within its regulatory and policy perimeter.</w:t>
            </w:r>
          </w:p>
        </w:tc>
      </w:tr>
      <w:tr>
        <w:tc>
          <w:tcPr>
            <w:tcW w:type="dxa" w:w="2880"/>
            <w:vAlign w:val="top"/>
          </w:tcPr>
          <w:p>
            <w:pPr>
              <w:spacing w:after="20"/>
            </w:pPr>
            <w:r>
              <w:rPr>
                <w:rFonts w:ascii="Arial" w:hAnsi="Arial"/>
                <w:sz w:val="16"/>
              </w:rPr>
              <w:t>Provider operates; The-Bank oversees</w:t>
            </w:r>
          </w:p>
        </w:tc>
        <w:tc>
          <w:tcPr>
            <w:tcW w:type="dxa" w:w="8640"/>
            <w:vAlign w:val="top"/>
          </w:tcPr>
          <w:p>
            <w:pPr>
              <w:spacing w:after="20"/>
            </w:pPr>
            <w:r>
              <w:rPr>
                <w:rFonts w:ascii="Arial" w:hAnsi="Arial"/>
                <w:sz w:val="16"/>
              </w:rPr>
              <w:t>Provider executes DTA operations and primary controls; The-Bank does not recreate the TA.</w:t>
            </w:r>
          </w:p>
        </w:tc>
      </w:tr>
      <w:tr>
        <w:tc>
          <w:tcPr>
            <w:tcW w:type="dxa" w:w="2880"/>
            <w:vAlign w:val="top"/>
          </w:tcPr>
          <w:p>
            <w:pPr>
              <w:spacing w:after="20"/>
            </w:pPr>
            <w:r>
              <w:rPr>
                <w:rFonts w:ascii="Arial" w:hAnsi="Arial"/>
                <w:sz w:val="16"/>
              </w:rPr>
              <w:t>Authoritative record is explicit</w:t>
            </w:r>
          </w:p>
        </w:tc>
        <w:tc>
          <w:tcPr>
            <w:tcW w:type="dxa" w:w="8640"/>
            <w:vAlign w:val="top"/>
          </w:tcPr>
          <w:p>
            <w:pPr>
              <w:spacing w:after="20"/>
            </w:pPr>
            <w:r>
              <w:rPr>
                <w:rFonts w:ascii="Arial" w:hAnsi="Arial"/>
                <w:sz w:val="16"/>
              </w:rPr>
              <w:t>The legal/authoritative register and relationship to on-chain state must be unambiguous and approved.</w:t>
            </w:r>
          </w:p>
        </w:tc>
      </w:tr>
      <w:tr>
        <w:tc>
          <w:tcPr>
            <w:tcW w:type="dxa" w:w="2880"/>
            <w:vAlign w:val="top"/>
          </w:tcPr>
          <w:p>
            <w:pPr>
              <w:spacing w:after="20"/>
            </w:pPr>
            <w:r>
              <w:rPr>
                <w:rFonts w:ascii="Arial" w:hAnsi="Arial"/>
                <w:sz w:val="16"/>
              </w:rPr>
              <w:t>Rely, but verify</w:t>
            </w:r>
          </w:p>
        </w:tc>
        <w:tc>
          <w:tcPr>
            <w:tcW w:type="dxa" w:w="8640"/>
            <w:vAlign w:val="top"/>
          </w:tcPr>
          <w:p>
            <w:pPr>
              <w:spacing w:after="20"/>
            </w:pPr>
            <w:r>
              <w:rPr>
                <w:rFonts w:ascii="Arial" w:hAnsi="Arial"/>
                <w:sz w:val="16"/>
              </w:rPr>
              <w:t>Provider controls are relied upon where evidence is sufficient; selected critical outcomes are independently verified.</w:t>
            </w:r>
          </w:p>
        </w:tc>
      </w:tr>
      <w:tr>
        <w:tc>
          <w:tcPr>
            <w:tcW w:type="dxa" w:w="2880"/>
            <w:vAlign w:val="top"/>
          </w:tcPr>
          <w:p>
            <w:pPr>
              <w:spacing w:after="20"/>
            </w:pPr>
            <w:r>
              <w:rPr>
                <w:rFonts w:ascii="Arial" w:hAnsi="Arial"/>
                <w:sz w:val="16"/>
              </w:rPr>
              <w:t>Zero tolerance for integrity events</w:t>
            </w:r>
          </w:p>
        </w:tc>
        <w:tc>
          <w:tcPr>
            <w:tcW w:type="dxa" w:w="8640"/>
            <w:vAlign w:val="top"/>
          </w:tcPr>
          <w:p>
            <w:pPr>
              <w:spacing w:after="20"/>
            </w:pPr>
            <w:r>
              <w:rPr>
                <w:rFonts w:ascii="Arial" w:hAnsi="Arial"/>
                <w:sz w:val="16"/>
              </w:rPr>
              <w:t>Unauthorized supply change, unexplained ownership/supply mismatch and privileged-key compromise are critical events.</w:t>
            </w:r>
          </w:p>
        </w:tc>
      </w:tr>
      <w:tr>
        <w:tc>
          <w:tcPr>
            <w:tcW w:type="dxa" w:w="2880"/>
            <w:vAlign w:val="top"/>
          </w:tcPr>
          <w:p>
            <w:pPr>
              <w:spacing w:after="20"/>
            </w:pPr>
            <w:r>
              <w:rPr>
                <w:rFonts w:ascii="Arial" w:hAnsi="Arial"/>
                <w:sz w:val="16"/>
              </w:rPr>
              <w:t>Evidence over assertion</w:t>
            </w:r>
          </w:p>
        </w:tc>
        <w:tc>
          <w:tcPr>
            <w:tcW w:type="dxa" w:w="8640"/>
            <w:vAlign w:val="top"/>
          </w:tcPr>
          <w:p>
            <w:pPr>
              <w:spacing w:after="20"/>
            </w:pPr>
            <w:r>
              <w:rPr>
                <w:rFonts w:ascii="Arial" w:hAnsi="Arial"/>
                <w:sz w:val="16"/>
              </w:rPr>
              <w:t>Material controls and decisions require retrievable, attributable evidence.</w:t>
            </w:r>
          </w:p>
        </w:tc>
      </w:tr>
      <w:tr>
        <w:tc>
          <w:tcPr>
            <w:tcW w:type="dxa" w:w="2880"/>
            <w:vAlign w:val="top"/>
          </w:tcPr>
          <w:p>
            <w:pPr>
              <w:spacing w:after="20"/>
            </w:pPr>
            <w:r>
              <w:rPr>
                <w:rFonts w:ascii="Arial" w:hAnsi="Arial"/>
                <w:sz w:val="16"/>
              </w:rPr>
              <w:t>Proportionality</w:t>
            </w:r>
          </w:p>
        </w:tc>
        <w:tc>
          <w:tcPr>
            <w:tcW w:type="dxa" w:w="8640"/>
            <w:vAlign w:val="top"/>
          </w:tcPr>
          <w:p>
            <w:pPr>
              <w:spacing w:after="20"/>
            </w:pPr>
            <w:r>
              <w:rPr>
                <w:rFonts w:ascii="Arial" w:hAnsi="Arial"/>
                <w:sz w:val="16"/>
              </w:rPr>
              <w:t>Oversight depth scales to service criticality, complexity, volume, regulatory impact and dependency risk.</w:t>
            </w:r>
          </w:p>
        </w:tc>
      </w:tr>
      <w:tr>
        <w:tc>
          <w:tcPr>
            <w:tcW w:type="dxa" w:w="2880"/>
            <w:vAlign w:val="top"/>
          </w:tcPr>
          <w:p>
            <w:pPr>
              <w:spacing w:after="20"/>
            </w:pPr>
            <w:r>
              <w:rPr>
                <w:rFonts w:ascii="Arial" w:hAnsi="Arial"/>
                <w:sz w:val="16"/>
              </w:rPr>
              <w:t>Change is risk</w:t>
            </w:r>
          </w:p>
        </w:tc>
        <w:tc>
          <w:tcPr>
            <w:tcW w:type="dxa" w:w="8640"/>
            <w:vAlign w:val="top"/>
          </w:tcPr>
          <w:p>
            <w:pPr>
              <w:spacing w:after="20"/>
            </w:pPr>
            <w:r>
              <w:rPr>
                <w:rFonts w:ascii="Arial" w:hAnsi="Arial"/>
                <w:sz w:val="16"/>
              </w:rPr>
              <w:t>Material smart-contract, blockchain, key-management, custody, provider or ARM changes require structured assessment.</w:t>
            </w:r>
          </w:p>
        </w:tc>
      </w:tr>
      <w:tr>
        <w:tc>
          <w:tcPr>
            <w:tcW w:type="dxa" w:w="2880"/>
            <w:vAlign w:val="top"/>
          </w:tcPr>
          <w:p>
            <w:pPr>
              <w:spacing w:after="20"/>
            </w:pPr>
            <w:r>
              <w:rPr>
                <w:rFonts w:ascii="Arial" w:hAnsi="Arial"/>
                <w:sz w:val="16"/>
              </w:rPr>
              <w:t>Exit is designed from day one</w:t>
            </w:r>
          </w:p>
        </w:tc>
        <w:tc>
          <w:tcPr>
            <w:tcW w:type="dxa" w:w="8640"/>
            <w:vAlign w:val="top"/>
          </w:tcPr>
          <w:p>
            <w:pPr>
              <w:spacing w:after="20"/>
            </w:pPr>
            <w:r>
              <w:rPr>
                <w:rFonts w:ascii="Arial" w:hAnsi="Arial"/>
                <w:sz w:val="16"/>
              </w:rPr>
              <w:t>Records, data, technical/admin rights and transition support must enable orderly exit.</w:t>
            </w:r>
          </w:p>
        </w:tc>
      </w:tr>
    </w:tbl>
    <w:p/>
    <w:p>
      <w:pPr>
        <w:pStyle w:val="Heading1"/>
      </w:pPr>
      <w:r>
        <w:t>6. Target Operating Model</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880"/>
            <w:shd w:fill="C00000"/>
          </w:tcPr>
          <w:p>
            <w:r>
              <w:rPr>
                <w:rFonts w:ascii="Arial" w:hAnsi="Arial"/>
                <w:b/>
                <w:color w:val="FFFFFF"/>
                <w:sz w:val="16"/>
              </w:rPr>
              <w:t>Operating layer</w:t>
            </w:r>
          </w:p>
        </w:tc>
        <w:tc>
          <w:tcPr>
            <w:tcW w:type="dxa" w:w="6912"/>
            <w:shd w:fill="C00000"/>
          </w:tcPr>
          <w:p>
            <w:r>
              <w:rPr>
                <w:rFonts w:ascii="Arial" w:hAnsi="Arial"/>
                <w:b/>
                <w:color w:val="FFFFFF"/>
                <w:sz w:val="16"/>
              </w:rPr>
              <w:t>Core activities</w:t>
            </w:r>
          </w:p>
        </w:tc>
        <w:tc>
          <w:tcPr>
            <w:tcW w:type="dxa" w:w="2304"/>
            <w:shd w:fill="C00000"/>
          </w:tcPr>
          <w:p>
            <w:r>
              <w:rPr>
                <w:rFonts w:ascii="Arial" w:hAnsi="Arial"/>
                <w:b/>
                <w:color w:val="FFFFFF"/>
                <w:sz w:val="16"/>
              </w:rPr>
              <w:t>Typical owner</w:t>
            </w:r>
          </w:p>
        </w:tc>
      </w:tr>
      <w:tr>
        <w:tc>
          <w:tcPr>
            <w:tcW w:type="dxa" w:w="2880"/>
            <w:vAlign w:val="top"/>
          </w:tcPr>
          <w:p>
            <w:pPr>
              <w:spacing w:after="20"/>
            </w:pPr>
            <w:r>
              <w:rPr>
                <w:rFonts w:ascii="Arial" w:hAnsi="Arial"/>
                <w:sz w:val="16"/>
              </w:rPr>
              <w:t>DTA Provider Operations</w:t>
            </w:r>
          </w:p>
        </w:tc>
        <w:tc>
          <w:tcPr>
            <w:tcW w:type="dxa" w:w="6912"/>
            <w:vAlign w:val="top"/>
          </w:tcPr>
          <w:p>
            <w:pPr>
              <w:spacing w:after="20"/>
            </w:pPr>
            <w:r>
              <w:rPr>
                <w:rFonts w:ascii="Arial" w:hAnsi="Arial"/>
                <w:sz w:val="16"/>
              </w:rPr>
              <w:t>Execute transactions; maintain register; run primary reconciliation; operate platform and controls; manage provider incidents; provide data/evidence.</w:t>
            </w:r>
          </w:p>
        </w:tc>
        <w:tc>
          <w:tcPr>
            <w:tcW w:type="dxa" w:w="2304"/>
            <w:vAlign w:val="top"/>
          </w:tcPr>
          <w:p>
            <w:pPr>
              <w:spacing w:after="20"/>
            </w:pPr>
            <w:r>
              <w:rPr>
                <w:rFonts w:ascii="Arial" w:hAnsi="Arial"/>
                <w:sz w:val="16"/>
              </w:rPr>
              <w:t>DTA Provider</w:t>
            </w:r>
          </w:p>
        </w:tc>
      </w:tr>
      <w:tr>
        <w:tc>
          <w:tcPr>
            <w:tcW w:type="dxa" w:w="2880"/>
            <w:vAlign w:val="top"/>
          </w:tcPr>
          <w:p>
            <w:pPr>
              <w:spacing w:after="20"/>
            </w:pPr>
            <w:r>
              <w:rPr>
                <w:rFonts w:ascii="Arial" w:hAnsi="Arial"/>
                <w:sz w:val="16"/>
              </w:rPr>
              <w:t>DTA Service Oversight</w:t>
            </w:r>
          </w:p>
        </w:tc>
        <w:tc>
          <w:tcPr>
            <w:tcW w:type="dxa" w:w="6912"/>
            <w:vAlign w:val="top"/>
          </w:tcPr>
          <w:p>
            <w:pPr>
              <w:spacing w:after="20"/>
            </w:pPr>
            <w:r>
              <w:rPr>
                <w:rFonts w:ascii="Arial" w:hAnsi="Arial"/>
                <w:sz w:val="16"/>
              </w:rPr>
              <w:t>Own service relationship; monitor KPI/KRI and provider controls; review exceptions; perform targeted independent verification; govern incidents/changes; coordinate assurance and exit.</w:t>
            </w:r>
          </w:p>
        </w:tc>
        <w:tc>
          <w:tcPr>
            <w:tcW w:type="dxa" w:w="2304"/>
            <w:vAlign w:val="top"/>
          </w:tcPr>
          <w:p>
            <w:pPr>
              <w:spacing w:after="20"/>
            </w:pPr>
            <w:r>
              <w:rPr>
                <w:rFonts w:ascii="Arial" w:hAnsi="Arial"/>
                <w:sz w:val="16"/>
              </w:rPr>
              <w:t>The-Bank first line</w:t>
            </w:r>
          </w:p>
        </w:tc>
      </w:tr>
      <w:tr>
        <w:tc>
          <w:tcPr>
            <w:tcW w:type="dxa" w:w="2880"/>
            <w:vAlign w:val="top"/>
          </w:tcPr>
          <w:p>
            <w:pPr>
              <w:spacing w:after="20"/>
            </w:pPr>
            <w:r>
              <w:rPr>
                <w:rFonts w:ascii="Arial" w:hAnsi="Arial"/>
                <w:sz w:val="16"/>
              </w:rPr>
              <w:t>Independent Control Functions</w:t>
            </w:r>
          </w:p>
        </w:tc>
        <w:tc>
          <w:tcPr>
            <w:tcW w:type="dxa" w:w="6912"/>
            <w:vAlign w:val="top"/>
          </w:tcPr>
          <w:p>
            <w:pPr>
              <w:spacing w:after="20"/>
            </w:pPr>
            <w:r>
              <w:rPr>
                <w:rFonts w:ascii="Arial" w:hAnsi="Arial"/>
                <w:sz w:val="16"/>
              </w:rPr>
              <w:t>Challenge risk, compliance, cyber, TPRM, legal and policy matters.</w:t>
            </w:r>
          </w:p>
        </w:tc>
        <w:tc>
          <w:tcPr>
            <w:tcW w:type="dxa" w:w="2304"/>
            <w:vAlign w:val="top"/>
          </w:tcPr>
          <w:p>
            <w:pPr>
              <w:spacing w:after="20"/>
            </w:pPr>
            <w:r>
              <w:rPr>
                <w:rFonts w:ascii="Arial" w:hAnsi="Arial"/>
                <w:sz w:val="16"/>
              </w:rPr>
              <w:t>The-Bank second line / control functions</w:t>
            </w:r>
          </w:p>
        </w:tc>
      </w:tr>
      <w:tr>
        <w:tc>
          <w:tcPr>
            <w:tcW w:type="dxa" w:w="2880"/>
            <w:vAlign w:val="top"/>
          </w:tcPr>
          <w:p>
            <w:pPr>
              <w:spacing w:after="20"/>
            </w:pPr>
            <w:r>
              <w:rPr>
                <w:rFonts w:ascii="Arial" w:hAnsi="Arial"/>
                <w:sz w:val="16"/>
              </w:rPr>
              <w:t>Independent Assurance</w:t>
            </w:r>
          </w:p>
        </w:tc>
        <w:tc>
          <w:tcPr>
            <w:tcW w:type="dxa" w:w="6912"/>
            <w:vAlign w:val="top"/>
          </w:tcPr>
          <w:p>
            <w:pPr>
              <w:spacing w:after="20"/>
            </w:pPr>
            <w:r>
              <w:rPr>
                <w:rFonts w:ascii="Arial" w:hAnsi="Arial"/>
                <w:sz w:val="16"/>
              </w:rPr>
              <w:t>Periodic audit / assurance over material controls and the oversight framework.</w:t>
            </w:r>
          </w:p>
        </w:tc>
        <w:tc>
          <w:tcPr>
            <w:tcW w:type="dxa" w:w="2304"/>
            <w:vAlign w:val="top"/>
          </w:tcPr>
          <w:p>
            <w:pPr>
              <w:spacing w:after="20"/>
            </w:pPr>
            <w:r>
              <w:rPr>
                <w:rFonts w:ascii="Arial" w:hAnsi="Arial"/>
                <w:sz w:val="16"/>
              </w:rPr>
              <w:t>Internal Audit / external assurance / regulator</w:t>
            </w:r>
          </w:p>
        </w:tc>
      </w:tr>
    </w:tbl>
    <w:p/>
    <w:p>
      <w:pPr>
        <w:pStyle w:val="Heading2"/>
      </w:pPr>
      <w:r>
        <w:t>6.1 Minimum The-Bank capability</w:t>
      </w:r>
    </w:p>
    <w:p>
      <w:pPr>
        <w:pStyle w:val="ListBullet"/>
        <w:spacing w:after="40"/>
      </w:pPr>
      <w:r>
        <w:t>DTA Service Owner - accountable for service relationship, oversight framework and overall service health.</w:t>
      </w:r>
    </w:p>
    <w:p>
      <w:pPr>
        <w:pStyle w:val="ListBullet"/>
        <w:spacing w:after="40"/>
      </w:pPr>
      <w:r>
        <w:t>Operations Oversight Lead - owns operational oversight, provider reconciliation challenge, exceptions and selected independent verification.</w:t>
      </w:r>
    </w:p>
    <w:p>
      <w:pPr>
        <w:pStyle w:val="ListBullet"/>
        <w:spacing w:after="40"/>
      </w:pPr>
      <w:r>
        <w:t>Technology / DLT Control Lead - owns DLT/network due diligence and challenge of material technical, smart-contract, key-management and resilience changes.</w:t>
      </w:r>
    </w:p>
    <w:p>
      <w:pPr>
        <w:pStyle w:val="ListBullet"/>
        <w:spacing w:after="40"/>
      </w:pPr>
      <w:r>
        <w:t>Risk / Compliance / Legal / TPRM partners - provide independent challenge through existing enterprise functions.</w:t>
      </w:r>
    </w:p>
    <w:p>
      <w:pPr>
        <w:pStyle w:val="ListBullet"/>
        <w:spacing w:after="40"/>
      </w:pPr>
      <w:r>
        <w:t>Internal Audit / Assurance - provides independent assurance over the framework and control environment.</w:t>
      </w:r>
    </w:p>
    <w:p>
      <w:pPr>
        <w:pStyle w:val="Heading1"/>
      </w:pPr>
      <w:r>
        <w:t>7. Authoritative Record Model (ARM)</w:t>
      </w:r>
    </w:p>
    <w:p>
      <w:r>
        <w:t>Before go-live, Legal, Fund/Operations, the DTA Service Owner and the provider must agree and document which record conclusively establishes legal ownership in normal operation, how investor identity is associated with wallet addresses, how technical failures are handled and what happens when records conflict.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456"/>
            <w:shd w:fill="C00000"/>
          </w:tcPr>
          <w:p>
            <w:r>
              <w:rPr>
                <w:rFonts w:ascii="Arial" w:hAnsi="Arial"/>
                <w:b/>
                <w:color w:val="FFFFFF"/>
                <w:sz w:val="16"/>
              </w:rPr>
              <w:t>Required ARM decision</w:t>
            </w:r>
          </w:p>
        </w:tc>
        <w:tc>
          <w:tcPr>
            <w:tcW w:type="dxa" w:w="8064"/>
            <w:shd w:fill="C00000"/>
          </w:tcPr>
          <w:p>
            <w:r>
              <w:rPr>
                <w:rFonts w:ascii="Arial" w:hAnsi="Arial"/>
                <w:b/>
                <w:color w:val="FFFFFF"/>
                <w:sz w:val="16"/>
              </w:rPr>
              <w:t>What must be documented</w:t>
            </w:r>
          </w:p>
        </w:tc>
      </w:tr>
      <w:tr>
        <w:tc>
          <w:tcPr>
            <w:tcW w:type="dxa" w:w="3456"/>
            <w:vAlign w:val="top"/>
          </w:tcPr>
          <w:p>
            <w:pPr>
              <w:spacing w:after="20"/>
            </w:pPr>
            <w:r>
              <w:rPr>
                <w:rFonts w:ascii="Arial" w:hAnsi="Arial"/>
                <w:sz w:val="16"/>
              </w:rPr>
              <w:t>Legal shareholder/securityholder record</w:t>
            </w:r>
          </w:p>
        </w:tc>
        <w:tc>
          <w:tcPr>
            <w:tcW w:type="dxa" w:w="8064"/>
            <w:vAlign w:val="top"/>
          </w:tcPr>
          <w:p>
            <w:pPr>
              <w:spacing w:after="20"/>
            </w:pPr>
            <w:r>
              <w:rPr>
                <w:rFonts w:ascii="Arial" w:hAnsi="Arial"/>
                <w:sz w:val="16"/>
              </w:rPr>
              <w:t>Off-chain TA register, blockchain record, or legally combined record.</w:t>
            </w:r>
          </w:p>
        </w:tc>
      </w:tr>
      <w:tr>
        <w:tc>
          <w:tcPr>
            <w:tcW w:type="dxa" w:w="3456"/>
            <w:vAlign w:val="top"/>
          </w:tcPr>
          <w:p>
            <w:pPr>
              <w:spacing w:after="20"/>
            </w:pPr>
            <w:r>
              <w:rPr>
                <w:rFonts w:ascii="Arial" w:hAnsi="Arial"/>
                <w:sz w:val="16"/>
              </w:rPr>
              <w:t>Identity linkage</w:t>
            </w:r>
          </w:p>
        </w:tc>
        <w:tc>
          <w:tcPr>
            <w:tcW w:type="dxa" w:w="8064"/>
            <w:vAlign w:val="top"/>
          </w:tcPr>
          <w:p>
            <w:pPr>
              <w:spacing w:after="20"/>
            </w:pPr>
            <w:r>
              <w:rPr>
                <w:rFonts w:ascii="Arial" w:hAnsi="Arial"/>
                <w:sz w:val="16"/>
              </w:rPr>
              <w:t>How wallet/address data is linked to legal investor/securityholder identity.</w:t>
            </w:r>
          </w:p>
        </w:tc>
      </w:tr>
      <w:tr>
        <w:tc>
          <w:tcPr>
            <w:tcW w:type="dxa" w:w="3456"/>
            <w:vAlign w:val="top"/>
          </w:tcPr>
          <w:p>
            <w:pPr>
              <w:spacing w:after="20"/>
            </w:pPr>
            <w:r>
              <w:rPr>
                <w:rFonts w:ascii="Arial" w:hAnsi="Arial"/>
                <w:sz w:val="16"/>
              </w:rPr>
              <w:t>Conflict hierarchy</w:t>
            </w:r>
          </w:p>
        </w:tc>
        <w:tc>
          <w:tcPr>
            <w:tcW w:type="dxa" w:w="8064"/>
            <w:vAlign w:val="top"/>
          </w:tcPr>
          <w:p>
            <w:pPr>
              <w:spacing w:after="20"/>
            </w:pPr>
            <w:r>
              <w:rPr>
                <w:rFonts w:ascii="Arial" w:hAnsi="Arial"/>
                <w:sz w:val="16"/>
              </w:rPr>
              <w:t>Which record governs if provider records, blockchain state and other records differ.</w:t>
            </w:r>
          </w:p>
        </w:tc>
      </w:tr>
      <w:tr>
        <w:tc>
          <w:tcPr>
            <w:tcW w:type="dxa" w:w="3456"/>
            <w:vAlign w:val="top"/>
          </w:tcPr>
          <w:p>
            <w:pPr>
              <w:spacing w:after="20"/>
            </w:pPr>
            <w:r>
              <w:rPr>
                <w:rFonts w:ascii="Arial" w:hAnsi="Arial"/>
                <w:sz w:val="16"/>
              </w:rPr>
              <w:t>Correction mechanics</w:t>
            </w:r>
          </w:p>
        </w:tc>
        <w:tc>
          <w:tcPr>
            <w:tcW w:type="dxa" w:w="8064"/>
            <w:vAlign w:val="top"/>
          </w:tcPr>
          <w:p>
            <w:pPr>
              <w:spacing w:after="20"/>
            </w:pPr>
            <w:r>
              <w:rPr>
                <w:rFonts w:ascii="Arial" w:hAnsi="Arial"/>
                <w:sz w:val="16"/>
              </w:rPr>
              <w:t>How erroneous or unauthorized activity is corrected without obscuring historical audit trail.</w:t>
            </w:r>
          </w:p>
        </w:tc>
      </w:tr>
      <w:tr>
        <w:tc>
          <w:tcPr>
            <w:tcW w:type="dxa" w:w="3456"/>
            <w:vAlign w:val="top"/>
          </w:tcPr>
          <w:p>
            <w:pPr>
              <w:spacing w:after="20"/>
            </w:pPr>
            <w:r>
              <w:rPr>
                <w:rFonts w:ascii="Arial" w:hAnsi="Arial"/>
                <w:sz w:val="16"/>
              </w:rPr>
              <w:t>Technical failure mode</w:t>
            </w:r>
          </w:p>
        </w:tc>
        <w:tc>
          <w:tcPr>
            <w:tcW w:type="dxa" w:w="8064"/>
            <w:vAlign w:val="top"/>
          </w:tcPr>
          <w:p>
            <w:pPr>
              <w:spacing w:after="20"/>
            </w:pPr>
            <w:r>
              <w:rPr>
                <w:rFonts w:ascii="Arial" w:hAnsi="Arial"/>
                <w:sz w:val="16"/>
              </w:rPr>
              <w:t>What record governs during blockchain/network or provider-system disruption.</w:t>
            </w:r>
          </w:p>
        </w:tc>
      </w:tr>
      <w:tr>
        <w:tc>
          <w:tcPr>
            <w:tcW w:type="dxa" w:w="3456"/>
            <w:vAlign w:val="top"/>
          </w:tcPr>
          <w:p>
            <w:pPr>
              <w:spacing w:after="20"/>
            </w:pPr>
            <w:r>
              <w:rPr>
                <w:rFonts w:ascii="Arial" w:hAnsi="Arial"/>
                <w:sz w:val="16"/>
              </w:rPr>
              <w:t>Reconciliation / verification</w:t>
            </w:r>
          </w:p>
        </w:tc>
        <w:tc>
          <w:tcPr>
            <w:tcW w:type="dxa" w:w="8064"/>
            <w:vAlign w:val="top"/>
          </w:tcPr>
          <w:p>
            <w:pPr>
              <w:spacing w:after="20"/>
            </w:pPr>
            <w:r>
              <w:rPr>
                <w:rFonts w:ascii="Arial" w:hAnsi="Arial"/>
                <w:sz w:val="16"/>
              </w:rPr>
              <w:t>Provider primary reconciliation and The-Bank independent verification frequency and scope.</w:t>
            </w:r>
          </w:p>
        </w:tc>
      </w:tr>
      <w:tr>
        <w:tc>
          <w:tcPr>
            <w:tcW w:type="dxa" w:w="3456"/>
            <w:vAlign w:val="top"/>
          </w:tcPr>
          <w:p>
            <w:pPr>
              <w:spacing w:after="20"/>
            </w:pPr>
            <w:r>
              <w:rPr>
                <w:rFonts w:ascii="Arial" w:hAnsi="Arial"/>
                <w:sz w:val="16"/>
              </w:rPr>
              <w:t>Break ownership / tolerance</w:t>
            </w:r>
          </w:p>
        </w:tc>
        <w:tc>
          <w:tcPr>
            <w:tcW w:type="dxa" w:w="8064"/>
            <w:vAlign w:val="top"/>
          </w:tcPr>
          <w:p>
            <w:pPr>
              <w:spacing w:after="20"/>
            </w:pPr>
            <w:r>
              <w:rPr>
                <w:rFonts w:ascii="Arial" w:hAnsi="Arial"/>
                <w:sz w:val="16"/>
              </w:rPr>
              <w:t>Who owns breaks, escalation thresholds and resolution expectations.</w:t>
            </w:r>
          </w:p>
        </w:tc>
      </w:tr>
      <w:tr>
        <w:tc>
          <w:tcPr>
            <w:tcW w:type="dxa" w:w="3456"/>
            <w:vAlign w:val="top"/>
          </w:tcPr>
          <w:p>
            <w:pPr>
              <w:spacing w:after="20"/>
            </w:pPr>
            <w:r>
              <w:rPr>
                <w:rFonts w:ascii="Arial" w:hAnsi="Arial"/>
                <w:sz w:val="16"/>
              </w:rPr>
              <w:t>Change approval</w:t>
            </w:r>
          </w:p>
        </w:tc>
        <w:tc>
          <w:tcPr>
            <w:tcW w:type="dxa" w:w="8064"/>
            <w:vAlign w:val="top"/>
          </w:tcPr>
          <w:p>
            <w:pPr>
              <w:spacing w:after="20"/>
            </w:pPr>
            <w:r>
              <w:rPr>
                <w:rFonts w:ascii="Arial" w:hAnsi="Arial"/>
                <w:sz w:val="16"/>
              </w:rPr>
              <w:t>Who may change the ARM and which Legal/Risk/Operations/Technology approvals are required.</w:t>
            </w:r>
          </w:p>
        </w:tc>
      </w:tr>
    </w:tbl>
    <w:p/>
    <w:tbl>
      <w:tblPr>
        <w:tblStyle w:val="TableGrid"/>
        <w:tblW w:type="auto" w:w="0"/>
        <w:tblLook w:firstColumn="1" w:firstRow="1" w:lastColumn="0" w:lastRow="0" w:noHBand="0" w:noVBand="1" w:val="04A0"/>
      </w:tblPr>
      <w:tblGrid>
        <w:gridCol w:w="10166"/>
      </w:tblGrid>
      <w:tr>
        <w:tc>
          <w:tcPr>
            <w:tcW w:type="dxa" w:w="10166"/>
            <w:shd w:fill="FFF2F2"/>
          </w:tcPr>
          <w:p>
            <w:pPr>
              <w:pStyle w:val="Callout"/>
              <w:spacing w:after="40"/>
            </w:pPr>
            <w:r>
              <w:t>No architecture diagram, dashboard, contract or technical specification should use "source of truth" language until the ARM has been formally approved.</w:t>
            </w:r>
          </w:p>
        </w:tc>
      </w:tr>
    </w:tbl>
    <w:p/>
    <w:p>
      <w:pPr>
        <w:pStyle w:val="Heading1"/>
      </w:pPr>
      <w:r>
        <w:t>8. Roles and Accountability</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2880"/>
            <w:shd w:fill="C00000"/>
          </w:tcPr>
          <w:p>
            <w:r>
              <w:rPr>
                <w:rFonts w:ascii="Arial" w:hAnsi="Arial"/>
                <w:b/>
                <w:color w:val="FFFFFF"/>
                <w:sz w:val="16"/>
              </w:rPr>
              <w:t>Activity</w:t>
            </w:r>
          </w:p>
        </w:tc>
        <w:tc>
          <w:tcPr>
            <w:tcW w:type="dxa" w:w="1152"/>
            <w:shd w:fill="C00000"/>
          </w:tcPr>
          <w:p>
            <w:r>
              <w:rPr>
                <w:rFonts w:ascii="Arial" w:hAnsi="Arial"/>
                <w:b/>
                <w:color w:val="FFFFFF"/>
                <w:sz w:val="16"/>
              </w:rPr>
              <w:t>DTA Provider</w:t>
            </w:r>
          </w:p>
        </w:tc>
        <w:tc>
          <w:tcPr>
            <w:tcW w:type="dxa" w:w="1440"/>
            <w:shd w:fill="C00000"/>
          </w:tcPr>
          <w:p>
            <w:r>
              <w:rPr>
                <w:rFonts w:ascii="Arial" w:hAnsi="Arial"/>
                <w:b/>
                <w:color w:val="FFFFFF"/>
                <w:sz w:val="16"/>
              </w:rPr>
              <w:t>DTA Service Owner</w:t>
            </w:r>
          </w:p>
        </w:tc>
        <w:tc>
          <w:tcPr>
            <w:tcW w:type="dxa" w:w="1152"/>
            <w:shd w:fill="C00000"/>
          </w:tcPr>
          <w:p>
            <w:r>
              <w:rPr>
                <w:rFonts w:ascii="Arial" w:hAnsi="Arial"/>
                <w:b/>
                <w:color w:val="FFFFFF"/>
                <w:sz w:val="16"/>
              </w:rPr>
              <w:t>Operations</w:t>
            </w:r>
          </w:p>
        </w:tc>
        <w:tc>
          <w:tcPr>
            <w:tcW w:type="dxa" w:w="1440"/>
            <w:shd w:fill="C00000"/>
          </w:tcPr>
          <w:p>
            <w:r>
              <w:rPr>
                <w:rFonts w:ascii="Arial" w:hAnsi="Arial"/>
                <w:b/>
                <w:color w:val="FFFFFF"/>
                <w:sz w:val="16"/>
              </w:rPr>
              <w:t>Technology / DLT</w:t>
            </w:r>
          </w:p>
        </w:tc>
        <w:tc>
          <w:tcPr>
            <w:tcW w:type="dxa" w:w="1440"/>
            <w:shd w:fill="C00000"/>
          </w:tcPr>
          <w:p>
            <w:r>
              <w:rPr>
                <w:rFonts w:ascii="Arial" w:hAnsi="Arial"/>
                <w:b/>
                <w:color w:val="FFFFFF"/>
                <w:sz w:val="16"/>
              </w:rPr>
              <w:t>Risk / Compliance</w:t>
            </w:r>
          </w:p>
        </w:tc>
        <w:tc>
          <w:tcPr>
            <w:tcW w:type="dxa" w:w="1296"/>
            <w:shd w:fill="C00000"/>
          </w:tcPr>
          <w:p>
            <w:r>
              <w:rPr>
                <w:rFonts w:ascii="Arial" w:hAnsi="Arial"/>
                <w:b/>
                <w:color w:val="FFFFFF"/>
                <w:sz w:val="16"/>
              </w:rPr>
              <w:t>Internal Audit</w:t>
            </w:r>
          </w:p>
        </w:tc>
      </w:tr>
      <w:tr>
        <w:tc>
          <w:tcPr>
            <w:tcW w:type="dxa" w:w="2880"/>
            <w:vAlign w:val="top"/>
          </w:tcPr>
          <w:p>
            <w:pPr>
              <w:spacing w:after="20"/>
            </w:pPr>
            <w:r>
              <w:rPr>
                <w:rFonts w:ascii="Arial" w:hAnsi="Arial"/>
                <w:sz w:val="14"/>
              </w:rPr>
              <w:t>Operate DTA production service</w:t>
            </w:r>
          </w:p>
        </w:tc>
        <w:tc>
          <w:tcPr>
            <w:tcW w:type="dxa" w:w="1152"/>
            <w:vAlign w:val="top"/>
          </w:tcPr>
          <w:p>
            <w:pPr>
              <w:spacing w:after="20"/>
            </w:pPr>
            <w:r>
              <w:rPr>
                <w:rFonts w:ascii="Arial" w:hAnsi="Arial"/>
                <w:sz w:val="14"/>
              </w:rPr>
              <w:t>R/A</w:t>
            </w:r>
          </w:p>
        </w:tc>
        <w:tc>
          <w:tcPr>
            <w:tcW w:type="dxa" w:w="1440"/>
            <w:vAlign w:val="top"/>
          </w:tcPr>
          <w:p>
            <w:pPr>
              <w:spacing w:after="20"/>
            </w:pPr>
            <w:r>
              <w:rPr>
                <w:rFonts w:ascii="Arial" w:hAnsi="Arial"/>
                <w:sz w:val="14"/>
              </w:rPr>
              <w:t>I</w:t>
            </w:r>
          </w:p>
        </w:tc>
        <w:tc>
          <w:tcPr>
            <w:tcW w:type="dxa" w:w="1152"/>
            <w:vAlign w:val="top"/>
          </w:tcPr>
          <w:p>
            <w:pPr>
              <w:spacing w:after="20"/>
            </w:pPr>
            <w:r>
              <w:rPr>
                <w:rFonts w:ascii="Arial" w:hAnsi="Arial"/>
                <w:sz w:val="14"/>
              </w:rPr>
              <w:t>I</w:t>
            </w:r>
          </w:p>
        </w:tc>
        <w:tc>
          <w:tcPr>
            <w:tcW w:type="dxa" w:w="1440"/>
            <w:vAlign w:val="top"/>
          </w:tcPr>
          <w:p>
            <w:pPr>
              <w:spacing w:after="20"/>
            </w:pPr>
            <w:r>
              <w:rPr>
                <w:rFonts w:ascii="Arial" w:hAnsi="Arial"/>
                <w:sz w:val="14"/>
              </w:rPr>
              <w:t>I</w:t>
            </w:r>
          </w:p>
        </w:tc>
        <w:tc>
          <w:tcPr>
            <w:tcW w:type="dxa" w:w="1440"/>
            <w:vAlign w:val="top"/>
          </w:tcPr>
          <w:p>
            <w:pPr>
              <w:spacing w:after="20"/>
            </w:pPr>
            <w:r>
              <w:rPr>
                <w:rFonts w:ascii="Arial" w:hAnsi="Arial"/>
                <w:sz w:val="14"/>
              </w:rPr>
              <w:t>I</w:t>
            </w:r>
          </w:p>
        </w:tc>
        <w:tc>
          <w:tcPr>
            <w:tcW w:type="dxa" w:w="1296"/>
            <w:vAlign w:val="top"/>
          </w:tcPr>
          <w:p>
            <w:pPr>
              <w:spacing w:after="20"/>
            </w:pPr>
            <w:r>
              <w:rPr>
                <w:rFonts w:ascii="Arial" w:hAnsi="Arial"/>
                <w:sz w:val="14"/>
              </w:rPr>
              <w:t>I</w:t>
            </w:r>
          </w:p>
        </w:tc>
      </w:tr>
      <w:tr>
        <w:tc>
          <w:tcPr>
            <w:tcW w:type="dxa" w:w="2880"/>
            <w:vAlign w:val="top"/>
          </w:tcPr>
          <w:p>
            <w:pPr>
              <w:spacing w:after="20"/>
            </w:pPr>
            <w:r>
              <w:rPr>
                <w:rFonts w:ascii="Arial" w:hAnsi="Arial"/>
                <w:sz w:val="14"/>
              </w:rPr>
              <w:t>Maintain shareholder/securityholder register</w:t>
            </w:r>
          </w:p>
        </w:tc>
        <w:tc>
          <w:tcPr>
            <w:tcW w:type="dxa" w:w="1152"/>
            <w:vAlign w:val="top"/>
          </w:tcPr>
          <w:p>
            <w:pPr>
              <w:spacing w:after="20"/>
            </w:pPr>
            <w:r>
              <w:rPr>
                <w:rFonts w:ascii="Arial" w:hAnsi="Arial"/>
                <w:sz w:val="14"/>
              </w:rPr>
              <w:t>R</w:t>
            </w:r>
          </w:p>
        </w:tc>
        <w:tc>
          <w:tcPr>
            <w:tcW w:type="dxa" w:w="1440"/>
            <w:vAlign w:val="top"/>
          </w:tcPr>
          <w:p>
            <w:pPr>
              <w:spacing w:after="20"/>
            </w:pPr>
            <w:r>
              <w:rPr>
                <w:rFonts w:ascii="Arial" w:hAnsi="Arial"/>
                <w:sz w:val="14"/>
              </w:rPr>
              <w:t>A/Oversight</w:t>
            </w:r>
          </w:p>
        </w:tc>
        <w:tc>
          <w:tcPr>
            <w:tcW w:type="dxa" w:w="1152"/>
            <w:vAlign w:val="top"/>
          </w:tcPr>
          <w:p>
            <w:pPr>
              <w:spacing w:after="20"/>
            </w:pPr>
            <w:r>
              <w:rPr>
                <w:rFonts w:ascii="Arial" w:hAnsi="Arial"/>
                <w:sz w:val="14"/>
              </w:rPr>
              <w:t>C</w:t>
            </w:r>
          </w:p>
        </w:tc>
        <w:tc>
          <w:tcPr>
            <w:tcW w:type="dxa" w:w="1440"/>
            <w:vAlign w:val="top"/>
          </w:tcPr>
          <w:p>
            <w:pPr>
              <w:spacing w:after="20"/>
            </w:pPr>
            <w:r>
              <w:rPr>
                <w:rFonts w:ascii="Arial" w:hAnsi="Arial"/>
                <w:sz w:val="14"/>
              </w:rPr>
              <w:t>I</w:t>
            </w:r>
          </w:p>
        </w:tc>
        <w:tc>
          <w:tcPr>
            <w:tcW w:type="dxa" w:w="1440"/>
            <w:vAlign w:val="top"/>
          </w:tcPr>
          <w:p>
            <w:pPr>
              <w:spacing w:after="20"/>
            </w:pPr>
            <w:r>
              <w:rPr>
                <w:rFonts w:ascii="Arial" w:hAnsi="Arial"/>
                <w:sz w:val="14"/>
              </w:rPr>
              <w:t>C</w:t>
            </w:r>
          </w:p>
        </w:tc>
        <w:tc>
          <w:tcPr>
            <w:tcW w:type="dxa" w:w="1296"/>
            <w:vAlign w:val="top"/>
          </w:tcPr>
          <w:p>
            <w:pPr>
              <w:spacing w:after="20"/>
            </w:pPr>
            <w:r>
              <w:rPr>
                <w:rFonts w:ascii="Arial" w:hAnsi="Arial"/>
                <w:sz w:val="14"/>
              </w:rPr>
              <w:t>I</w:t>
            </w:r>
          </w:p>
        </w:tc>
      </w:tr>
      <w:tr>
        <w:tc>
          <w:tcPr>
            <w:tcW w:type="dxa" w:w="2880"/>
            <w:vAlign w:val="top"/>
          </w:tcPr>
          <w:p>
            <w:pPr>
              <w:spacing w:after="20"/>
            </w:pPr>
            <w:r>
              <w:rPr>
                <w:rFonts w:ascii="Arial" w:hAnsi="Arial"/>
                <w:sz w:val="14"/>
              </w:rPr>
              <w:t>Primary transaction processing</w:t>
            </w:r>
          </w:p>
        </w:tc>
        <w:tc>
          <w:tcPr>
            <w:tcW w:type="dxa" w:w="1152"/>
            <w:vAlign w:val="top"/>
          </w:tcPr>
          <w:p>
            <w:pPr>
              <w:spacing w:after="20"/>
            </w:pPr>
            <w:r>
              <w:rPr>
                <w:rFonts w:ascii="Arial" w:hAnsi="Arial"/>
                <w:sz w:val="14"/>
              </w:rPr>
              <w:t>R</w:t>
            </w:r>
          </w:p>
        </w:tc>
        <w:tc>
          <w:tcPr>
            <w:tcW w:type="dxa" w:w="1440"/>
            <w:vAlign w:val="top"/>
          </w:tcPr>
          <w:p>
            <w:pPr>
              <w:spacing w:after="20"/>
            </w:pPr>
            <w:r>
              <w:rPr>
                <w:rFonts w:ascii="Arial" w:hAnsi="Arial"/>
                <w:sz w:val="14"/>
              </w:rPr>
              <w:t>A/Oversight</w:t>
            </w:r>
          </w:p>
        </w:tc>
        <w:tc>
          <w:tcPr>
            <w:tcW w:type="dxa" w:w="1152"/>
            <w:vAlign w:val="top"/>
          </w:tcPr>
          <w:p>
            <w:pPr>
              <w:spacing w:after="20"/>
            </w:pPr>
            <w:r>
              <w:rPr>
                <w:rFonts w:ascii="Arial" w:hAnsi="Arial"/>
                <w:sz w:val="14"/>
              </w:rPr>
              <w:t>C</w:t>
            </w:r>
          </w:p>
        </w:tc>
        <w:tc>
          <w:tcPr>
            <w:tcW w:type="dxa" w:w="1440"/>
            <w:vAlign w:val="top"/>
          </w:tcPr>
          <w:p>
            <w:pPr>
              <w:spacing w:after="20"/>
            </w:pPr>
            <w:r>
              <w:rPr>
                <w:rFonts w:ascii="Arial" w:hAnsi="Arial"/>
                <w:sz w:val="14"/>
              </w:rPr>
              <w:t>I</w:t>
            </w:r>
          </w:p>
        </w:tc>
        <w:tc>
          <w:tcPr>
            <w:tcW w:type="dxa" w:w="1440"/>
            <w:vAlign w:val="top"/>
          </w:tcPr>
          <w:p>
            <w:pPr>
              <w:spacing w:after="20"/>
            </w:pPr>
            <w:r>
              <w:rPr>
                <w:rFonts w:ascii="Arial" w:hAnsi="Arial"/>
                <w:sz w:val="14"/>
              </w:rPr>
              <w:t>I</w:t>
            </w:r>
          </w:p>
        </w:tc>
        <w:tc>
          <w:tcPr>
            <w:tcW w:type="dxa" w:w="1296"/>
            <w:vAlign w:val="top"/>
          </w:tcPr>
          <w:p>
            <w:pPr>
              <w:spacing w:after="20"/>
            </w:pPr>
            <w:r>
              <w:rPr>
                <w:rFonts w:ascii="Arial" w:hAnsi="Arial"/>
                <w:sz w:val="14"/>
              </w:rPr>
              <w:t>I</w:t>
            </w:r>
          </w:p>
        </w:tc>
      </w:tr>
      <w:tr>
        <w:tc>
          <w:tcPr>
            <w:tcW w:type="dxa" w:w="2880"/>
            <w:vAlign w:val="top"/>
          </w:tcPr>
          <w:p>
            <w:pPr>
              <w:spacing w:after="20"/>
            </w:pPr>
            <w:r>
              <w:rPr>
                <w:rFonts w:ascii="Arial" w:hAnsi="Arial"/>
                <w:sz w:val="14"/>
              </w:rPr>
              <w:t>Primary reconciliation</w:t>
            </w:r>
          </w:p>
        </w:tc>
        <w:tc>
          <w:tcPr>
            <w:tcW w:type="dxa" w:w="1152"/>
            <w:vAlign w:val="top"/>
          </w:tcPr>
          <w:p>
            <w:pPr>
              <w:spacing w:after="20"/>
            </w:pPr>
            <w:r>
              <w:rPr>
                <w:rFonts w:ascii="Arial" w:hAnsi="Arial"/>
                <w:sz w:val="14"/>
              </w:rPr>
              <w:t>R</w:t>
            </w:r>
          </w:p>
        </w:tc>
        <w:tc>
          <w:tcPr>
            <w:tcW w:type="dxa" w:w="1440"/>
            <w:vAlign w:val="top"/>
          </w:tcPr>
          <w:p>
            <w:pPr>
              <w:spacing w:after="20"/>
            </w:pPr>
            <w:r>
              <w:rPr>
                <w:rFonts w:ascii="Arial" w:hAnsi="Arial"/>
                <w:sz w:val="14"/>
              </w:rPr>
              <w:t>A/Oversight</w:t>
            </w:r>
          </w:p>
        </w:tc>
        <w:tc>
          <w:tcPr>
            <w:tcW w:type="dxa" w:w="1152"/>
            <w:vAlign w:val="top"/>
          </w:tcPr>
          <w:p>
            <w:pPr>
              <w:spacing w:after="20"/>
            </w:pPr>
            <w:r>
              <w:rPr>
                <w:rFonts w:ascii="Arial" w:hAnsi="Arial"/>
                <w:sz w:val="14"/>
              </w:rPr>
              <w:t>C</w:t>
            </w:r>
          </w:p>
        </w:tc>
        <w:tc>
          <w:tcPr>
            <w:tcW w:type="dxa" w:w="1440"/>
            <w:vAlign w:val="top"/>
          </w:tcPr>
          <w:p>
            <w:pPr>
              <w:spacing w:after="20"/>
            </w:pPr>
            <w:r>
              <w:rPr>
                <w:rFonts w:ascii="Arial" w:hAnsi="Arial"/>
                <w:sz w:val="14"/>
              </w:rPr>
              <w:t>I</w:t>
            </w:r>
          </w:p>
        </w:tc>
        <w:tc>
          <w:tcPr>
            <w:tcW w:type="dxa" w:w="1440"/>
            <w:vAlign w:val="top"/>
          </w:tcPr>
          <w:p>
            <w:pPr>
              <w:spacing w:after="20"/>
            </w:pPr>
            <w:r>
              <w:rPr>
                <w:rFonts w:ascii="Arial" w:hAnsi="Arial"/>
                <w:sz w:val="14"/>
              </w:rPr>
              <w:t>I</w:t>
            </w:r>
          </w:p>
        </w:tc>
        <w:tc>
          <w:tcPr>
            <w:tcW w:type="dxa" w:w="1296"/>
            <w:vAlign w:val="top"/>
          </w:tcPr>
          <w:p>
            <w:pPr>
              <w:spacing w:after="20"/>
            </w:pPr>
            <w:r>
              <w:rPr>
                <w:rFonts w:ascii="Arial" w:hAnsi="Arial"/>
                <w:sz w:val="14"/>
              </w:rPr>
              <w:t>I</w:t>
            </w:r>
          </w:p>
        </w:tc>
      </w:tr>
      <w:tr>
        <w:tc>
          <w:tcPr>
            <w:tcW w:type="dxa" w:w="2880"/>
            <w:vAlign w:val="top"/>
          </w:tcPr>
          <w:p>
            <w:pPr>
              <w:spacing w:after="20"/>
            </w:pPr>
            <w:r>
              <w:rPr>
                <w:rFonts w:ascii="Arial" w:hAnsi="Arial"/>
                <w:sz w:val="14"/>
              </w:rPr>
              <w:t>Provide structured data / evidence</w:t>
            </w:r>
          </w:p>
        </w:tc>
        <w:tc>
          <w:tcPr>
            <w:tcW w:type="dxa" w:w="1152"/>
            <w:vAlign w:val="top"/>
          </w:tcPr>
          <w:p>
            <w:pPr>
              <w:spacing w:after="20"/>
            </w:pPr>
            <w:r>
              <w:rPr>
                <w:rFonts w:ascii="Arial" w:hAnsi="Arial"/>
                <w:sz w:val="14"/>
              </w:rPr>
              <w:t>R</w:t>
            </w:r>
          </w:p>
        </w:tc>
        <w:tc>
          <w:tcPr>
            <w:tcW w:type="dxa" w:w="1440"/>
            <w:vAlign w:val="top"/>
          </w:tcPr>
          <w:p>
            <w:pPr>
              <w:spacing w:after="20"/>
            </w:pPr>
            <w:r>
              <w:rPr>
                <w:rFonts w:ascii="Arial" w:hAnsi="Arial"/>
                <w:sz w:val="14"/>
              </w:rPr>
              <w:t>A</w:t>
            </w:r>
          </w:p>
        </w:tc>
        <w:tc>
          <w:tcPr>
            <w:tcW w:type="dxa" w:w="1152"/>
            <w:vAlign w:val="top"/>
          </w:tcPr>
          <w:p>
            <w:pPr>
              <w:spacing w:after="20"/>
            </w:pPr>
            <w:r>
              <w:rPr>
                <w:rFonts w:ascii="Arial" w:hAnsi="Arial"/>
                <w:sz w:val="14"/>
              </w:rPr>
              <w:t>C</w:t>
            </w:r>
          </w:p>
        </w:tc>
        <w:tc>
          <w:tcPr>
            <w:tcW w:type="dxa" w:w="1440"/>
            <w:vAlign w:val="top"/>
          </w:tcPr>
          <w:p>
            <w:pPr>
              <w:spacing w:after="20"/>
            </w:pPr>
            <w:r>
              <w:rPr>
                <w:rFonts w:ascii="Arial" w:hAnsi="Arial"/>
                <w:sz w:val="14"/>
              </w:rPr>
              <w:t>C</w:t>
            </w:r>
          </w:p>
        </w:tc>
        <w:tc>
          <w:tcPr>
            <w:tcW w:type="dxa" w:w="1440"/>
            <w:vAlign w:val="top"/>
          </w:tcPr>
          <w:p>
            <w:pPr>
              <w:spacing w:after="20"/>
            </w:pPr>
            <w:r>
              <w:rPr>
                <w:rFonts w:ascii="Arial" w:hAnsi="Arial"/>
                <w:sz w:val="14"/>
              </w:rPr>
              <w:t>I</w:t>
            </w:r>
          </w:p>
        </w:tc>
        <w:tc>
          <w:tcPr>
            <w:tcW w:type="dxa" w:w="1296"/>
            <w:vAlign w:val="top"/>
          </w:tcPr>
          <w:p>
            <w:pPr>
              <w:spacing w:after="20"/>
            </w:pPr>
            <w:r>
              <w:rPr>
                <w:rFonts w:ascii="Arial" w:hAnsi="Arial"/>
                <w:sz w:val="14"/>
              </w:rPr>
              <w:t>I</w:t>
            </w:r>
          </w:p>
        </w:tc>
      </w:tr>
      <w:tr>
        <w:tc>
          <w:tcPr>
            <w:tcW w:type="dxa" w:w="2880"/>
            <w:vAlign w:val="top"/>
          </w:tcPr>
          <w:p>
            <w:pPr>
              <w:spacing w:after="20"/>
            </w:pPr>
            <w:r>
              <w:rPr>
                <w:rFonts w:ascii="Arial" w:hAnsi="Arial"/>
                <w:sz w:val="14"/>
              </w:rPr>
              <w:t>Targeted independent verification</w:t>
            </w:r>
          </w:p>
        </w:tc>
        <w:tc>
          <w:tcPr>
            <w:tcW w:type="dxa" w:w="1152"/>
            <w:vAlign w:val="top"/>
          </w:tcPr>
          <w:p>
            <w:pPr>
              <w:spacing w:after="20"/>
            </w:pPr>
            <w:r>
              <w:rPr>
                <w:rFonts w:ascii="Arial" w:hAnsi="Arial"/>
                <w:sz w:val="14"/>
              </w:rPr>
              <w:t>C</w:t>
            </w:r>
          </w:p>
        </w:tc>
        <w:tc>
          <w:tcPr>
            <w:tcW w:type="dxa" w:w="1440"/>
            <w:vAlign w:val="top"/>
          </w:tcPr>
          <w:p>
            <w:pPr>
              <w:spacing w:after="20"/>
            </w:pPr>
            <w:r>
              <w:rPr>
                <w:rFonts w:ascii="Arial" w:hAnsi="Arial"/>
                <w:sz w:val="14"/>
              </w:rPr>
              <w:t>A</w:t>
            </w:r>
          </w:p>
        </w:tc>
        <w:tc>
          <w:tcPr>
            <w:tcW w:type="dxa" w:w="1152"/>
            <w:vAlign w:val="top"/>
          </w:tcPr>
          <w:p>
            <w:pPr>
              <w:spacing w:after="20"/>
            </w:pPr>
            <w:r>
              <w:rPr>
                <w:rFonts w:ascii="Arial" w:hAnsi="Arial"/>
                <w:sz w:val="14"/>
              </w:rPr>
              <w:t>R/C</w:t>
            </w:r>
          </w:p>
        </w:tc>
        <w:tc>
          <w:tcPr>
            <w:tcW w:type="dxa" w:w="1440"/>
            <w:vAlign w:val="top"/>
          </w:tcPr>
          <w:p>
            <w:pPr>
              <w:spacing w:after="20"/>
            </w:pPr>
            <w:r>
              <w:rPr>
                <w:rFonts w:ascii="Arial" w:hAnsi="Arial"/>
                <w:sz w:val="14"/>
              </w:rPr>
              <w:t>R</w:t>
            </w:r>
          </w:p>
        </w:tc>
        <w:tc>
          <w:tcPr>
            <w:tcW w:type="dxa" w:w="1440"/>
            <w:vAlign w:val="top"/>
          </w:tcPr>
          <w:p>
            <w:pPr>
              <w:spacing w:after="20"/>
            </w:pPr>
            <w:r>
              <w:rPr>
                <w:rFonts w:ascii="Arial" w:hAnsi="Arial"/>
                <w:sz w:val="14"/>
              </w:rPr>
              <w:t>C</w:t>
            </w:r>
          </w:p>
        </w:tc>
        <w:tc>
          <w:tcPr>
            <w:tcW w:type="dxa" w:w="1296"/>
            <w:vAlign w:val="top"/>
          </w:tcPr>
          <w:p>
            <w:pPr>
              <w:spacing w:after="20"/>
            </w:pPr>
            <w:r>
              <w:rPr>
                <w:rFonts w:ascii="Arial" w:hAnsi="Arial"/>
                <w:sz w:val="14"/>
              </w:rPr>
              <w:t>I</w:t>
            </w:r>
          </w:p>
        </w:tc>
      </w:tr>
      <w:tr>
        <w:tc>
          <w:tcPr>
            <w:tcW w:type="dxa" w:w="2880"/>
            <w:vAlign w:val="top"/>
          </w:tcPr>
          <w:p>
            <w:pPr>
              <w:spacing w:after="20"/>
            </w:pPr>
            <w:r>
              <w:rPr>
                <w:rFonts w:ascii="Arial" w:hAnsi="Arial"/>
                <w:sz w:val="14"/>
              </w:rPr>
              <w:t>KPI/KRI monitoring</w:t>
            </w:r>
          </w:p>
        </w:tc>
        <w:tc>
          <w:tcPr>
            <w:tcW w:type="dxa" w:w="1152"/>
            <w:vAlign w:val="top"/>
          </w:tcPr>
          <w:p>
            <w:pPr>
              <w:spacing w:after="20"/>
            </w:pPr>
            <w:r>
              <w:rPr>
                <w:rFonts w:ascii="Arial" w:hAnsi="Arial"/>
                <w:sz w:val="14"/>
              </w:rPr>
              <w:t>I</w:t>
            </w:r>
          </w:p>
        </w:tc>
        <w:tc>
          <w:tcPr>
            <w:tcW w:type="dxa" w:w="1440"/>
            <w:vAlign w:val="top"/>
          </w:tcPr>
          <w:p>
            <w:pPr>
              <w:spacing w:after="20"/>
            </w:pPr>
            <w:r>
              <w:rPr>
                <w:rFonts w:ascii="Arial" w:hAnsi="Arial"/>
                <w:sz w:val="14"/>
              </w:rPr>
              <w:t>A/R</w:t>
            </w:r>
          </w:p>
        </w:tc>
        <w:tc>
          <w:tcPr>
            <w:tcW w:type="dxa" w:w="1152"/>
            <w:vAlign w:val="top"/>
          </w:tcPr>
          <w:p>
            <w:pPr>
              <w:spacing w:after="20"/>
            </w:pPr>
            <w:r>
              <w:rPr>
                <w:rFonts w:ascii="Arial" w:hAnsi="Arial"/>
                <w:sz w:val="14"/>
              </w:rPr>
              <w:t>C</w:t>
            </w:r>
          </w:p>
        </w:tc>
        <w:tc>
          <w:tcPr>
            <w:tcW w:type="dxa" w:w="1440"/>
            <w:vAlign w:val="top"/>
          </w:tcPr>
          <w:p>
            <w:pPr>
              <w:spacing w:after="20"/>
            </w:pPr>
            <w:r>
              <w:rPr>
                <w:rFonts w:ascii="Arial" w:hAnsi="Arial"/>
                <w:sz w:val="14"/>
              </w:rPr>
              <w:t>C</w:t>
            </w:r>
          </w:p>
        </w:tc>
        <w:tc>
          <w:tcPr>
            <w:tcW w:type="dxa" w:w="1440"/>
            <w:vAlign w:val="top"/>
          </w:tcPr>
          <w:p>
            <w:pPr>
              <w:spacing w:after="20"/>
            </w:pPr>
            <w:r>
              <w:rPr>
                <w:rFonts w:ascii="Arial" w:hAnsi="Arial"/>
                <w:sz w:val="14"/>
              </w:rPr>
              <w:t>C</w:t>
            </w:r>
          </w:p>
        </w:tc>
        <w:tc>
          <w:tcPr>
            <w:tcW w:type="dxa" w:w="1296"/>
            <w:vAlign w:val="top"/>
          </w:tcPr>
          <w:p>
            <w:pPr>
              <w:spacing w:after="20"/>
            </w:pPr>
            <w:r>
              <w:rPr>
                <w:rFonts w:ascii="Arial" w:hAnsi="Arial"/>
                <w:sz w:val="14"/>
              </w:rPr>
              <w:t>I</w:t>
            </w:r>
          </w:p>
        </w:tc>
      </w:tr>
      <w:tr>
        <w:tc>
          <w:tcPr>
            <w:tcW w:type="dxa" w:w="2880"/>
            <w:vAlign w:val="top"/>
          </w:tcPr>
          <w:p>
            <w:pPr>
              <w:spacing w:after="20"/>
            </w:pPr>
            <w:r>
              <w:rPr>
                <w:rFonts w:ascii="Arial" w:hAnsi="Arial"/>
                <w:sz w:val="14"/>
              </w:rPr>
              <w:t>Blockchain / DLT due diligence</w:t>
            </w:r>
          </w:p>
        </w:tc>
        <w:tc>
          <w:tcPr>
            <w:tcW w:type="dxa" w:w="1152"/>
            <w:vAlign w:val="top"/>
          </w:tcPr>
          <w:p>
            <w:pPr>
              <w:spacing w:after="20"/>
            </w:pPr>
            <w:r>
              <w:rPr>
                <w:rFonts w:ascii="Arial" w:hAnsi="Arial"/>
                <w:sz w:val="14"/>
              </w:rPr>
              <w:t>C</w:t>
            </w:r>
          </w:p>
        </w:tc>
        <w:tc>
          <w:tcPr>
            <w:tcW w:type="dxa" w:w="1440"/>
            <w:vAlign w:val="top"/>
          </w:tcPr>
          <w:p>
            <w:pPr>
              <w:spacing w:after="20"/>
            </w:pPr>
            <w:r>
              <w:rPr>
                <w:rFonts w:ascii="Arial" w:hAnsi="Arial"/>
                <w:sz w:val="14"/>
              </w:rPr>
              <w:t>A</w:t>
            </w:r>
          </w:p>
        </w:tc>
        <w:tc>
          <w:tcPr>
            <w:tcW w:type="dxa" w:w="1152"/>
            <w:vAlign w:val="top"/>
          </w:tcPr>
          <w:p>
            <w:pPr>
              <w:spacing w:after="20"/>
            </w:pPr>
            <w:r>
              <w:rPr>
                <w:rFonts w:ascii="Arial" w:hAnsi="Arial"/>
                <w:sz w:val="14"/>
              </w:rPr>
              <w:t>C</w:t>
            </w:r>
          </w:p>
        </w:tc>
        <w:tc>
          <w:tcPr>
            <w:tcW w:type="dxa" w:w="1440"/>
            <w:vAlign w:val="top"/>
          </w:tcPr>
          <w:p>
            <w:pPr>
              <w:spacing w:after="20"/>
            </w:pPr>
            <w:r>
              <w:rPr>
                <w:rFonts w:ascii="Arial" w:hAnsi="Arial"/>
                <w:sz w:val="14"/>
              </w:rPr>
              <w:t>R</w:t>
            </w:r>
          </w:p>
        </w:tc>
        <w:tc>
          <w:tcPr>
            <w:tcW w:type="dxa" w:w="1440"/>
            <w:vAlign w:val="top"/>
          </w:tcPr>
          <w:p>
            <w:pPr>
              <w:spacing w:after="20"/>
            </w:pPr>
            <w:r>
              <w:rPr>
                <w:rFonts w:ascii="Arial" w:hAnsi="Arial"/>
                <w:sz w:val="14"/>
              </w:rPr>
              <w:t>C</w:t>
            </w:r>
          </w:p>
        </w:tc>
        <w:tc>
          <w:tcPr>
            <w:tcW w:type="dxa" w:w="1296"/>
            <w:vAlign w:val="top"/>
          </w:tcPr>
          <w:p>
            <w:pPr>
              <w:spacing w:after="20"/>
            </w:pPr>
            <w:r>
              <w:rPr>
                <w:rFonts w:ascii="Arial" w:hAnsi="Arial"/>
                <w:sz w:val="14"/>
              </w:rPr>
              <w:t>I</w:t>
            </w:r>
          </w:p>
        </w:tc>
      </w:tr>
      <w:tr>
        <w:tc>
          <w:tcPr>
            <w:tcW w:type="dxa" w:w="2880"/>
            <w:vAlign w:val="top"/>
          </w:tcPr>
          <w:p>
            <w:pPr>
              <w:spacing w:after="20"/>
            </w:pPr>
            <w:r>
              <w:rPr>
                <w:rFonts w:ascii="Arial" w:hAnsi="Arial"/>
                <w:sz w:val="14"/>
              </w:rPr>
              <w:t>Material technology approval</w:t>
            </w:r>
          </w:p>
        </w:tc>
        <w:tc>
          <w:tcPr>
            <w:tcW w:type="dxa" w:w="1152"/>
            <w:vAlign w:val="top"/>
          </w:tcPr>
          <w:p>
            <w:pPr>
              <w:spacing w:after="20"/>
            </w:pPr>
            <w:r>
              <w:rPr>
                <w:rFonts w:ascii="Arial" w:hAnsi="Arial"/>
                <w:sz w:val="14"/>
              </w:rPr>
              <w:t>C</w:t>
            </w:r>
          </w:p>
        </w:tc>
        <w:tc>
          <w:tcPr>
            <w:tcW w:type="dxa" w:w="1440"/>
            <w:vAlign w:val="top"/>
          </w:tcPr>
          <w:p>
            <w:pPr>
              <w:spacing w:after="20"/>
            </w:pPr>
            <w:r>
              <w:rPr>
                <w:rFonts w:ascii="Arial" w:hAnsi="Arial"/>
                <w:sz w:val="14"/>
              </w:rPr>
              <w:t>A</w:t>
            </w:r>
          </w:p>
        </w:tc>
        <w:tc>
          <w:tcPr>
            <w:tcW w:type="dxa" w:w="1152"/>
            <w:vAlign w:val="top"/>
          </w:tcPr>
          <w:p>
            <w:pPr>
              <w:spacing w:after="20"/>
            </w:pPr>
            <w:r>
              <w:rPr>
                <w:rFonts w:ascii="Arial" w:hAnsi="Arial"/>
                <w:sz w:val="14"/>
              </w:rPr>
              <w:t>C</w:t>
            </w:r>
          </w:p>
        </w:tc>
        <w:tc>
          <w:tcPr>
            <w:tcW w:type="dxa" w:w="1440"/>
            <w:vAlign w:val="top"/>
          </w:tcPr>
          <w:p>
            <w:pPr>
              <w:spacing w:after="20"/>
            </w:pPr>
            <w:r>
              <w:rPr>
                <w:rFonts w:ascii="Arial" w:hAnsi="Arial"/>
                <w:sz w:val="14"/>
              </w:rPr>
              <w:t>R/C</w:t>
            </w:r>
          </w:p>
        </w:tc>
        <w:tc>
          <w:tcPr>
            <w:tcW w:type="dxa" w:w="1440"/>
            <w:vAlign w:val="top"/>
          </w:tcPr>
          <w:p>
            <w:pPr>
              <w:spacing w:after="20"/>
            </w:pPr>
            <w:r>
              <w:rPr>
                <w:rFonts w:ascii="Arial" w:hAnsi="Arial"/>
                <w:sz w:val="14"/>
              </w:rPr>
              <w:t>C</w:t>
            </w:r>
          </w:p>
        </w:tc>
        <w:tc>
          <w:tcPr>
            <w:tcW w:type="dxa" w:w="1296"/>
            <w:vAlign w:val="top"/>
          </w:tcPr>
          <w:p>
            <w:pPr>
              <w:spacing w:after="20"/>
            </w:pPr>
            <w:r>
              <w:rPr>
                <w:rFonts w:ascii="Arial" w:hAnsi="Arial"/>
                <w:sz w:val="14"/>
              </w:rPr>
              <w:t>I</w:t>
            </w:r>
          </w:p>
        </w:tc>
      </w:tr>
      <w:tr>
        <w:tc>
          <w:tcPr>
            <w:tcW w:type="dxa" w:w="2880"/>
            <w:vAlign w:val="top"/>
          </w:tcPr>
          <w:p>
            <w:pPr>
              <w:spacing w:after="20"/>
            </w:pPr>
            <w:r>
              <w:rPr>
                <w:rFonts w:ascii="Arial" w:hAnsi="Arial"/>
                <w:sz w:val="14"/>
              </w:rPr>
              <w:t>Incident response</w:t>
            </w:r>
          </w:p>
        </w:tc>
        <w:tc>
          <w:tcPr>
            <w:tcW w:type="dxa" w:w="1152"/>
            <w:vAlign w:val="top"/>
          </w:tcPr>
          <w:p>
            <w:pPr>
              <w:spacing w:after="20"/>
            </w:pPr>
            <w:r>
              <w:rPr>
                <w:rFonts w:ascii="Arial" w:hAnsi="Arial"/>
                <w:sz w:val="14"/>
              </w:rPr>
              <w:t>R</w:t>
            </w:r>
          </w:p>
        </w:tc>
        <w:tc>
          <w:tcPr>
            <w:tcW w:type="dxa" w:w="1440"/>
            <w:vAlign w:val="top"/>
          </w:tcPr>
          <w:p>
            <w:pPr>
              <w:spacing w:after="20"/>
            </w:pPr>
            <w:r>
              <w:rPr>
                <w:rFonts w:ascii="Arial" w:hAnsi="Arial"/>
                <w:sz w:val="14"/>
              </w:rPr>
              <w:t>A</w:t>
            </w:r>
          </w:p>
        </w:tc>
        <w:tc>
          <w:tcPr>
            <w:tcW w:type="dxa" w:w="1152"/>
            <w:vAlign w:val="top"/>
          </w:tcPr>
          <w:p>
            <w:pPr>
              <w:spacing w:after="20"/>
            </w:pPr>
            <w:r>
              <w:rPr>
                <w:rFonts w:ascii="Arial" w:hAnsi="Arial"/>
                <w:sz w:val="14"/>
              </w:rPr>
              <w:t>R/C</w:t>
            </w:r>
          </w:p>
        </w:tc>
        <w:tc>
          <w:tcPr>
            <w:tcW w:type="dxa" w:w="1440"/>
            <w:vAlign w:val="top"/>
          </w:tcPr>
          <w:p>
            <w:pPr>
              <w:spacing w:after="20"/>
            </w:pPr>
            <w:r>
              <w:rPr>
                <w:rFonts w:ascii="Arial" w:hAnsi="Arial"/>
                <w:sz w:val="14"/>
              </w:rPr>
              <w:t>C</w:t>
            </w:r>
          </w:p>
        </w:tc>
        <w:tc>
          <w:tcPr>
            <w:tcW w:type="dxa" w:w="1440"/>
            <w:vAlign w:val="top"/>
          </w:tcPr>
          <w:p>
            <w:pPr>
              <w:spacing w:after="20"/>
            </w:pPr>
            <w:r>
              <w:rPr>
                <w:rFonts w:ascii="Arial" w:hAnsi="Arial"/>
                <w:sz w:val="14"/>
              </w:rPr>
              <w:t>C</w:t>
            </w:r>
          </w:p>
        </w:tc>
        <w:tc>
          <w:tcPr>
            <w:tcW w:type="dxa" w:w="1296"/>
            <w:vAlign w:val="top"/>
          </w:tcPr>
          <w:p>
            <w:pPr>
              <w:spacing w:after="20"/>
            </w:pPr>
            <w:r>
              <w:rPr>
                <w:rFonts w:ascii="Arial" w:hAnsi="Arial"/>
                <w:sz w:val="14"/>
              </w:rPr>
              <w:t>I</w:t>
            </w:r>
          </w:p>
        </w:tc>
      </w:tr>
      <w:tr>
        <w:tc>
          <w:tcPr>
            <w:tcW w:type="dxa" w:w="2880"/>
            <w:vAlign w:val="top"/>
          </w:tcPr>
          <w:p>
            <w:pPr>
              <w:spacing w:after="20"/>
            </w:pPr>
            <w:r>
              <w:rPr>
                <w:rFonts w:ascii="Arial" w:hAnsi="Arial"/>
                <w:sz w:val="14"/>
              </w:rPr>
              <w:t>Regulatory / risk oversight</w:t>
            </w:r>
          </w:p>
        </w:tc>
        <w:tc>
          <w:tcPr>
            <w:tcW w:type="dxa" w:w="1152"/>
            <w:vAlign w:val="top"/>
          </w:tcPr>
          <w:p>
            <w:pPr>
              <w:spacing w:after="20"/>
            </w:pPr>
            <w:r>
              <w:rPr>
                <w:rFonts w:ascii="Arial" w:hAnsi="Arial"/>
                <w:sz w:val="14"/>
              </w:rPr>
              <w:t>C</w:t>
            </w:r>
          </w:p>
        </w:tc>
        <w:tc>
          <w:tcPr>
            <w:tcW w:type="dxa" w:w="1440"/>
            <w:vAlign w:val="top"/>
          </w:tcPr>
          <w:p>
            <w:pPr>
              <w:spacing w:after="20"/>
            </w:pPr>
            <w:r>
              <w:rPr>
                <w:rFonts w:ascii="Arial" w:hAnsi="Arial"/>
                <w:sz w:val="14"/>
              </w:rPr>
              <w:t>A</w:t>
            </w:r>
          </w:p>
        </w:tc>
        <w:tc>
          <w:tcPr>
            <w:tcW w:type="dxa" w:w="1152"/>
            <w:vAlign w:val="top"/>
          </w:tcPr>
          <w:p>
            <w:pPr>
              <w:spacing w:after="20"/>
            </w:pPr>
            <w:r>
              <w:rPr>
                <w:rFonts w:ascii="Arial" w:hAnsi="Arial"/>
                <w:sz w:val="14"/>
              </w:rPr>
              <w:t>C</w:t>
            </w:r>
          </w:p>
        </w:tc>
        <w:tc>
          <w:tcPr>
            <w:tcW w:type="dxa" w:w="1440"/>
            <w:vAlign w:val="top"/>
          </w:tcPr>
          <w:p>
            <w:pPr>
              <w:spacing w:after="20"/>
            </w:pPr>
            <w:r>
              <w:rPr>
                <w:rFonts w:ascii="Arial" w:hAnsi="Arial"/>
                <w:sz w:val="14"/>
              </w:rPr>
              <w:t>C</w:t>
            </w:r>
          </w:p>
        </w:tc>
        <w:tc>
          <w:tcPr>
            <w:tcW w:type="dxa" w:w="1440"/>
            <w:vAlign w:val="top"/>
          </w:tcPr>
          <w:p>
            <w:pPr>
              <w:spacing w:after="20"/>
            </w:pPr>
            <w:r>
              <w:rPr>
                <w:rFonts w:ascii="Arial" w:hAnsi="Arial"/>
                <w:sz w:val="14"/>
              </w:rPr>
              <w:t>R</w:t>
            </w:r>
          </w:p>
        </w:tc>
        <w:tc>
          <w:tcPr>
            <w:tcW w:type="dxa" w:w="1296"/>
            <w:vAlign w:val="top"/>
          </w:tcPr>
          <w:p>
            <w:pPr>
              <w:spacing w:after="20"/>
            </w:pPr>
            <w:r>
              <w:rPr>
                <w:rFonts w:ascii="Arial" w:hAnsi="Arial"/>
                <w:sz w:val="14"/>
              </w:rPr>
              <w:t>I</w:t>
            </w:r>
          </w:p>
        </w:tc>
      </w:tr>
      <w:tr>
        <w:tc>
          <w:tcPr>
            <w:tcW w:type="dxa" w:w="2880"/>
            <w:vAlign w:val="top"/>
          </w:tcPr>
          <w:p>
            <w:pPr>
              <w:spacing w:after="20"/>
            </w:pPr>
            <w:r>
              <w:rPr>
                <w:rFonts w:ascii="Arial" w:hAnsi="Arial"/>
                <w:sz w:val="14"/>
              </w:rPr>
              <w:t>Independent assurance / audit</w:t>
            </w:r>
          </w:p>
        </w:tc>
        <w:tc>
          <w:tcPr>
            <w:tcW w:type="dxa" w:w="1152"/>
            <w:vAlign w:val="top"/>
          </w:tcPr>
          <w:p>
            <w:pPr>
              <w:spacing w:after="20"/>
            </w:pPr>
            <w:r>
              <w:rPr>
                <w:rFonts w:ascii="Arial" w:hAnsi="Arial"/>
                <w:sz w:val="14"/>
              </w:rPr>
              <w:t>C</w:t>
            </w:r>
          </w:p>
        </w:tc>
        <w:tc>
          <w:tcPr>
            <w:tcW w:type="dxa" w:w="1440"/>
            <w:vAlign w:val="top"/>
          </w:tcPr>
          <w:p>
            <w:pPr>
              <w:spacing w:after="20"/>
            </w:pPr>
            <w:r>
              <w:rPr>
                <w:rFonts w:ascii="Arial" w:hAnsi="Arial"/>
                <w:sz w:val="14"/>
              </w:rPr>
              <w:t>C</w:t>
            </w:r>
          </w:p>
        </w:tc>
        <w:tc>
          <w:tcPr>
            <w:tcW w:type="dxa" w:w="1152"/>
            <w:vAlign w:val="top"/>
          </w:tcPr>
          <w:p>
            <w:pPr>
              <w:spacing w:after="20"/>
            </w:pPr>
            <w:r>
              <w:rPr>
                <w:rFonts w:ascii="Arial" w:hAnsi="Arial"/>
                <w:sz w:val="14"/>
              </w:rPr>
              <w:t>C</w:t>
            </w:r>
          </w:p>
        </w:tc>
        <w:tc>
          <w:tcPr>
            <w:tcW w:type="dxa" w:w="1440"/>
            <w:vAlign w:val="top"/>
          </w:tcPr>
          <w:p>
            <w:pPr>
              <w:spacing w:after="20"/>
            </w:pPr>
            <w:r>
              <w:rPr>
                <w:rFonts w:ascii="Arial" w:hAnsi="Arial"/>
                <w:sz w:val="14"/>
              </w:rPr>
              <w:t>C</w:t>
            </w:r>
          </w:p>
        </w:tc>
        <w:tc>
          <w:tcPr>
            <w:tcW w:type="dxa" w:w="1440"/>
            <w:vAlign w:val="top"/>
          </w:tcPr>
          <w:p>
            <w:pPr>
              <w:spacing w:after="20"/>
            </w:pPr>
            <w:r>
              <w:rPr>
                <w:rFonts w:ascii="Arial" w:hAnsi="Arial"/>
                <w:sz w:val="14"/>
              </w:rPr>
              <w:t>C</w:t>
            </w:r>
          </w:p>
        </w:tc>
        <w:tc>
          <w:tcPr>
            <w:tcW w:type="dxa" w:w="1296"/>
            <w:vAlign w:val="top"/>
          </w:tcPr>
          <w:p>
            <w:pPr>
              <w:spacing w:after="20"/>
            </w:pPr>
            <w:r>
              <w:rPr>
                <w:rFonts w:ascii="Arial" w:hAnsi="Arial"/>
                <w:sz w:val="14"/>
              </w:rPr>
              <w:t>R/A</w:t>
            </w:r>
          </w:p>
        </w:tc>
      </w:tr>
      <w:tr>
        <w:tc>
          <w:tcPr>
            <w:tcW w:type="dxa" w:w="2880"/>
            <w:vAlign w:val="top"/>
          </w:tcPr>
          <w:p>
            <w:pPr>
              <w:spacing w:after="20"/>
            </w:pPr>
            <w:r>
              <w:rPr>
                <w:rFonts w:ascii="Arial" w:hAnsi="Arial"/>
                <w:sz w:val="14"/>
              </w:rPr>
              <w:t>Exit planning</w:t>
            </w:r>
          </w:p>
        </w:tc>
        <w:tc>
          <w:tcPr>
            <w:tcW w:type="dxa" w:w="1152"/>
            <w:vAlign w:val="top"/>
          </w:tcPr>
          <w:p>
            <w:pPr>
              <w:spacing w:after="20"/>
            </w:pPr>
            <w:r>
              <w:rPr>
                <w:rFonts w:ascii="Arial" w:hAnsi="Arial"/>
                <w:sz w:val="14"/>
              </w:rPr>
              <w:t>C</w:t>
            </w:r>
          </w:p>
        </w:tc>
        <w:tc>
          <w:tcPr>
            <w:tcW w:type="dxa" w:w="1440"/>
            <w:vAlign w:val="top"/>
          </w:tcPr>
          <w:p>
            <w:pPr>
              <w:spacing w:after="20"/>
            </w:pPr>
            <w:r>
              <w:rPr>
                <w:rFonts w:ascii="Arial" w:hAnsi="Arial"/>
                <w:sz w:val="14"/>
              </w:rPr>
              <w:t>A/R</w:t>
            </w:r>
          </w:p>
        </w:tc>
        <w:tc>
          <w:tcPr>
            <w:tcW w:type="dxa" w:w="1152"/>
            <w:vAlign w:val="top"/>
          </w:tcPr>
          <w:p>
            <w:pPr>
              <w:spacing w:after="20"/>
            </w:pPr>
            <w:r>
              <w:rPr>
                <w:rFonts w:ascii="Arial" w:hAnsi="Arial"/>
                <w:sz w:val="14"/>
              </w:rPr>
              <w:t>C</w:t>
            </w:r>
          </w:p>
        </w:tc>
        <w:tc>
          <w:tcPr>
            <w:tcW w:type="dxa" w:w="1440"/>
            <w:vAlign w:val="top"/>
          </w:tcPr>
          <w:p>
            <w:pPr>
              <w:spacing w:after="20"/>
            </w:pPr>
            <w:r>
              <w:rPr>
                <w:rFonts w:ascii="Arial" w:hAnsi="Arial"/>
                <w:sz w:val="14"/>
              </w:rPr>
              <w:t>C</w:t>
            </w:r>
          </w:p>
        </w:tc>
        <w:tc>
          <w:tcPr>
            <w:tcW w:type="dxa" w:w="1440"/>
            <w:vAlign w:val="top"/>
          </w:tcPr>
          <w:p>
            <w:pPr>
              <w:spacing w:after="20"/>
            </w:pPr>
            <w:r>
              <w:rPr>
                <w:rFonts w:ascii="Arial" w:hAnsi="Arial"/>
                <w:sz w:val="14"/>
              </w:rPr>
              <w:t>C</w:t>
            </w:r>
          </w:p>
        </w:tc>
        <w:tc>
          <w:tcPr>
            <w:tcW w:type="dxa" w:w="1296"/>
            <w:vAlign w:val="top"/>
          </w:tcPr>
          <w:p>
            <w:pPr>
              <w:spacing w:after="20"/>
            </w:pPr>
            <w:r>
              <w:rPr>
                <w:rFonts w:ascii="Arial" w:hAnsi="Arial"/>
                <w:sz w:val="14"/>
              </w:rPr>
              <w:t>I</w:t>
            </w:r>
          </w:p>
        </w:tc>
      </w:tr>
    </w:tbl>
    <w:p/>
    <w:p>
      <w:pPr>
        <w:pStyle w:val="SmallNote"/>
      </w:pPr>
      <w:r>
        <w:t>Legend: R = Responsible; A = Accountable; O = Oversight; C = Consulted; I = Informed. A/Oversight means accountability for service outcome, not execution of provider operations.</w:t>
      </w:r>
    </w:p>
    <w:p>
      <w:pPr>
        <w:pStyle w:val="Heading1"/>
      </w:pPr>
      <w:r>
        <w:t>9. Provider Assurance and Control Reliance</w:t>
      </w:r>
    </w:p>
    <w:p>
      <w:r>
        <w:t>The-Bank must maintain a documented Control Reliance Strategy specifying when a provider control may be relied upon and when targeted independent validation or reperformance is required.</w:t>
      </w:r>
    </w:p>
    <w:p>
      <w:pPr>
        <w:pStyle w:val="Heading2"/>
      </w:pPr>
      <w:r>
        <w:t>9.1 Reliance evidence hierarchy</w:t>
      </w:r>
    </w:p>
    <w:p>
      <w:pPr>
        <w:pStyle w:val="ListNumber"/>
        <w:spacing w:after="40"/>
      </w:pPr>
      <w:r>
        <w:t>Relevant independent assurance covering the control objective and period.</w:t>
      </w:r>
    </w:p>
    <w:p>
      <w:pPr>
        <w:pStyle w:val="ListNumber"/>
        <w:spacing w:after="40"/>
      </w:pPr>
      <w:r>
        <w:t>Provider control attestation supported by traceable evidence.</w:t>
      </w:r>
    </w:p>
    <w:p>
      <w:pPr>
        <w:pStyle w:val="ListNumber"/>
        <w:spacing w:after="40"/>
      </w:pPr>
      <w:r>
        <w:t>Structured KPI/KRI, primary reconciliation and exception reporting.</w:t>
      </w:r>
    </w:p>
    <w:p>
      <w:pPr>
        <w:pStyle w:val="ListNumber"/>
        <w:spacing w:after="40"/>
      </w:pPr>
      <w:r>
        <w:t>Targeted transaction / exception / event evidence sampling where risk justifies it.</w:t>
      </w:r>
    </w:p>
    <w:p>
      <w:pPr>
        <w:pStyle w:val="ListNumber"/>
        <w:spacing w:after="40"/>
      </w:pPr>
      <w:r>
        <w:t>Reperformance only where required by regulation, policy, contract, audit finding or material control concern.</w:t>
      </w:r>
    </w:p>
    <w:p>
      <w:pPr>
        <w:pStyle w:val="Heading2"/>
      </w:pPr>
      <w:r>
        <w:t>9.2 Reliance reconsideration triggers</w:t>
      </w:r>
    </w:p>
    <w:p>
      <w:pPr>
        <w:pStyle w:val="ListBullet"/>
        <w:spacing w:after="40"/>
      </w:pPr>
      <w:r>
        <w:t>Material incident or zero-tolerance event.</w:t>
      </w:r>
    </w:p>
    <w:p>
      <w:pPr>
        <w:pStyle w:val="ListBullet"/>
        <w:spacing w:after="40"/>
      </w:pPr>
      <w:r>
        <w:t>Adverse audit or assurance qualification.</w:t>
      </w:r>
    </w:p>
    <w:p>
      <w:pPr>
        <w:pStyle w:val="ListBullet"/>
        <w:spacing w:after="40"/>
      </w:pPr>
      <w:r>
        <w:t>Repeated SLA/KRI breach or recurring control failure.</w:t>
      </w:r>
    </w:p>
    <w:p>
      <w:pPr>
        <w:pStyle w:val="ListBullet"/>
        <w:spacing w:after="40"/>
      </w:pPr>
      <w:r>
        <w:t>Material architecture, smart-contract, key-management or ARM change.</w:t>
      </w:r>
    </w:p>
    <w:p>
      <w:pPr>
        <w:pStyle w:val="ListBullet"/>
        <w:spacing w:after="40"/>
      </w:pPr>
      <w:r>
        <w:t>Change of critical fourth party or material concentration risk.</w:t>
      </w:r>
    </w:p>
    <w:p>
      <w:pPr>
        <w:pStyle w:val="ListBullet"/>
        <w:spacing w:after="40"/>
      </w:pPr>
      <w:r>
        <w:t>Deterioration in provider regulatory or financial position.</w:t>
      </w:r>
    </w:p>
    <w:tbl>
      <w:tblPr>
        <w:tblStyle w:val="TableGrid"/>
        <w:tblW w:type="auto" w:w="0"/>
        <w:tblLook w:firstColumn="1" w:firstRow="1" w:lastColumn="0" w:lastRow="0" w:noHBand="0" w:noVBand="1" w:val="04A0"/>
      </w:tblPr>
      <w:tblGrid>
        <w:gridCol w:w="10166"/>
      </w:tblGrid>
      <w:tr>
        <w:tc>
          <w:tcPr>
            <w:tcW w:type="dxa" w:w="10166"/>
            <w:shd w:fill="FFF2F2"/>
          </w:tcPr>
          <w:p>
            <w:pPr>
              <w:pStyle w:val="Callout"/>
              <w:spacing w:after="40"/>
            </w:pPr>
            <w:r>
              <w:t>Where reliance conditions are not met, The-Bank increases verification depth, requests remediation, adds compensating controls or escalates/accepts residual risk through the applicable risk process.</w:t>
            </w:r>
          </w:p>
        </w:tc>
      </w:tr>
    </w:tbl>
    <w:p/>
    <w:p>
      <w:pPr>
        <w:pStyle w:val="Heading1"/>
      </w:pPr>
      <w:r>
        <w:t>10. Material Event Taxonomy</w:t>
      </w:r>
    </w:p>
    <w:p>
      <w:r>
        <w:t>Material events bypass normal monthly service governance and require immediate or accelerated notification, triage and escalation. Precise contractual notification timings and contacts must be defined separately.</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152"/>
            <w:shd w:fill="C00000"/>
          </w:tcPr>
          <w:p>
            <w:r>
              <w:rPr>
                <w:rFonts w:ascii="Arial" w:hAnsi="Arial"/>
                <w:b/>
                <w:color w:val="FFFFFF"/>
                <w:sz w:val="16"/>
              </w:rPr>
              <w:t>Event ID</w:t>
            </w:r>
          </w:p>
        </w:tc>
        <w:tc>
          <w:tcPr>
            <w:tcW w:type="dxa" w:w="3744"/>
            <w:shd w:fill="C00000"/>
          </w:tcPr>
          <w:p>
            <w:r>
              <w:rPr>
                <w:rFonts w:ascii="Arial" w:hAnsi="Arial"/>
                <w:b/>
                <w:color w:val="FFFFFF"/>
                <w:sz w:val="16"/>
              </w:rPr>
              <w:t>Material event</w:t>
            </w:r>
          </w:p>
        </w:tc>
        <w:tc>
          <w:tcPr>
            <w:tcW w:type="dxa" w:w="6048"/>
            <w:shd w:fill="C00000"/>
          </w:tcPr>
          <w:p>
            <w:r>
              <w:rPr>
                <w:rFonts w:ascii="Arial" w:hAnsi="Arial"/>
                <w:b/>
                <w:color w:val="FFFFFF"/>
                <w:sz w:val="16"/>
              </w:rPr>
              <w:t>Minimum expectation</w:t>
            </w:r>
          </w:p>
        </w:tc>
        <w:tc>
          <w:tcPr>
            <w:tcW w:type="dxa" w:w="2016"/>
            <w:shd w:fill="C00000"/>
          </w:tcPr>
          <w:p>
            <w:r>
              <w:rPr>
                <w:rFonts w:ascii="Arial" w:hAnsi="Arial"/>
                <w:b/>
                <w:color w:val="FFFFFF"/>
                <w:sz w:val="16"/>
              </w:rPr>
              <w:t>Default treatment</w:t>
            </w:r>
          </w:p>
        </w:tc>
      </w:tr>
      <w:tr>
        <w:tc>
          <w:tcPr>
            <w:tcW w:type="dxa" w:w="1152"/>
            <w:vAlign w:val="top"/>
          </w:tcPr>
          <w:p>
            <w:pPr>
              <w:spacing w:after="20"/>
            </w:pPr>
            <w:r>
              <w:rPr>
                <w:rFonts w:ascii="Arial" w:hAnsi="Arial"/>
                <w:sz w:val="15"/>
              </w:rPr>
              <w:t>EVT-01</w:t>
            </w:r>
          </w:p>
        </w:tc>
        <w:tc>
          <w:tcPr>
            <w:tcW w:type="dxa" w:w="3744"/>
            <w:vAlign w:val="top"/>
          </w:tcPr>
          <w:p>
            <w:pPr>
              <w:spacing w:after="20"/>
            </w:pPr>
            <w:r>
              <w:rPr>
                <w:rFonts w:ascii="Arial" w:hAnsi="Arial"/>
                <w:sz w:val="15"/>
              </w:rPr>
              <w:t>Unauthorized issuance / mint</w:t>
            </w:r>
          </w:p>
        </w:tc>
        <w:tc>
          <w:tcPr>
            <w:tcW w:type="dxa" w:w="6048"/>
            <w:vAlign w:val="top"/>
          </w:tcPr>
          <w:p>
            <w:pPr>
              <w:spacing w:after="20"/>
            </w:pPr>
            <w:r>
              <w:rPr>
                <w:rFonts w:ascii="Arial" w:hAnsi="Arial"/>
                <w:sz w:val="15"/>
              </w:rPr>
              <w:t>Immediate notification; contain activity; preserve evidence; reconcile authoritative register and token supply.</w:t>
            </w:r>
          </w:p>
        </w:tc>
        <w:tc>
          <w:tcPr>
            <w:tcW w:type="dxa" w:w="2016"/>
            <w:vAlign w:val="top"/>
          </w:tcPr>
          <w:p>
            <w:pPr>
              <w:spacing w:after="20"/>
            </w:pPr>
            <w:r>
              <w:rPr>
                <w:rFonts w:ascii="Arial" w:hAnsi="Arial"/>
                <w:sz w:val="15"/>
              </w:rPr>
              <w:t>Critical / zero tolerance</w:t>
            </w:r>
          </w:p>
        </w:tc>
      </w:tr>
      <w:tr>
        <w:tc>
          <w:tcPr>
            <w:tcW w:type="dxa" w:w="1152"/>
            <w:vAlign w:val="top"/>
          </w:tcPr>
          <w:p>
            <w:pPr>
              <w:spacing w:after="20"/>
            </w:pPr>
            <w:r>
              <w:rPr>
                <w:rFonts w:ascii="Arial" w:hAnsi="Arial"/>
                <w:sz w:val="15"/>
              </w:rPr>
              <w:t>EVT-02</w:t>
            </w:r>
          </w:p>
        </w:tc>
        <w:tc>
          <w:tcPr>
            <w:tcW w:type="dxa" w:w="3744"/>
            <w:vAlign w:val="top"/>
          </w:tcPr>
          <w:p>
            <w:pPr>
              <w:spacing w:after="20"/>
            </w:pPr>
            <w:r>
              <w:rPr>
                <w:rFonts w:ascii="Arial" w:hAnsi="Arial"/>
                <w:sz w:val="15"/>
              </w:rPr>
              <w:t>Unauthorized burn / cancellation</w:t>
            </w:r>
          </w:p>
        </w:tc>
        <w:tc>
          <w:tcPr>
            <w:tcW w:type="dxa" w:w="6048"/>
            <w:vAlign w:val="top"/>
          </w:tcPr>
          <w:p>
            <w:pPr>
              <w:spacing w:after="20"/>
            </w:pPr>
            <w:r>
              <w:rPr>
                <w:rFonts w:ascii="Arial" w:hAnsi="Arial"/>
                <w:sz w:val="15"/>
              </w:rPr>
              <w:t>Contain affected activity; preserve evidence; validate redemption/cancellation authorization and affected ownership.</w:t>
            </w:r>
          </w:p>
        </w:tc>
        <w:tc>
          <w:tcPr>
            <w:tcW w:type="dxa" w:w="2016"/>
            <w:vAlign w:val="top"/>
          </w:tcPr>
          <w:p>
            <w:pPr>
              <w:spacing w:after="20"/>
            </w:pPr>
            <w:r>
              <w:rPr>
                <w:rFonts w:ascii="Arial" w:hAnsi="Arial"/>
                <w:sz w:val="15"/>
              </w:rPr>
              <w:t>Critical / zero tolerance</w:t>
            </w:r>
          </w:p>
        </w:tc>
      </w:tr>
      <w:tr>
        <w:tc>
          <w:tcPr>
            <w:tcW w:type="dxa" w:w="1152"/>
            <w:vAlign w:val="top"/>
          </w:tcPr>
          <w:p>
            <w:pPr>
              <w:spacing w:after="20"/>
            </w:pPr>
            <w:r>
              <w:rPr>
                <w:rFonts w:ascii="Arial" w:hAnsi="Arial"/>
                <w:sz w:val="15"/>
              </w:rPr>
              <w:t>EVT-03</w:t>
            </w:r>
          </w:p>
        </w:tc>
        <w:tc>
          <w:tcPr>
            <w:tcW w:type="dxa" w:w="3744"/>
            <w:vAlign w:val="top"/>
          </w:tcPr>
          <w:p>
            <w:pPr>
              <w:spacing w:after="20"/>
            </w:pPr>
            <w:r>
              <w:rPr>
                <w:rFonts w:ascii="Arial" w:hAnsi="Arial"/>
                <w:sz w:val="15"/>
              </w:rPr>
              <w:t>Authoritative-register / ownership mismatch</w:t>
            </w:r>
          </w:p>
        </w:tc>
        <w:tc>
          <w:tcPr>
            <w:tcW w:type="dxa" w:w="6048"/>
            <w:vAlign w:val="top"/>
          </w:tcPr>
          <w:p>
            <w:pPr>
              <w:spacing w:after="20"/>
            </w:pPr>
            <w:r>
              <w:rPr>
                <w:rFonts w:ascii="Arial" w:hAnsi="Arial"/>
                <w:sz w:val="15"/>
              </w:rPr>
              <w:t>Identify affected investors/positions; resolve record conflict; assess investor, legal and regulatory impact.</w:t>
            </w:r>
          </w:p>
        </w:tc>
        <w:tc>
          <w:tcPr>
            <w:tcW w:type="dxa" w:w="2016"/>
            <w:vAlign w:val="top"/>
          </w:tcPr>
          <w:p>
            <w:pPr>
              <w:spacing w:after="20"/>
            </w:pPr>
            <w:r>
              <w:rPr>
                <w:rFonts w:ascii="Arial" w:hAnsi="Arial"/>
                <w:sz w:val="15"/>
              </w:rPr>
              <w:t>Critical if unexplained/material</w:t>
            </w:r>
          </w:p>
        </w:tc>
      </w:tr>
      <w:tr>
        <w:tc>
          <w:tcPr>
            <w:tcW w:type="dxa" w:w="1152"/>
            <w:vAlign w:val="top"/>
          </w:tcPr>
          <w:p>
            <w:pPr>
              <w:spacing w:after="20"/>
            </w:pPr>
            <w:r>
              <w:rPr>
                <w:rFonts w:ascii="Arial" w:hAnsi="Arial"/>
                <w:sz w:val="15"/>
              </w:rPr>
              <w:t>EVT-04</w:t>
            </w:r>
          </w:p>
        </w:tc>
        <w:tc>
          <w:tcPr>
            <w:tcW w:type="dxa" w:w="3744"/>
            <w:vAlign w:val="top"/>
          </w:tcPr>
          <w:p>
            <w:pPr>
              <w:spacing w:after="20"/>
            </w:pPr>
            <w:r>
              <w:rPr>
                <w:rFonts w:ascii="Arial" w:hAnsi="Arial"/>
                <w:sz w:val="15"/>
              </w:rPr>
              <w:t>Token supply mismatch</w:t>
            </w:r>
          </w:p>
        </w:tc>
        <w:tc>
          <w:tcPr>
            <w:tcW w:type="dxa" w:w="6048"/>
            <w:vAlign w:val="top"/>
          </w:tcPr>
          <w:p>
            <w:pPr>
              <w:spacing w:after="20"/>
            </w:pPr>
            <w:r>
              <w:rPr>
                <w:rFonts w:ascii="Arial" w:hAnsi="Arial"/>
                <w:sz w:val="15"/>
              </w:rPr>
              <w:t>Reconcile authorized issued/outstanding securities to valid token supply; determine root cause.</w:t>
            </w:r>
          </w:p>
        </w:tc>
        <w:tc>
          <w:tcPr>
            <w:tcW w:type="dxa" w:w="2016"/>
            <w:vAlign w:val="top"/>
          </w:tcPr>
          <w:p>
            <w:pPr>
              <w:spacing w:after="20"/>
            </w:pPr>
            <w:r>
              <w:rPr>
                <w:rFonts w:ascii="Arial" w:hAnsi="Arial"/>
                <w:sz w:val="15"/>
              </w:rPr>
              <w:t>Critical / zero tolerance</w:t>
            </w:r>
          </w:p>
        </w:tc>
      </w:tr>
      <w:tr>
        <w:tc>
          <w:tcPr>
            <w:tcW w:type="dxa" w:w="1152"/>
            <w:vAlign w:val="top"/>
          </w:tcPr>
          <w:p>
            <w:pPr>
              <w:spacing w:after="20"/>
            </w:pPr>
            <w:r>
              <w:rPr>
                <w:rFonts w:ascii="Arial" w:hAnsi="Arial"/>
                <w:sz w:val="15"/>
              </w:rPr>
              <w:t>EVT-05</w:t>
            </w:r>
          </w:p>
        </w:tc>
        <w:tc>
          <w:tcPr>
            <w:tcW w:type="dxa" w:w="3744"/>
            <w:vAlign w:val="top"/>
          </w:tcPr>
          <w:p>
            <w:pPr>
              <w:spacing w:after="20"/>
            </w:pPr>
            <w:r>
              <w:rPr>
                <w:rFonts w:ascii="Arial" w:hAnsi="Arial"/>
                <w:sz w:val="15"/>
              </w:rPr>
              <w:t>Compromise of privileged credentials, signing keys or administrative control</w:t>
            </w:r>
          </w:p>
        </w:tc>
        <w:tc>
          <w:tcPr>
            <w:tcW w:type="dxa" w:w="6048"/>
            <w:vAlign w:val="top"/>
          </w:tcPr>
          <w:p>
            <w:pPr>
              <w:spacing w:after="20"/>
            </w:pPr>
            <w:r>
              <w:rPr>
                <w:rFonts w:ascii="Arial" w:hAnsi="Arial"/>
                <w:sz w:val="15"/>
              </w:rPr>
              <w:t>Contain access; rotate/revoke credentials or keys; assess unauthorized activity; preserve evidence; invoke recovery governance.</w:t>
            </w:r>
          </w:p>
        </w:tc>
        <w:tc>
          <w:tcPr>
            <w:tcW w:type="dxa" w:w="2016"/>
            <w:vAlign w:val="top"/>
          </w:tcPr>
          <w:p>
            <w:pPr>
              <w:spacing w:after="20"/>
            </w:pPr>
            <w:r>
              <w:rPr>
                <w:rFonts w:ascii="Arial" w:hAnsi="Arial"/>
                <w:sz w:val="15"/>
              </w:rPr>
              <w:t>Critical</w:t>
            </w:r>
          </w:p>
        </w:tc>
      </w:tr>
      <w:tr>
        <w:tc>
          <w:tcPr>
            <w:tcW w:type="dxa" w:w="1152"/>
            <w:vAlign w:val="top"/>
          </w:tcPr>
          <w:p>
            <w:pPr>
              <w:spacing w:after="20"/>
            </w:pPr>
            <w:r>
              <w:rPr>
                <w:rFonts w:ascii="Arial" w:hAnsi="Arial"/>
                <w:sz w:val="15"/>
              </w:rPr>
              <w:t>EVT-06</w:t>
            </w:r>
          </w:p>
        </w:tc>
        <w:tc>
          <w:tcPr>
            <w:tcW w:type="dxa" w:w="3744"/>
            <w:vAlign w:val="top"/>
          </w:tcPr>
          <w:p>
            <w:pPr>
              <w:spacing w:after="20"/>
            </w:pPr>
            <w:r>
              <w:rPr>
                <w:rFonts w:ascii="Arial" w:hAnsi="Arial"/>
                <w:sz w:val="15"/>
              </w:rPr>
              <w:t>Smart-contract exploit, material vulnerability or unauthorized upgrade</w:t>
            </w:r>
          </w:p>
        </w:tc>
        <w:tc>
          <w:tcPr>
            <w:tcW w:type="dxa" w:w="6048"/>
            <w:vAlign w:val="top"/>
          </w:tcPr>
          <w:p>
            <w:pPr>
              <w:spacing w:after="20"/>
            </w:pPr>
            <w:r>
              <w:rPr>
                <w:rFonts w:ascii="Arial" w:hAnsi="Arial"/>
                <w:sz w:val="15"/>
              </w:rPr>
              <w:t>Pause/contain where available; assess affected assets/transactions; invoke security, recovery and communication procedures.</w:t>
            </w:r>
          </w:p>
        </w:tc>
        <w:tc>
          <w:tcPr>
            <w:tcW w:type="dxa" w:w="2016"/>
            <w:vAlign w:val="top"/>
          </w:tcPr>
          <w:p>
            <w:pPr>
              <w:spacing w:after="20"/>
            </w:pPr>
            <w:r>
              <w:rPr>
                <w:rFonts w:ascii="Arial" w:hAnsi="Arial"/>
                <w:sz w:val="15"/>
              </w:rPr>
              <w:t>Critical</w:t>
            </w:r>
          </w:p>
        </w:tc>
      </w:tr>
      <w:tr>
        <w:tc>
          <w:tcPr>
            <w:tcW w:type="dxa" w:w="1152"/>
            <w:vAlign w:val="top"/>
          </w:tcPr>
          <w:p>
            <w:pPr>
              <w:spacing w:after="20"/>
            </w:pPr>
            <w:r>
              <w:rPr>
                <w:rFonts w:ascii="Arial" w:hAnsi="Arial"/>
                <w:sz w:val="15"/>
              </w:rPr>
              <w:t>EVT-07</w:t>
            </w:r>
          </w:p>
        </w:tc>
        <w:tc>
          <w:tcPr>
            <w:tcW w:type="dxa" w:w="3744"/>
            <w:vAlign w:val="top"/>
          </w:tcPr>
          <w:p>
            <w:pPr>
              <w:spacing w:after="20"/>
            </w:pPr>
            <w:r>
              <w:rPr>
                <w:rFonts w:ascii="Arial" w:hAnsi="Arial"/>
                <w:sz w:val="15"/>
              </w:rPr>
              <w:t>Material DLT/network or platform outage / finality issue</w:t>
            </w:r>
          </w:p>
        </w:tc>
        <w:tc>
          <w:tcPr>
            <w:tcW w:type="dxa" w:w="6048"/>
            <w:vAlign w:val="top"/>
          </w:tcPr>
          <w:p>
            <w:pPr>
              <w:spacing w:after="20"/>
            </w:pPr>
            <w:r>
              <w:rPr>
                <w:rFonts w:ascii="Arial" w:hAnsi="Arial"/>
                <w:sz w:val="15"/>
              </w:rPr>
              <w:t>Assess backlog, register integrity, investor impact, finality risk and fallback processing.</w:t>
            </w:r>
          </w:p>
        </w:tc>
        <w:tc>
          <w:tcPr>
            <w:tcW w:type="dxa" w:w="2016"/>
            <w:vAlign w:val="top"/>
          </w:tcPr>
          <w:p>
            <w:pPr>
              <w:spacing w:after="20"/>
            </w:pPr>
            <w:r>
              <w:rPr>
                <w:rFonts w:ascii="Arial" w:hAnsi="Arial"/>
                <w:sz w:val="15"/>
              </w:rPr>
              <w:t>High/Critical based on impact</w:t>
            </w:r>
          </w:p>
        </w:tc>
      </w:tr>
      <w:tr>
        <w:tc>
          <w:tcPr>
            <w:tcW w:type="dxa" w:w="1152"/>
            <w:vAlign w:val="top"/>
          </w:tcPr>
          <w:p>
            <w:pPr>
              <w:spacing w:after="20"/>
            </w:pPr>
            <w:r>
              <w:rPr>
                <w:rFonts w:ascii="Arial" w:hAnsi="Arial"/>
                <w:sz w:val="15"/>
              </w:rPr>
              <w:t>EVT-08</w:t>
            </w:r>
          </w:p>
        </w:tc>
        <w:tc>
          <w:tcPr>
            <w:tcW w:type="dxa" w:w="3744"/>
            <w:vAlign w:val="top"/>
          </w:tcPr>
          <w:p>
            <w:pPr>
              <w:spacing w:after="20"/>
            </w:pPr>
            <w:r>
              <w:rPr>
                <w:rFonts w:ascii="Arial" w:hAnsi="Arial"/>
                <w:sz w:val="15"/>
              </w:rPr>
              <w:t>Material regulatory investigation/finding or loss/change of required authorization</w:t>
            </w:r>
          </w:p>
        </w:tc>
        <w:tc>
          <w:tcPr>
            <w:tcW w:type="dxa" w:w="6048"/>
            <w:vAlign w:val="top"/>
          </w:tcPr>
          <w:p>
            <w:pPr>
              <w:spacing w:after="20"/>
            </w:pPr>
            <w:r>
              <w:rPr>
                <w:rFonts w:ascii="Arial" w:hAnsi="Arial"/>
                <w:sz w:val="15"/>
              </w:rPr>
              <w:t>Immediate Legal/Compliance review and service-continuity assessment.</w:t>
            </w:r>
          </w:p>
        </w:tc>
        <w:tc>
          <w:tcPr>
            <w:tcW w:type="dxa" w:w="2016"/>
            <w:vAlign w:val="top"/>
          </w:tcPr>
          <w:p>
            <w:pPr>
              <w:spacing w:after="20"/>
            </w:pPr>
            <w:r>
              <w:rPr>
                <w:rFonts w:ascii="Arial" w:hAnsi="Arial"/>
                <w:sz w:val="15"/>
              </w:rPr>
              <w:t>Critical governance event</w:t>
            </w:r>
          </w:p>
        </w:tc>
      </w:tr>
      <w:tr>
        <w:tc>
          <w:tcPr>
            <w:tcW w:type="dxa" w:w="1152"/>
            <w:vAlign w:val="top"/>
          </w:tcPr>
          <w:p>
            <w:pPr>
              <w:spacing w:after="20"/>
            </w:pPr>
            <w:r>
              <w:rPr>
                <w:rFonts w:ascii="Arial" w:hAnsi="Arial"/>
                <w:sz w:val="15"/>
              </w:rPr>
              <w:t>EVT-09</w:t>
            </w:r>
          </w:p>
        </w:tc>
        <w:tc>
          <w:tcPr>
            <w:tcW w:type="dxa" w:w="3744"/>
            <w:vAlign w:val="top"/>
          </w:tcPr>
          <w:p>
            <w:pPr>
              <w:spacing w:after="20"/>
            </w:pPr>
            <w:r>
              <w:rPr>
                <w:rFonts w:ascii="Arial" w:hAnsi="Arial"/>
                <w:sz w:val="15"/>
              </w:rPr>
              <w:t>Material privacy/cyber breach affecting DTA service</w:t>
            </w:r>
          </w:p>
        </w:tc>
        <w:tc>
          <w:tcPr>
            <w:tcW w:type="dxa" w:w="6048"/>
            <w:vAlign w:val="top"/>
          </w:tcPr>
          <w:p>
            <w:pPr>
              <w:spacing w:after="20"/>
            </w:pPr>
            <w:r>
              <w:rPr>
                <w:rFonts w:ascii="Arial" w:hAnsi="Arial"/>
                <w:sz w:val="15"/>
              </w:rPr>
              <w:t>Execute cyber/privacy obligations and assess transaction/register and investor impact.</w:t>
            </w:r>
          </w:p>
        </w:tc>
        <w:tc>
          <w:tcPr>
            <w:tcW w:type="dxa" w:w="2016"/>
            <w:vAlign w:val="top"/>
          </w:tcPr>
          <w:p>
            <w:pPr>
              <w:spacing w:after="20"/>
            </w:pPr>
            <w:r>
              <w:rPr>
                <w:rFonts w:ascii="Arial" w:hAnsi="Arial"/>
                <w:sz w:val="15"/>
              </w:rPr>
              <w:t>Critical/High</w:t>
            </w:r>
          </w:p>
        </w:tc>
      </w:tr>
      <w:tr>
        <w:tc>
          <w:tcPr>
            <w:tcW w:type="dxa" w:w="1152"/>
            <w:vAlign w:val="top"/>
          </w:tcPr>
          <w:p>
            <w:pPr>
              <w:spacing w:after="20"/>
            </w:pPr>
            <w:r>
              <w:rPr>
                <w:rFonts w:ascii="Arial" w:hAnsi="Arial"/>
                <w:sz w:val="15"/>
              </w:rPr>
              <w:t>EVT-10</w:t>
            </w:r>
          </w:p>
        </w:tc>
        <w:tc>
          <w:tcPr>
            <w:tcW w:type="dxa" w:w="3744"/>
            <w:vAlign w:val="top"/>
          </w:tcPr>
          <w:p>
            <w:pPr>
              <w:spacing w:after="20"/>
            </w:pPr>
            <w:r>
              <w:rPr>
                <w:rFonts w:ascii="Arial" w:hAnsi="Arial"/>
                <w:sz w:val="15"/>
              </w:rPr>
              <w:t>Critical provider or fourth-party failure / insolvency risk</w:t>
            </w:r>
          </w:p>
        </w:tc>
        <w:tc>
          <w:tcPr>
            <w:tcW w:type="dxa" w:w="6048"/>
            <w:vAlign w:val="top"/>
          </w:tcPr>
          <w:p>
            <w:pPr>
              <w:spacing w:after="20"/>
            </w:pPr>
            <w:r>
              <w:rPr>
                <w:rFonts w:ascii="Arial" w:hAnsi="Arial"/>
                <w:sz w:val="15"/>
              </w:rPr>
              <w:t>Activate continuity/fallback and assess concentration, substitutability, exit and service-continuity impact.</w:t>
            </w:r>
          </w:p>
        </w:tc>
        <w:tc>
          <w:tcPr>
            <w:tcW w:type="dxa" w:w="2016"/>
            <w:vAlign w:val="top"/>
          </w:tcPr>
          <w:p>
            <w:pPr>
              <w:spacing w:after="20"/>
            </w:pPr>
            <w:r>
              <w:rPr>
                <w:rFonts w:ascii="Arial" w:hAnsi="Arial"/>
                <w:sz w:val="15"/>
              </w:rPr>
              <w:t>High/Critical</w:t>
            </w:r>
          </w:p>
        </w:tc>
      </w:tr>
      <w:tr>
        <w:tc>
          <w:tcPr>
            <w:tcW w:type="dxa" w:w="1152"/>
            <w:vAlign w:val="top"/>
          </w:tcPr>
          <w:p>
            <w:pPr>
              <w:spacing w:after="20"/>
            </w:pPr>
            <w:r>
              <w:rPr>
                <w:rFonts w:ascii="Arial" w:hAnsi="Arial"/>
                <w:sz w:val="15"/>
              </w:rPr>
              <w:t>EVT-11</w:t>
            </w:r>
          </w:p>
        </w:tc>
        <w:tc>
          <w:tcPr>
            <w:tcW w:type="dxa" w:w="3744"/>
            <w:vAlign w:val="top"/>
          </w:tcPr>
          <w:p>
            <w:pPr>
              <w:spacing w:after="20"/>
            </w:pPr>
            <w:r>
              <w:rPr>
                <w:rFonts w:ascii="Arial" w:hAnsi="Arial"/>
                <w:sz w:val="15"/>
              </w:rPr>
              <w:t>Material unapproved change to DTA service / controls / key-management / critical dependency</w:t>
            </w:r>
          </w:p>
        </w:tc>
        <w:tc>
          <w:tcPr>
            <w:tcW w:type="dxa" w:w="6048"/>
            <w:vAlign w:val="top"/>
          </w:tcPr>
          <w:p>
            <w:pPr>
              <w:spacing w:after="20"/>
            </w:pPr>
            <w:r>
              <w:rPr>
                <w:rFonts w:ascii="Arial" w:hAnsi="Arial"/>
                <w:sz w:val="15"/>
              </w:rPr>
              <w:t>Stop or contain change where appropriate; assess control impact; invoke change/incident governance.</w:t>
            </w:r>
          </w:p>
        </w:tc>
        <w:tc>
          <w:tcPr>
            <w:tcW w:type="dxa" w:w="2016"/>
            <w:vAlign w:val="top"/>
          </w:tcPr>
          <w:p>
            <w:pPr>
              <w:spacing w:after="20"/>
            </w:pPr>
            <w:r>
              <w:rPr>
                <w:rFonts w:ascii="Arial" w:hAnsi="Arial"/>
                <w:sz w:val="15"/>
              </w:rPr>
              <w:t>Critical if control/integrity impact</w:t>
            </w:r>
          </w:p>
        </w:tc>
      </w:tr>
      <w:tr>
        <w:tc>
          <w:tcPr>
            <w:tcW w:type="dxa" w:w="1152"/>
            <w:vAlign w:val="top"/>
          </w:tcPr>
          <w:p>
            <w:pPr>
              <w:spacing w:after="20"/>
            </w:pPr>
            <w:r>
              <w:rPr>
                <w:rFonts w:ascii="Arial" w:hAnsi="Arial"/>
                <w:sz w:val="15"/>
              </w:rPr>
              <w:t>EVT-12</w:t>
            </w:r>
          </w:p>
        </w:tc>
        <w:tc>
          <w:tcPr>
            <w:tcW w:type="dxa" w:w="3744"/>
            <w:vAlign w:val="top"/>
          </w:tcPr>
          <w:p>
            <w:pPr>
              <w:spacing w:after="20"/>
            </w:pPr>
            <w:r>
              <w:rPr>
                <w:rFonts w:ascii="Arial" w:hAnsi="Arial"/>
                <w:sz w:val="15"/>
              </w:rPr>
              <w:t>Material change to Authoritative Record Model</w:t>
            </w:r>
          </w:p>
        </w:tc>
        <w:tc>
          <w:tcPr>
            <w:tcW w:type="dxa" w:w="6048"/>
            <w:vAlign w:val="top"/>
          </w:tcPr>
          <w:p>
            <w:pPr>
              <w:spacing w:after="20"/>
            </w:pPr>
            <w:r>
              <w:rPr>
                <w:rFonts w:ascii="Arial" w:hAnsi="Arial"/>
                <w:sz w:val="15"/>
              </w:rPr>
              <w:t>No implementation without Legal, Operations, Risk, Technology and Service Owner approval.</w:t>
            </w:r>
          </w:p>
        </w:tc>
        <w:tc>
          <w:tcPr>
            <w:tcW w:type="dxa" w:w="2016"/>
            <w:vAlign w:val="top"/>
          </w:tcPr>
          <w:p>
            <w:pPr>
              <w:spacing w:after="20"/>
            </w:pPr>
            <w:r>
              <w:rPr>
                <w:rFonts w:ascii="Arial" w:hAnsi="Arial"/>
                <w:sz w:val="15"/>
              </w:rPr>
              <w:t>Pre-approval required / Critical design change</w:t>
            </w:r>
          </w:p>
        </w:tc>
      </w:tr>
    </w:tbl>
    <w:p/>
    <w:tbl>
      <w:tblPr>
        <w:tblStyle w:val="TableGrid"/>
        <w:tblW w:type="auto" w:w="0"/>
        <w:tblLook w:firstColumn="1" w:firstRow="1" w:lastColumn="0" w:lastRow="0" w:noHBand="0" w:noVBand="1" w:val="04A0"/>
      </w:tblPr>
      <w:tblGrid>
        <w:gridCol w:w="10166"/>
      </w:tblGrid>
      <w:tr>
        <w:tc>
          <w:tcPr>
            <w:tcW w:type="dxa" w:w="10166"/>
            <w:shd w:fill="FFF2F2"/>
          </w:tcPr>
          <w:p>
            <w:pPr>
              <w:pStyle w:val="Callout"/>
              <w:spacing w:after="40"/>
            </w:pPr>
            <w:r>
              <w:t>The future technical Solution Design must use these EVT IDs when defining detection sources, rules, alerts and workflows.</w:t>
            </w:r>
          </w:p>
        </w:tc>
      </w:tr>
    </w:tbl>
    <w:p/>
    <w:p>
      <w:pPr>
        <w:pStyle w:val="Heading1"/>
      </w:pPr>
      <w:r>
        <w:t>11. Governance Structure and Cadence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448"/>
            <w:shd w:fill="C00000"/>
          </w:tcPr>
          <w:p>
            <w:r>
              <w:rPr>
                <w:rFonts w:ascii="Arial" w:hAnsi="Arial"/>
                <w:b/>
                <w:color w:val="FFFFFF"/>
                <w:sz w:val="16"/>
              </w:rPr>
              <w:t>Cadence / forum</w:t>
            </w:r>
          </w:p>
        </w:tc>
        <w:tc>
          <w:tcPr>
            <w:tcW w:type="dxa" w:w="3168"/>
            <w:shd w:fill="C00000"/>
          </w:tcPr>
          <w:p>
            <w:r>
              <w:rPr>
                <w:rFonts w:ascii="Arial" w:hAnsi="Arial"/>
                <w:b/>
                <w:color w:val="FFFFFF"/>
                <w:sz w:val="16"/>
              </w:rPr>
              <w:t>Purpose</w:t>
            </w:r>
          </w:p>
        </w:tc>
        <w:tc>
          <w:tcPr>
            <w:tcW w:type="dxa" w:w="4320"/>
            <w:shd w:fill="C00000"/>
          </w:tcPr>
          <w:p>
            <w:r>
              <w:rPr>
                <w:rFonts w:ascii="Arial" w:hAnsi="Arial"/>
                <w:b/>
                <w:color w:val="FFFFFF"/>
                <w:sz w:val="16"/>
              </w:rPr>
              <w:t>Minimum inputs</w:t>
            </w:r>
          </w:p>
        </w:tc>
        <w:tc>
          <w:tcPr>
            <w:tcW w:type="dxa" w:w="2448"/>
            <w:shd w:fill="C00000"/>
          </w:tcPr>
          <w:p>
            <w:r>
              <w:rPr>
                <w:rFonts w:ascii="Arial" w:hAnsi="Arial"/>
                <w:b/>
                <w:color w:val="FFFFFF"/>
                <w:sz w:val="16"/>
              </w:rPr>
              <w:t>Outputs</w:t>
            </w:r>
          </w:p>
        </w:tc>
      </w:tr>
      <w:tr>
        <w:tc>
          <w:tcPr>
            <w:tcW w:type="dxa" w:w="2448"/>
            <w:vAlign w:val="top"/>
          </w:tcPr>
          <w:p>
            <w:pPr>
              <w:spacing w:after="20"/>
            </w:pPr>
            <w:r>
              <w:rPr>
                <w:rFonts w:ascii="Arial" w:hAnsi="Arial"/>
                <w:sz w:val="15"/>
              </w:rPr>
              <w:t>Daily / event-driven operational oversight</w:t>
            </w:r>
          </w:p>
        </w:tc>
        <w:tc>
          <w:tcPr>
            <w:tcW w:type="dxa" w:w="3168"/>
            <w:vAlign w:val="top"/>
          </w:tcPr>
          <w:p>
            <w:pPr>
              <w:spacing w:after="20"/>
            </w:pPr>
            <w:r>
              <w:rPr>
                <w:rFonts w:ascii="Arial" w:hAnsi="Arial"/>
                <w:sz w:val="15"/>
              </w:rPr>
              <w:t>Detect and resolve material service/control issues.</w:t>
            </w:r>
          </w:p>
        </w:tc>
        <w:tc>
          <w:tcPr>
            <w:tcW w:type="dxa" w:w="4320"/>
            <w:vAlign w:val="top"/>
          </w:tcPr>
          <w:p>
            <w:pPr>
              <w:spacing w:after="20"/>
            </w:pPr>
            <w:r>
              <w:rPr>
                <w:rFonts w:ascii="Arial" w:hAnsi="Arial"/>
                <w:sz w:val="15"/>
              </w:rPr>
              <w:t>Provider reconciliation breaks, failed controls, independent verification exceptions, material events, aged exceptions.</w:t>
            </w:r>
          </w:p>
        </w:tc>
        <w:tc>
          <w:tcPr>
            <w:tcW w:type="dxa" w:w="2448"/>
            <w:vAlign w:val="top"/>
          </w:tcPr>
          <w:p>
            <w:pPr>
              <w:spacing w:after="20"/>
            </w:pPr>
            <w:r>
              <w:rPr>
                <w:rFonts w:ascii="Arial" w:hAnsi="Arial"/>
                <w:sz w:val="15"/>
              </w:rPr>
              <w:t>Incident/escalation decisions, action owners, containment and recovery decisions.</w:t>
            </w:r>
          </w:p>
        </w:tc>
      </w:tr>
      <w:tr>
        <w:tc>
          <w:tcPr>
            <w:tcW w:type="dxa" w:w="2448"/>
            <w:vAlign w:val="top"/>
          </w:tcPr>
          <w:p>
            <w:pPr>
              <w:spacing w:after="20"/>
            </w:pPr>
            <w:r>
              <w:rPr>
                <w:rFonts w:ascii="Arial" w:hAnsi="Arial"/>
                <w:sz w:val="15"/>
              </w:rPr>
              <w:t>Monthly DTA Service Review</w:t>
            </w:r>
          </w:p>
        </w:tc>
        <w:tc>
          <w:tcPr>
            <w:tcW w:type="dxa" w:w="3168"/>
            <w:vAlign w:val="top"/>
          </w:tcPr>
          <w:p>
            <w:pPr>
              <w:spacing w:after="20"/>
            </w:pPr>
            <w:r>
              <w:rPr>
                <w:rFonts w:ascii="Arial" w:hAnsi="Arial"/>
                <w:sz w:val="15"/>
              </w:rPr>
              <w:t>Review performance, risk and control outcomes.</w:t>
            </w:r>
          </w:p>
        </w:tc>
        <w:tc>
          <w:tcPr>
            <w:tcW w:type="dxa" w:w="4320"/>
            <w:vAlign w:val="top"/>
          </w:tcPr>
          <w:p>
            <w:pPr>
              <w:spacing w:after="20"/>
            </w:pPr>
            <w:r>
              <w:rPr>
                <w:rFonts w:ascii="Arial" w:hAnsi="Arial"/>
                <w:sz w:val="15"/>
              </w:rPr>
              <w:t>Volumes, SLA/KRI, provider reconciliation, independent verification, incidents, changes, findings, actions.</w:t>
            </w:r>
          </w:p>
        </w:tc>
        <w:tc>
          <w:tcPr>
            <w:tcW w:type="dxa" w:w="2448"/>
            <w:vAlign w:val="top"/>
          </w:tcPr>
          <w:p>
            <w:pPr>
              <w:spacing w:after="20"/>
            </w:pPr>
            <w:r>
              <w:rPr>
                <w:rFonts w:ascii="Arial" w:hAnsi="Arial"/>
                <w:sz w:val="15"/>
              </w:rPr>
              <w:t>Service status, actions, risk escalations, decisions.</w:t>
            </w:r>
          </w:p>
        </w:tc>
      </w:tr>
      <w:tr>
        <w:tc>
          <w:tcPr>
            <w:tcW w:type="dxa" w:w="2448"/>
            <w:vAlign w:val="top"/>
          </w:tcPr>
          <w:p>
            <w:pPr>
              <w:spacing w:after="20"/>
            </w:pPr>
            <w:r>
              <w:rPr>
                <w:rFonts w:ascii="Arial" w:hAnsi="Arial"/>
                <w:sz w:val="15"/>
              </w:rPr>
              <w:t>Quarterly DTA Oversight Committee</w:t>
            </w:r>
          </w:p>
        </w:tc>
        <w:tc>
          <w:tcPr>
            <w:tcW w:type="dxa" w:w="3168"/>
            <w:vAlign w:val="top"/>
          </w:tcPr>
          <w:p>
            <w:pPr>
              <w:spacing w:after="20"/>
            </w:pPr>
            <w:r>
              <w:rPr>
                <w:rFonts w:ascii="Arial" w:hAnsi="Arial"/>
                <w:sz w:val="15"/>
              </w:rPr>
              <w:t>Senior oversight of service risk and forward look.</w:t>
            </w:r>
          </w:p>
        </w:tc>
        <w:tc>
          <w:tcPr>
            <w:tcW w:type="dxa" w:w="4320"/>
            <w:vAlign w:val="top"/>
          </w:tcPr>
          <w:p>
            <w:pPr>
              <w:spacing w:after="20"/>
            </w:pPr>
            <w:r>
              <w:rPr>
                <w:rFonts w:ascii="Arial" w:hAnsi="Arial"/>
                <w:sz w:val="15"/>
              </w:rPr>
              <w:t>Trend pack, DLT/network risk, control reliance, material changes, fourth parties, resilience, remediation.</w:t>
            </w:r>
          </w:p>
        </w:tc>
        <w:tc>
          <w:tcPr>
            <w:tcW w:type="dxa" w:w="2448"/>
            <w:vAlign w:val="top"/>
          </w:tcPr>
          <w:p>
            <w:pPr>
              <w:spacing w:after="20"/>
            </w:pPr>
            <w:r>
              <w:rPr>
                <w:rFonts w:ascii="Arial" w:hAnsi="Arial"/>
                <w:sz w:val="15"/>
              </w:rPr>
              <w:t>Risk decisions, accepted residual risks, strategic actions.</w:t>
            </w:r>
          </w:p>
        </w:tc>
      </w:tr>
      <w:tr>
        <w:tc>
          <w:tcPr>
            <w:tcW w:type="dxa" w:w="2448"/>
            <w:vAlign w:val="top"/>
          </w:tcPr>
          <w:p>
            <w:pPr>
              <w:spacing w:after="20"/>
            </w:pPr>
            <w:r>
              <w:rPr>
                <w:rFonts w:ascii="Arial" w:hAnsi="Arial"/>
                <w:sz w:val="15"/>
              </w:rPr>
              <w:t>Annual Assurance / TPRM Review</w:t>
            </w:r>
          </w:p>
        </w:tc>
        <w:tc>
          <w:tcPr>
            <w:tcW w:type="dxa" w:w="3168"/>
            <w:vAlign w:val="top"/>
          </w:tcPr>
          <w:p>
            <w:pPr>
              <w:spacing w:after="20"/>
            </w:pPr>
            <w:r>
              <w:rPr>
                <w:rFonts w:ascii="Arial" w:hAnsi="Arial"/>
                <w:sz w:val="15"/>
              </w:rPr>
              <w:t>Assess continued suitability and control environment.</w:t>
            </w:r>
          </w:p>
        </w:tc>
        <w:tc>
          <w:tcPr>
            <w:tcW w:type="dxa" w:w="4320"/>
            <w:vAlign w:val="top"/>
          </w:tcPr>
          <w:p>
            <w:pPr>
              <w:spacing w:after="20"/>
            </w:pPr>
            <w:r>
              <w:rPr>
                <w:rFonts w:ascii="Arial" w:hAnsi="Arial"/>
                <w:sz w:val="15"/>
              </w:rPr>
              <w:t>SOC/audit, regulatory status, DR/BCP, pen test, provider reassessment, DLT DD refresh, exit readiness.</w:t>
            </w:r>
          </w:p>
        </w:tc>
        <w:tc>
          <w:tcPr>
            <w:tcW w:type="dxa" w:w="2448"/>
            <w:vAlign w:val="top"/>
          </w:tcPr>
          <w:p>
            <w:pPr>
              <w:spacing w:after="20"/>
            </w:pPr>
            <w:r>
              <w:rPr>
                <w:rFonts w:ascii="Arial" w:hAnsi="Arial"/>
                <w:sz w:val="15"/>
              </w:rPr>
              <w:t>Annual risk/assurance conclusion and remediation plan.</w:t>
            </w:r>
          </w:p>
        </w:tc>
      </w:tr>
      <w:tr>
        <w:tc>
          <w:tcPr>
            <w:tcW w:type="dxa" w:w="2448"/>
            <w:vAlign w:val="top"/>
          </w:tcPr>
          <w:p>
            <w:pPr>
              <w:spacing w:after="20"/>
            </w:pPr>
            <w:r>
              <w:rPr>
                <w:rFonts w:ascii="Arial" w:hAnsi="Arial"/>
                <w:sz w:val="15"/>
              </w:rPr>
              <w:t>Event-driven Risk / Technology / Legal governance</w:t>
            </w:r>
          </w:p>
        </w:tc>
        <w:tc>
          <w:tcPr>
            <w:tcW w:type="dxa" w:w="3168"/>
            <w:vAlign w:val="top"/>
          </w:tcPr>
          <w:p>
            <w:pPr>
              <w:spacing w:after="20"/>
            </w:pPr>
            <w:r>
              <w:rPr>
                <w:rFonts w:ascii="Arial" w:hAnsi="Arial"/>
                <w:sz w:val="15"/>
              </w:rPr>
              <w:t>Govern critical design or risk changes.</w:t>
            </w:r>
          </w:p>
        </w:tc>
        <w:tc>
          <w:tcPr>
            <w:tcW w:type="dxa" w:w="4320"/>
            <w:vAlign w:val="top"/>
          </w:tcPr>
          <w:p>
            <w:pPr>
              <w:spacing w:after="20"/>
            </w:pPr>
            <w:r>
              <w:rPr>
                <w:rFonts w:ascii="Arial" w:hAnsi="Arial"/>
                <w:sz w:val="15"/>
              </w:rPr>
              <w:t>New network, material smart-contract/key change, ARM change, critical incident, regulatory change.</w:t>
            </w:r>
          </w:p>
        </w:tc>
        <w:tc>
          <w:tcPr>
            <w:tcW w:type="dxa" w:w="2448"/>
            <w:vAlign w:val="top"/>
          </w:tcPr>
          <w:p>
            <w:pPr>
              <w:spacing w:after="20"/>
            </w:pPr>
            <w:r>
              <w:rPr>
                <w:rFonts w:ascii="Arial" w:hAnsi="Arial"/>
                <w:sz w:val="15"/>
              </w:rPr>
              <w:t>Approval / rejection / risk acceptance / conditions.</w:t>
            </w:r>
          </w:p>
        </w:tc>
      </w:tr>
    </w:tbl>
    <w:p/>
    <w:p>
      <w:pPr>
        <w:pStyle w:val="Heading1"/>
      </w:pPr>
      <w:r>
        <w:t>12. DTA Oversight Control Domains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456"/>
            <w:shd w:fill="C00000"/>
          </w:tcPr>
          <w:p>
            <w:r>
              <w:rPr>
                <w:rFonts w:ascii="Arial" w:hAnsi="Arial"/>
                <w:b/>
                <w:color w:val="FFFFFF"/>
                <w:sz w:val="16"/>
              </w:rPr>
              <w:t>Domain</w:t>
            </w:r>
          </w:p>
        </w:tc>
        <w:tc>
          <w:tcPr>
            <w:tcW w:type="dxa" w:w="8064"/>
            <w:shd w:fill="C00000"/>
          </w:tcPr>
          <w:p>
            <w:r>
              <w:rPr>
                <w:rFonts w:ascii="Arial" w:hAnsi="Arial"/>
                <w:b/>
                <w:color w:val="FFFFFF"/>
                <w:sz w:val="16"/>
              </w:rPr>
              <w:t>Objective</w:t>
            </w:r>
          </w:p>
        </w:tc>
      </w:tr>
      <w:tr>
        <w:tc>
          <w:tcPr>
            <w:tcW w:type="dxa" w:w="3456"/>
            <w:vAlign w:val="top"/>
          </w:tcPr>
          <w:p>
            <w:pPr>
              <w:spacing w:after="20"/>
            </w:pPr>
            <w:r>
              <w:rPr>
                <w:rFonts w:ascii="Arial" w:hAnsi="Arial"/>
                <w:sz w:val="16"/>
              </w:rPr>
              <w:t>Governance &amp; Accountability</w:t>
            </w:r>
          </w:p>
        </w:tc>
        <w:tc>
          <w:tcPr>
            <w:tcW w:type="dxa" w:w="8064"/>
            <w:vAlign w:val="top"/>
          </w:tcPr>
          <w:p>
            <w:pPr>
              <w:spacing w:after="20"/>
            </w:pPr>
            <w:r>
              <w:rPr>
                <w:rFonts w:ascii="Arial" w:hAnsi="Arial"/>
                <w:sz w:val="16"/>
              </w:rPr>
              <w:t>Appointment, ownership, mandate, service scope, regulatory perimeter and governance.</w:t>
            </w:r>
          </w:p>
        </w:tc>
      </w:tr>
      <w:tr>
        <w:tc>
          <w:tcPr>
            <w:tcW w:type="dxa" w:w="3456"/>
            <w:vAlign w:val="top"/>
          </w:tcPr>
          <w:p>
            <w:pPr>
              <w:spacing w:after="20"/>
            </w:pPr>
            <w:r>
              <w:rPr>
                <w:rFonts w:ascii="Arial" w:hAnsi="Arial"/>
                <w:sz w:val="16"/>
              </w:rPr>
              <w:t>Authoritative Record &amp; Register Integrity</w:t>
            </w:r>
          </w:p>
        </w:tc>
        <w:tc>
          <w:tcPr>
            <w:tcW w:type="dxa" w:w="8064"/>
            <w:vAlign w:val="top"/>
          </w:tcPr>
          <w:p>
            <w:pPr>
              <w:spacing w:after="20"/>
            </w:pPr>
            <w:r>
              <w:rPr>
                <w:rFonts w:ascii="Arial" w:hAnsi="Arial"/>
                <w:sz w:val="16"/>
              </w:rPr>
              <w:t>Legal/official record, supply integrity, ownership integrity, reconciliation and break governance.</w:t>
            </w:r>
          </w:p>
        </w:tc>
      </w:tr>
      <w:tr>
        <w:tc>
          <w:tcPr>
            <w:tcW w:type="dxa" w:w="3456"/>
            <w:vAlign w:val="top"/>
          </w:tcPr>
          <w:p>
            <w:pPr>
              <w:spacing w:after="20"/>
            </w:pPr>
            <w:r>
              <w:rPr>
                <w:rFonts w:ascii="Arial" w:hAnsi="Arial"/>
                <w:sz w:val="16"/>
              </w:rPr>
              <w:t>Transaction Lifecycle</w:t>
            </w:r>
          </w:p>
        </w:tc>
        <w:tc>
          <w:tcPr>
            <w:tcW w:type="dxa" w:w="8064"/>
            <w:vAlign w:val="top"/>
          </w:tcPr>
          <w:p>
            <w:pPr>
              <w:spacing w:after="20"/>
            </w:pPr>
            <w:r>
              <w:rPr>
                <w:rFonts w:ascii="Arial" w:hAnsi="Arial"/>
                <w:sz w:val="16"/>
              </w:rPr>
              <w:t>Subscriptions, issuance/minting, transfers, redemptions, burns and manual interventions.</w:t>
            </w:r>
          </w:p>
        </w:tc>
      </w:tr>
      <w:tr>
        <w:tc>
          <w:tcPr>
            <w:tcW w:type="dxa" w:w="3456"/>
            <w:vAlign w:val="top"/>
          </w:tcPr>
          <w:p>
            <w:pPr>
              <w:spacing w:after="20"/>
            </w:pPr>
            <w:r>
              <w:rPr>
                <w:rFonts w:ascii="Arial" w:hAnsi="Arial"/>
                <w:sz w:val="16"/>
              </w:rPr>
              <w:t>Independent Verification</w:t>
            </w:r>
          </w:p>
        </w:tc>
        <w:tc>
          <w:tcPr>
            <w:tcW w:type="dxa" w:w="8064"/>
            <w:vAlign w:val="top"/>
          </w:tcPr>
          <w:p>
            <w:pPr>
              <w:spacing w:after="20"/>
            </w:pPr>
            <w:r>
              <w:rPr>
                <w:rFonts w:ascii="Arial" w:hAnsi="Arial"/>
                <w:sz w:val="16"/>
              </w:rPr>
              <w:t>Selective validation of critical outcomes without recreating the provider DTA.</w:t>
            </w:r>
          </w:p>
        </w:tc>
      </w:tr>
      <w:tr>
        <w:tc>
          <w:tcPr>
            <w:tcW w:type="dxa" w:w="3456"/>
            <w:vAlign w:val="top"/>
          </w:tcPr>
          <w:p>
            <w:pPr>
              <w:spacing w:after="20"/>
            </w:pPr>
            <w:r>
              <w:rPr>
                <w:rFonts w:ascii="Arial" w:hAnsi="Arial"/>
                <w:sz w:val="16"/>
              </w:rPr>
              <w:t>Compliance &amp; Restrictions</w:t>
            </w:r>
          </w:p>
        </w:tc>
        <w:tc>
          <w:tcPr>
            <w:tcW w:type="dxa" w:w="8064"/>
            <w:vAlign w:val="top"/>
          </w:tcPr>
          <w:p>
            <w:pPr>
              <w:spacing w:after="20"/>
            </w:pPr>
            <w:r>
              <w:rPr>
                <w:rFonts w:ascii="Arial" w:hAnsi="Arial"/>
                <w:sz w:val="16"/>
              </w:rPr>
              <w:t>Eligibility, transfer restrictions, KYC/AML/sanctions allocation, books/records and investor-impact issues.</w:t>
            </w:r>
          </w:p>
        </w:tc>
      </w:tr>
      <w:tr>
        <w:tc>
          <w:tcPr>
            <w:tcW w:type="dxa" w:w="3456"/>
            <w:vAlign w:val="top"/>
          </w:tcPr>
          <w:p>
            <w:pPr>
              <w:spacing w:after="20"/>
            </w:pPr>
            <w:r>
              <w:rPr>
                <w:rFonts w:ascii="Arial" w:hAnsi="Arial"/>
                <w:sz w:val="16"/>
              </w:rPr>
              <w:t>Technology &amp; Smart Contracts</w:t>
            </w:r>
          </w:p>
        </w:tc>
        <w:tc>
          <w:tcPr>
            <w:tcW w:type="dxa" w:w="8064"/>
            <w:vAlign w:val="top"/>
          </w:tcPr>
          <w:p>
            <w:pPr>
              <w:spacing w:after="20"/>
            </w:pPr>
            <w:r>
              <w:rPr>
                <w:rFonts w:ascii="Arial" w:hAnsi="Arial"/>
                <w:sz w:val="16"/>
              </w:rPr>
              <w:t>Material changes, admin functions, privileged roles, upgrade governance and vulnerabilities.</w:t>
            </w:r>
          </w:p>
        </w:tc>
      </w:tr>
      <w:tr>
        <w:tc>
          <w:tcPr>
            <w:tcW w:type="dxa" w:w="3456"/>
            <w:vAlign w:val="top"/>
          </w:tcPr>
          <w:p>
            <w:pPr>
              <w:spacing w:after="20"/>
            </w:pPr>
            <w:r>
              <w:rPr>
                <w:rFonts w:ascii="Arial" w:hAnsi="Arial"/>
                <w:sz w:val="16"/>
              </w:rPr>
              <w:t>Security &amp; Key Management</w:t>
            </w:r>
          </w:p>
        </w:tc>
        <w:tc>
          <w:tcPr>
            <w:tcW w:type="dxa" w:w="8064"/>
            <w:vAlign w:val="top"/>
          </w:tcPr>
          <w:p>
            <w:pPr>
              <w:spacing w:after="20"/>
            </w:pPr>
            <w:r>
              <w:rPr>
                <w:rFonts w:ascii="Arial" w:hAnsi="Arial"/>
                <w:sz w:val="16"/>
              </w:rPr>
              <w:t>IAM, privileged access, signing/admin keys, incident notification and data protection.</w:t>
            </w:r>
          </w:p>
        </w:tc>
      </w:tr>
      <w:tr>
        <w:tc>
          <w:tcPr>
            <w:tcW w:type="dxa" w:w="3456"/>
            <w:vAlign w:val="top"/>
          </w:tcPr>
          <w:p>
            <w:pPr>
              <w:spacing w:after="20"/>
            </w:pPr>
            <w:r>
              <w:rPr>
                <w:rFonts w:ascii="Arial" w:hAnsi="Arial"/>
                <w:sz w:val="16"/>
              </w:rPr>
              <w:t>DLT / Network Risk</w:t>
            </w:r>
          </w:p>
        </w:tc>
        <w:tc>
          <w:tcPr>
            <w:tcW w:type="dxa" w:w="8064"/>
            <w:vAlign w:val="top"/>
          </w:tcPr>
          <w:p>
            <w:pPr>
              <w:spacing w:after="20"/>
            </w:pPr>
            <w:r>
              <w:rPr>
                <w:rFonts w:ascii="Arial" w:hAnsi="Arial"/>
                <w:sz w:val="16"/>
              </w:rPr>
              <w:t>Network security, finality, governance, outages, forks, concentration and suitability.</w:t>
            </w:r>
          </w:p>
        </w:tc>
      </w:tr>
      <w:tr>
        <w:tc>
          <w:tcPr>
            <w:tcW w:type="dxa" w:w="3456"/>
            <w:vAlign w:val="top"/>
          </w:tcPr>
          <w:p>
            <w:pPr>
              <w:spacing w:after="20"/>
            </w:pPr>
            <w:r>
              <w:rPr>
                <w:rFonts w:ascii="Arial" w:hAnsi="Arial"/>
                <w:sz w:val="16"/>
              </w:rPr>
              <w:t>Resilience &amp; Availability</w:t>
            </w:r>
          </w:p>
        </w:tc>
        <w:tc>
          <w:tcPr>
            <w:tcW w:type="dxa" w:w="8064"/>
            <w:vAlign w:val="top"/>
          </w:tcPr>
          <w:p>
            <w:pPr>
              <w:spacing w:after="20"/>
            </w:pPr>
            <w:r>
              <w:rPr>
                <w:rFonts w:ascii="Arial" w:hAnsi="Arial"/>
                <w:sz w:val="16"/>
              </w:rPr>
              <w:t>Availability, BCP/DR, RTO/RPO, fallback and recovery integrity.</w:t>
            </w:r>
          </w:p>
        </w:tc>
      </w:tr>
      <w:tr>
        <w:tc>
          <w:tcPr>
            <w:tcW w:type="dxa" w:w="3456"/>
            <w:vAlign w:val="top"/>
          </w:tcPr>
          <w:p>
            <w:pPr>
              <w:spacing w:after="20"/>
            </w:pPr>
            <w:r>
              <w:rPr>
                <w:rFonts w:ascii="Arial" w:hAnsi="Arial"/>
                <w:sz w:val="16"/>
              </w:rPr>
              <w:t>Third/Fourth Parties</w:t>
            </w:r>
          </w:p>
        </w:tc>
        <w:tc>
          <w:tcPr>
            <w:tcW w:type="dxa" w:w="8064"/>
            <w:vAlign w:val="top"/>
          </w:tcPr>
          <w:p>
            <w:pPr>
              <w:spacing w:after="20"/>
            </w:pPr>
            <w:r>
              <w:rPr>
                <w:rFonts w:ascii="Arial" w:hAnsi="Arial"/>
                <w:sz w:val="16"/>
              </w:rPr>
              <w:t>Critical dependencies, concentration, notification, substitutability and resilience.</w:t>
            </w:r>
          </w:p>
        </w:tc>
      </w:tr>
      <w:tr>
        <w:tc>
          <w:tcPr>
            <w:tcW w:type="dxa" w:w="3456"/>
            <w:vAlign w:val="top"/>
          </w:tcPr>
          <w:p>
            <w:pPr>
              <w:spacing w:after="20"/>
            </w:pPr>
            <w:r>
              <w:rPr>
                <w:rFonts w:ascii="Arial" w:hAnsi="Arial"/>
                <w:sz w:val="16"/>
              </w:rPr>
              <w:t>Assurance &amp; Findings</w:t>
            </w:r>
          </w:p>
        </w:tc>
        <w:tc>
          <w:tcPr>
            <w:tcW w:type="dxa" w:w="8064"/>
            <w:vAlign w:val="top"/>
          </w:tcPr>
          <w:p>
            <w:pPr>
              <w:spacing w:after="20"/>
            </w:pPr>
            <w:r>
              <w:rPr>
                <w:rFonts w:ascii="Arial" w:hAnsi="Arial"/>
                <w:sz w:val="16"/>
              </w:rPr>
              <w:t>SOC/ISO/audit evidence, findings, remediation, attestations and reliance decisions.</w:t>
            </w:r>
          </w:p>
        </w:tc>
      </w:tr>
      <w:tr>
        <w:tc>
          <w:tcPr>
            <w:tcW w:type="dxa" w:w="3456"/>
            <w:vAlign w:val="top"/>
          </w:tcPr>
          <w:p>
            <w:pPr>
              <w:spacing w:after="20"/>
            </w:pPr>
            <w:r>
              <w:rPr>
                <w:rFonts w:ascii="Arial" w:hAnsi="Arial"/>
                <w:sz w:val="16"/>
              </w:rPr>
              <w:t>Exit &amp; Transition</w:t>
            </w:r>
          </w:p>
        </w:tc>
        <w:tc>
          <w:tcPr>
            <w:tcW w:type="dxa" w:w="8064"/>
            <w:vAlign w:val="top"/>
          </w:tcPr>
          <w:p>
            <w:pPr>
              <w:spacing w:after="20"/>
            </w:pPr>
            <w:r>
              <w:rPr>
                <w:rFonts w:ascii="Arial" w:hAnsi="Arial"/>
                <w:sz w:val="16"/>
              </w:rPr>
              <w:t>Data portability, record transfer, technical/admin transition, continuity and exit testing.</w:t>
            </w:r>
          </w:p>
        </w:tc>
      </w:tr>
    </w:tbl>
    <w:p/>
    <w:p>
      <w:r>
        <w:t>The detailed control inventory is maintained in the DTA Control Catalogue. This standard remains authoritative for the control objectives and business intent.</w:t>
      </w:r>
    </w:p>
    <w:p>
      <w:pPr>
        <w:pStyle w:val="Heading1"/>
      </w:pPr>
      <w:r>
        <w:t>13. Register Integrity and Targeted Independent Verification</w:t>
      </w:r>
    </w:p>
    <w:p>
      <w:r>
        <w:t>Register and asset integrity is the central DTA oversight objective. The provider remains responsible for the primary reconciliation. The-Bank performs selective, risk-based independent checks to validate material outcomes.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440"/>
            <w:shd w:fill="C00000"/>
          </w:tcPr>
          <w:p>
            <w:r>
              <w:rPr>
                <w:rFonts w:ascii="Arial" w:hAnsi="Arial"/>
                <w:b/>
                <w:color w:val="FFFFFF"/>
                <w:sz w:val="16"/>
              </w:rPr>
              <w:t>Control ID</w:t>
            </w:r>
          </w:p>
        </w:tc>
        <w:tc>
          <w:tcPr>
            <w:tcW w:type="dxa" w:w="6912"/>
            <w:shd w:fill="C00000"/>
          </w:tcPr>
          <w:p>
            <w:r>
              <w:rPr>
                <w:rFonts w:ascii="Arial" w:hAnsi="Arial"/>
                <w:b/>
                <w:color w:val="FFFFFF"/>
                <w:sz w:val="16"/>
              </w:rPr>
              <w:t>Independent verification</w:t>
            </w:r>
          </w:p>
        </w:tc>
        <w:tc>
          <w:tcPr>
            <w:tcW w:type="dxa" w:w="3456"/>
            <w:shd w:fill="C00000"/>
          </w:tcPr>
          <w:p>
            <w:r>
              <w:rPr>
                <w:rFonts w:ascii="Arial" w:hAnsi="Arial"/>
                <w:b/>
                <w:color w:val="FFFFFF"/>
                <w:sz w:val="16"/>
              </w:rPr>
              <w:t>Default business treatment</w:t>
            </w:r>
          </w:p>
        </w:tc>
      </w:tr>
      <w:tr>
        <w:tc>
          <w:tcPr>
            <w:tcW w:type="dxa" w:w="1440"/>
            <w:vAlign w:val="top"/>
          </w:tcPr>
          <w:p>
            <w:pPr>
              <w:spacing w:after="20"/>
            </w:pPr>
            <w:r>
              <w:rPr>
                <w:rFonts w:ascii="Arial" w:hAnsi="Arial"/>
                <w:sz w:val="16"/>
              </w:rPr>
              <w:t>IV-001</w:t>
            </w:r>
          </w:p>
        </w:tc>
        <w:tc>
          <w:tcPr>
            <w:tcW w:type="dxa" w:w="6912"/>
            <w:vAlign w:val="top"/>
          </w:tcPr>
          <w:p>
            <w:pPr>
              <w:spacing w:after="20"/>
            </w:pPr>
            <w:r>
              <w:rPr>
                <w:rFonts w:ascii="Arial" w:hAnsi="Arial"/>
                <w:sz w:val="16"/>
              </w:rPr>
              <w:t>Authoritative registered supply versus total valid token supply.</w:t>
            </w:r>
          </w:p>
        </w:tc>
        <w:tc>
          <w:tcPr>
            <w:tcW w:type="dxa" w:w="3456"/>
            <w:vAlign w:val="top"/>
          </w:tcPr>
          <w:p>
            <w:pPr>
              <w:spacing w:after="20"/>
            </w:pPr>
            <w:r>
              <w:rPr>
                <w:rFonts w:ascii="Arial" w:hAnsi="Arial"/>
                <w:sz w:val="16"/>
              </w:rPr>
              <w:t>Any unexplained mismatch = Critical.</w:t>
            </w:r>
          </w:p>
        </w:tc>
      </w:tr>
      <w:tr>
        <w:tc>
          <w:tcPr>
            <w:tcW w:type="dxa" w:w="1440"/>
            <w:vAlign w:val="top"/>
          </w:tcPr>
          <w:p>
            <w:pPr>
              <w:spacing w:after="20"/>
            </w:pPr>
            <w:r>
              <w:rPr>
                <w:rFonts w:ascii="Arial" w:hAnsi="Arial"/>
                <w:sz w:val="16"/>
              </w:rPr>
              <w:t>IV-002</w:t>
            </w:r>
          </w:p>
        </w:tc>
        <w:tc>
          <w:tcPr>
            <w:tcW w:type="dxa" w:w="6912"/>
            <w:vAlign w:val="top"/>
          </w:tcPr>
          <w:p>
            <w:pPr>
              <w:spacing w:after="20"/>
            </w:pPr>
            <w:r>
              <w:rPr>
                <w:rFonts w:ascii="Arial" w:hAnsi="Arial"/>
                <w:sz w:val="16"/>
              </w:rPr>
              <w:t>Mint transactions versus authorized issuance/subscription instructions.</w:t>
            </w:r>
          </w:p>
        </w:tc>
        <w:tc>
          <w:tcPr>
            <w:tcW w:type="dxa" w:w="3456"/>
            <w:vAlign w:val="top"/>
          </w:tcPr>
          <w:p>
            <w:pPr>
              <w:spacing w:after="20"/>
            </w:pPr>
            <w:r>
              <w:rPr>
                <w:rFonts w:ascii="Arial" w:hAnsi="Arial"/>
                <w:sz w:val="16"/>
              </w:rPr>
              <w:t>Unauthorized mint = Critical.</w:t>
            </w:r>
          </w:p>
        </w:tc>
      </w:tr>
      <w:tr>
        <w:tc>
          <w:tcPr>
            <w:tcW w:type="dxa" w:w="1440"/>
            <w:vAlign w:val="top"/>
          </w:tcPr>
          <w:p>
            <w:pPr>
              <w:spacing w:after="20"/>
            </w:pPr>
            <w:r>
              <w:rPr>
                <w:rFonts w:ascii="Arial" w:hAnsi="Arial"/>
                <w:sz w:val="16"/>
              </w:rPr>
              <w:t>IV-003</w:t>
            </w:r>
          </w:p>
        </w:tc>
        <w:tc>
          <w:tcPr>
            <w:tcW w:type="dxa" w:w="6912"/>
            <w:vAlign w:val="top"/>
          </w:tcPr>
          <w:p>
            <w:pPr>
              <w:spacing w:after="20"/>
            </w:pPr>
            <w:r>
              <w:rPr>
                <w:rFonts w:ascii="Arial" w:hAnsi="Arial"/>
                <w:sz w:val="16"/>
              </w:rPr>
              <w:t>Burn transactions versus authorized redemption / approved cross-network movement.</w:t>
            </w:r>
          </w:p>
        </w:tc>
        <w:tc>
          <w:tcPr>
            <w:tcW w:type="dxa" w:w="3456"/>
            <w:vAlign w:val="top"/>
          </w:tcPr>
          <w:p>
            <w:pPr>
              <w:spacing w:after="20"/>
            </w:pPr>
            <w:r>
              <w:rPr>
                <w:rFonts w:ascii="Arial" w:hAnsi="Arial"/>
                <w:sz w:val="16"/>
              </w:rPr>
              <w:t>Unauthorized burn = Critical.</w:t>
            </w:r>
          </w:p>
        </w:tc>
      </w:tr>
      <w:tr>
        <w:tc>
          <w:tcPr>
            <w:tcW w:type="dxa" w:w="1440"/>
            <w:vAlign w:val="top"/>
          </w:tcPr>
          <w:p>
            <w:pPr>
              <w:spacing w:after="20"/>
            </w:pPr>
            <w:r>
              <w:rPr>
                <w:rFonts w:ascii="Arial" w:hAnsi="Arial"/>
                <w:sz w:val="16"/>
              </w:rPr>
              <w:t>IV-004</w:t>
            </w:r>
          </w:p>
        </w:tc>
        <w:tc>
          <w:tcPr>
            <w:tcW w:type="dxa" w:w="6912"/>
            <w:vAlign w:val="top"/>
          </w:tcPr>
          <w:p>
            <w:pPr>
              <w:spacing w:after="20"/>
            </w:pPr>
            <w:r>
              <w:rPr>
                <w:rFonts w:ascii="Arial" w:hAnsi="Arial"/>
                <w:sz w:val="16"/>
              </w:rPr>
              <w:t>Sample / risk-based shareholder position validation.</w:t>
            </w:r>
          </w:p>
        </w:tc>
        <w:tc>
          <w:tcPr>
            <w:tcW w:type="dxa" w:w="3456"/>
            <w:vAlign w:val="top"/>
          </w:tcPr>
          <w:p>
            <w:pPr>
              <w:spacing w:after="20"/>
            </w:pPr>
            <w:r>
              <w:rPr>
                <w:rFonts w:ascii="Arial" w:hAnsi="Arial"/>
                <w:sz w:val="16"/>
              </w:rPr>
              <w:t>Unexplained ownership mismatch = High/Critical.</w:t>
            </w:r>
          </w:p>
        </w:tc>
      </w:tr>
      <w:tr>
        <w:tc>
          <w:tcPr>
            <w:tcW w:type="dxa" w:w="1440"/>
            <w:vAlign w:val="top"/>
          </w:tcPr>
          <w:p>
            <w:pPr>
              <w:spacing w:after="20"/>
            </w:pPr>
            <w:r>
              <w:rPr>
                <w:rFonts w:ascii="Arial" w:hAnsi="Arial"/>
                <w:sz w:val="16"/>
              </w:rPr>
              <w:t>IV-005</w:t>
            </w:r>
          </w:p>
        </w:tc>
        <w:tc>
          <w:tcPr>
            <w:tcW w:type="dxa" w:w="6912"/>
            <w:vAlign w:val="top"/>
          </w:tcPr>
          <w:p>
            <w:pPr>
              <w:spacing w:after="20"/>
            </w:pPr>
            <w:r>
              <w:rPr>
                <w:rFonts w:ascii="Arial" w:hAnsi="Arial"/>
                <w:sz w:val="16"/>
              </w:rPr>
              <w:t>Aged provider primary-reconciliation breaks.</w:t>
            </w:r>
          </w:p>
        </w:tc>
        <w:tc>
          <w:tcPr>
            <w:tcW w:type="dxa" w:w="3456"/>
            <w:vAlign w:val="top"/>
          </w:tcPr>
          <w:p>
            <w:pPr>
              <w:spacing w:after="20"/>
            </w:pPr>
            <w:r>
              <w:rPr>
                <w:rFonts w:ascii="Arial" w:hAnsi="Arial"/>
                <w:sz w:val="16"/>
              </w:rPr>
              <w:t>Escalate beyond approved SLA/materiality.</w:t>
            </w:r>
          </w:p>
        </w:tc>
      </w:tr>
      <w:tr>
        <w:tc>
          <w:tcPr>
            <w:tcW w:type="dxa" w:w="1440"/>
            <w:vAlign w:val="top"/>
          </w:tcPr>
          <w:p>
            <w:pPr>
              <w:spacing w:after="20"/>
            </w:pPr>
            <w:r>
              <w:rPr>
                <w:rFonts w:ascii="Arial" w:hAnsi="Arial"/>
                <w:sz w:val="16"/>
              </w:rPr>
              <w:t>IV-006</w:t>
            </w:r>
          </w:p>
        </w:tc>
        <w:tc>
          <w:tcPr>
            <w:tcW w:type="dxa" w:w="6912"/>
            <w:vAlign w:val="top"/>
          </w:tcPr>
          <w:p>
            <w:pPr>
              <w:spacing w:after="20"/>
            </w:pPr>
            <w:r>
              <w:rPr>
                <w:rFonts w:ascii="Arial" w:hAnsi="Arial"/>
                <w:sz w:val="16"/>
              </w:rPr>
              <w:t>Material privileged/admin events and smart-contract upgrades.</w:t>
            </w:r>
          </w:p>
        </w:tc>
        <w:tc>
          <w:tcPr>
            <w:tcW w:type="dxa" w:w="3456"/>
            <w:vAlign w:val="top"/>
          </w:tcPr>
          <w:p>
            <w:pPr>
              <w:spacing w:after="20"/>
            </w:pPr>
            <w:r>
              <w:rPr>
                <w:rFonts w:ascii="Arial" w:hAnsi="Arial"/>
                <w:sz w:val="16"/>
              </w:rPr>
              <w:t>Unapproved material change = Critical.</w:t>
            </w:r>
          </w:p>
        </w:tc>
      </w:tr>
      <w:tr>
        <w:tc>
          <w:tcPr>
            <w:tcW w:type="dxa" w:w="1440"/>
            <w:vAlign w:val="top"/>
          </w:tcPr>
          <w:p>
            <w:pPr>
              <w:spacing w:after="20"/>
            </w:pPr>
            <w:r>
              <w:rPr>
                <w:rFonts w:ascii="Arial" w:hAnsi="Arial"/>
                <w:sz w:val="16"/>
              </w:rPr>
              <w:t>IV-007</w:t>
            </w:r>
          </w:p>
        </w:tc>
        <w:tc>
          <w:tcPr>
            <w:tcW w:type="dxa" w:w="6912"/>
            <w:vAlign w:val="top"/>
          </w:tcPr>
          <w:p>
            <w:pPr>
              <w:spacing w:after="20"/>
            </w:pPr>
            <w:r>
              <w:rPr>
                <w:rFonts w:ascii="Arial" w:hAnsi="Arial"/>
                <w:sz w:val="16"/>
              </w:rPr>
              <w:t>Network availability/finality anomalies affecting service.</w:t>
            </w:r>
          </w:p>
        </w:tc>
        <w:tc>
          <w:tcPr>
            <w:tcW w:type="dxa" w:w="3456"/>
            <w:vAlign w:val="top"/>
          </w:tcPr>
          <w:p>
            <w:pPr>
              <w:spacing w:after="20"/>
            </w:pPr>
            <w:r>
              <w:rPr>
                <w:rFonts w:ascii="Arial" w:hAnsi="Arial"/>
                <w:sz w:val="16"/>
              </w:rPr>
              <w:t>Escalate based on service/integrity impact.</w:t>
            </w:r>
          </w:p>
        </w:tc>
      </w:tr>
      <w:tr>
        <w:tc>
          <w:tcPr>
            <w:tcW w:type="dxa" w:w="1440"/>
            <w:vAlign w:val="top"/>
          </w:tcPr>
          <w:p>
            <w:pPr>
              <w:spacing w:after="20"/>
            </w:pPr>
            <w:r>
              <w:rPr>
                <w:rFonts w:ascii="Arial" w:hAnsi="Arial"/>
                <w:sz w:val="16"/>
              </w:rPr>
              <w:t>IV-008</w:t>
            </w:r>
          </w:p>
        </w:tc>
        <w:tc>
          <w:tcPr>
            <w:tcW w:type="dxa" w:w="6912"/>
            <w:vAlign w:val="top"/>
          </w:tcPr>
          <w:p>
            <w:pPr>
              <w:spacing w:after="20"/>
            </w:pPr>
            <w:r>
              <w:rPr>
                <w:rFonts w:ascii="Arial" w:hAnsi="Arial"/>
                <w:sz w:val="16"/>
              </w:rPr>
              <w:t>Provider incident completeness against The-Bank detections / evidence.</w:t>
            </w:r>
          </w:p>
        </w:tc>
        <w:tc>
          <w:tcPr>
            <w:tcW w:type="dxa" w:w="3456"/>
            <w:vAlign w:val="top"/>
          </w:tcPr>
          <w:p>
            <w:pPr>
              <w:spacing w:after="20"/>
            </w:pPr>
            <w:r>
              <w:rPr>
                <w:rFonts w:ascii="Arial" w:hAnsi="Arial"/>
                <w:sz w:val="16"/>
              </w:rPr>
              <w:t>Material omission triggers challenge and reliance reassessment.</w:t>
            </w:r>
          </w:p>
        </w:tc>
      </w:tr>
    </w:tbl>
    <w:p/>
    <w:tbl>
      <w:tblPr>
        <w:tblStyle w:val="TableGrid"/>
        <w:tblW w:type="auto" w:w="0"/>
        <w:tblLook w:firstColumn="1" w:firstRow="1" w:lastColumn="0" w:lastRow="0" w:noHBand="0" w:noVBand="1" w:val="04A0"/>
      </w:tblPr>
      <w:tblGrid>
        <w:gridCol w:w="10166"/>
      </w:tblGrid>
      <w:tr>
        <w:tc>
          <w:tcPr>
            <w:tcW w:type="dxa" w:w="10166"/>
            <w:shd w:fill="FFF2F2"/>
          </w:tcPr>
          <w:p>
            <w:pPr>
              <w:pStyle w:val="Callout"/>
              <w:spacing w:after="40"/>
            </w:pPr>
            <w:r>
              <w:t>Independent verification is intentionally selective. Its purpose is to validate critical totals, movements and high-risk positions - not to rebuild the provider ledger or duplicate day-to-day transfer-agent operations.</w:t>
            </w:r>
          </w:p>
        </w:tc>
      </w:tr>
    </w:tbl>
    <w:p/>
    <w:p>
      <w:pPr>
        <w:pStyle w:val="Heading1"/>
      </w:pPr>
      <w:r>
        <w:t>14. KPI / KRI Governance Standard</w:t>
      </w:r>
    </w:p>
    <w:p>
      <w:r>
        <w:t>The service dashboard must distinguish service KPIs, risk indicators and zero-tolerance events. Final thresholds must be contractually agreed and approved under The-Bank risk appetite.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4320"/>
            <w:shd w:fill="C00000"/>
          </w:tcPr>
          <w:p>
            <w:r>
              <w:rPr>
                <w:rFonts w:ascii="Arial" w:hAnsi="Arial"/>
                <w:b/>
                <w:color w:val="FFFFFF"/>
                <w:sz w:val="16"/>
              </w:rPr>
              <w:t>Metric</w:t>
            </w:r>
          </w:p>
        </w:tc>
        <w:tc>
          <w:tcPr>
            <w:tcW w:type="dxa" w:w="2304"/>
            <w:shd w:fill="C00000"/>
          </w:tcPr>
          <w:p>
            <w:r>
              <w:rPr>
                <w:rFonts w:ascii="Arial" w:hAnsi="Arial"/>
                <w:b/>
                <w:color w:val="FFFFFF"/>
                <w:sz w:val="16"/>
              </w:rPr>
              <w:t>Type</w:t>
            </w:r>
          </w:p>
        </w:tc>
        <w:tc>
          <w:tcPr>
            <w:tcW w:type="dxa" w:w="5472"/>
            <w:shd w:fill="C00000"/>
          </w:tcPr>
          <w:p>
            <w:r>
              <w:rPr>
                <w:rFonts w:ascii="Arial" w:hAnsi="Arial"/>
                <w:b/>
                <w:color w:val="FFFFFF"/>
                <w:sz w:val="16"/>
              </w:rPr>
              <w:t>Business interpretation</w:t>
            </w:r>
          </w:p>
        </w:tc>
      </w:tr>
      <w:tr>
        <w:tc>
          <w:tcPr>
            <w:tcW w:type="dxa" w:w="4320"/>
            <w:vAlign w:val="top"/>
          </w:tcPr>
          <w:p>
            <w:pPr>
              <w:spacing w:after="20"/>
            </w:pPr>
            <w:r>
              <w:rPr>
                <w:rFonts w:ascii="Arial" w:hAnsi="Arial"/>
                <w:sz w:val="16"/>
              </w:rPr>
              <w:t>Transactions processed</w:t>
            </w:r>
          </w:p>
        </w:tc>
        <w:tc>
          <w:tcPr>
            <w:tcW w:type="dxa" w:w="2304"/>
            <w:vAlign w:val="top"/>
          </w:tcPr>
          <w:p>
            <w:pPr>
              <w:spacing w:after="20"/>
            </w:pPr>
            <w:r>
              <w:rPr>
                <w:rFonts w:ascii="Arial" w:hAnsi="Arial"/>
                <w:sz w:val="16"/>
              </w:rPr>
              <w:t>KPI</w:t>
            </w:r>
          </w:p>
        </w:tc>
        <w:tc>
          <w:tcPr>
            <w:tcW w:type="dxa" w:w="5472"/>
            <w:vAlign w:val="top"/>
          </w:tcPr>
          <w:p>
            <w:pPr>
              <w:spacing w:after="20"/>
            </w:pPr>
            <w:r>
              <w:rPr>
                <w:rFonts w:ascii="Arial" w:hAnsi="Arial"/>
                <w:sz w:val="16"/>
              </w:rPr>
              <w:t>Volume / trend context.</w:t>
            </w:r>
          </w:p>
        </w:tc>
      </w:tr>
      <w:tr>
        <w:tc>
          <w:tcPr>
            <w:tcW w:type="dxa" w:w="4320"/>
            <w:vAlign w:val="top"/>
          </w:tcPr>
          <w:p>
            <w:pPr>
              <w:spacing w:after="20"/>
            </w:pPr>
            <w:r>
              <w:rPr>
                <w:rFonts w:ascii="Arial" w:hAnsi="Arial"/>
                <w:sz w:val="16"/>
              </w:rPr>
              <w:t>Straight-through processing rate</w:t>
            </w:r>
          </w:p>
        </w:tc>
        <w:tc>
          <w:tcPr>
            <w:tcW w:type="dxa" w:w="2304"/>
            <w:vAlign w:val="top"/>
          </w:tcPr>
          <w:p>
            <w:pPr>
              <w:spacing w:after="20"/>
            </w:pPr>
            <w:r>
              <w:rPr>
                <w:rFonts w:ascii="Arial" w:hAnsi="Arial"/>
                <w:sz w:val="16"/>
              </w:rPr>
              <w:t>KPI</w:t>
            </w:r>
          </w:p>
        </w:tc>
        <w:tc>
          <w:tcPr>
            <w:tcW w:type="dxa" w:w="5472"/>
            <w:vAlign w:val="top"/>
          </w:tcPr>
          <w:p>
            <w:pPr>
              <w:spacing w:after="20"/>
            </w:pPr>
            <w:r>
              <w:rPr>
                <w:rFonts w:ascii="Arial" w:hAnsi="Arial"/>
                <w:sz w:val="16"/>
              </w:rPr>
              <w:t>Service efficiency; investigate sustained deterioration.</w:t>
            </w:r>
          </w:p>
        </w:tc>
      </w:tr>
      <w:tr>
        <w:tc>
          <w:tcPr>
            <w:tcW w:type="dxa" w:w="4320"/>
            <w:vAlign w:val="top"/>
          </w:tcPr>
          <w:p>
            <w:pPr>
              <w:spacing w:after="20"/>
            </w:pPr>
            <w:r>
              <w:rPr>
                <w:rFonts w:ascii="Arial" w:hAnsi="Arial"/>
                <w:sz w:val="16"/>
              </w:rPr>
              <w:t>Failed transaction rate</w:t>
            </w:r>
          </w:p>
        </w:tc>
        <w:tc>
          <w:tcPr>
            <w:tcW w:type="dxa" w:w="2304"/>
            <w:vAlign w:val="top"/>
          </w:tcPr>
          <w:p>
            <w:pPr>
              <w:spacing w:after="20"/>
            </w:pPr>
            <w:r>
              <w:rPr>
                <w:rFonts w:ascii="Arial" w:hAnsi="Arial"/>
                <w:sz w:val="16"/>
              </w:rPr>
              <w:t>KRI</w:t>
            </w:r>
          </w:p>
        </w:tc>
        <w:tc>
          <w:tcPr>
            <w:tcW w:type="dxa" w:w="5472"/>
            <w:vAlign w:val="top"/>
          </w:tcPr>
          <w:p>
            <w:pPr>
              <w:spacing w:after="20"/>
            </w:pPr>
            <w:r>
              <w:rPr>
                <w:rFonts w:ascii="Arial" w:hAnsi="Arial"/>
                <w:sz w:val="16"/>
              </w:rPr>
              <w:t>Trend and threshold based on expected operating profile.</w:t>
            </w:r>
          </w:p>
        </w:tc>
      </w:tr>
      <w:tr>
        <w:tc>
          <w:tcPr>
            <w:tcW w:type="dxa" w:w="4320"/>
            <w:vAlign w:val="top"/>
          </w:tcPr>
          <w:p>
            <w:pPr>
              <w:spacing w:after="20"/>
            </w:pPr>
            <w:r>
              <w:rPr>
                <w:rFonts w:ascii="Arial" w:hAnsi="Arial"/>
                <w:sz w:val="16"/>
              </w:rPr>
              <w:t>Aged operational exceptions</w:t>
            </w:r>
          </w:p>
        </w:tc>
        <w:tc>
          <w:tcPr>
            <w:tcW w:type="dxa" w:w="2304"/>
            <w:vAlign w:val="top"/>
          </w:tcPr>
          <w:p>
            <w:pPr>
              <w:spacing w:after="20"/>
            </w:pPr>
            <w:r>
              <w:rPr>
                <w:rFonts w:ascii="Arial" w:hAnsi="Arial"/>
                <w:sz w:val="16"/>
              </w:rPr>
              <w:t>KRI</w:t>
            </w:r>
          </w:p>
        </w:tc>
        <w:tc>
          <w:tcPr>
            <w:tcW w:type="dxa" w:w="5472"/>
            <w:vAlign w:val="top"/>
          </w:tcPr>
          <w:p>
            <w:pPr>
              <w:spacing w:after="20"/>
            </w:pPr>
            <w:r>
              <w:rPr>
                <w:rFonts w:ascii="Arial" w:hAnsi="Arial"/>
                <w:sz w:val="16"/>
              </w:rPr>
              <w:t>No critical/material exception beyond approved SLA.</w:t>
            </w:r>
          </w:p>
        </w:tc>
      </w:tr>
      <w:tr>
        <w:tc>
          <w:tcPr>
            <w:tcW w:type="dxa" w:w="4320"/>
            <w:vAlign w:val="top"/>
          </w:tcPr>
          <w:p>
            <w:pPr>
              <w:spacing w:after="20"/>
            </w:pPr>
            <w:r>
              <w:rPr>
                <w:rFonts w:ascii="Arial" w:hAnsi="Arial"/>
                <w:sz w:val="16"/>
              </w:rPr>
              <w:t>Subscription/redemption/transfer SLA</w:t>
            </w:r>
          </w:p>
        </w:tc>
        <w:tc>
          <w:tcPr>
            <w:tcW w:type="dxa" w:w="2304"/>
            <w:vAlign w:val="top"/>
          </w:tcPr>
          <w:p>
            <w:pPr>
              <w:spacing w:after="20"/>
            </w:pPr>
            <w:r>
              <w:rPr>
                <w:rFonts w:ascii="Arial" w:hAnsi="Arial"/>
                <w:sz w:val="16"/>
              </w:rPr>
              <w:t>KPI/KRI</w:t>
            </w:r>
          </w:p>
        </w:tc>
        <w:tc>
          <w:tcPr>
            <w:tcW w:type="dxa" w:w="5472"/>
            <w:vAlign w:val="top"/>
          </w:tcPr>
          <w:p>
            <w:pPr>
              <w:spacing w:after="20"/>
            </w:pPr>
            <w:r>
              <w:rPr>
                <w:rFonts w:ascii="Arial" w:hAnsi="Arial"/>
                <w:sz w:val="16"/>
              </w:rPr>
              <w:t>Contractual service performance.</w:t>
            </w:r>
          </w:p>
        </w:tc>
      </w:tr>
      <w:tr>
        <w:tc>
          <w:tcPr>
            <w:tcW w:type="dxa" w:w="4320"/>
            <w:vAlign w:val="top"/>
          </w:tcPr>
          <w:p>
            <w:pPr>
              <w:spacing w:after="20"/>
            </w:pPr>
            <w:r>
              <w:rPr>
                <w:rFonts w:ascii="Arial" w:hAnsi="Arial"/>
                <w:sz w:val="16"/>
              </w:rPr>
              <w:t>Primary reconciliation breaks</w:t>
            </w:r>
          </w:p>
        </w:tc>
        <w:tc>
          <w:tcPr>
            <w:tcW w:type="dxa" w:w="2304"/>
            <w:vAlign w:val="top"/>
          </w:tcPr>
          <w:p>
            <w:pPr>
              <w:spacing w:after="20"/>
            </w:pPr>
            <w:r>
              <w:rPr>
                <w:rFonts w:ascii="Arial" w:hAnsi="Arial"/>
                <w:sz w:val="16"/>
              </w:rPr>
              <w:t>KRI</w:t>
            </w:r>
          </w:p>
        </w:tc>
        <w:tc>
          <w:tcPr>
            <w:tcW w:type="dxa" w:w="5472"/>
            <w:vAlign w:val="top"/>
          </w:tcPr>
          <w:p>
            <w:pPr>
              <w:spacing w:after="20"/>
            </w:pPr>
            <w:r>
              <w:rPr>
                <w:rFonts w:ascii="Arial" w:hAnsi="Arial"/>
                <w:sz w:val="16"/>
              </w:rPr>
              <w:t>All material breaks tracked; no unexplained aged break.</w:t>
            </w:r>
          </w:p>
        </w:tc>
      </w:tr>
      <w:tr>
        <w:tc>
          <w:tcPr>
            <w:tcW w:type="dxa" w:w="4320"/>
            <w:vAlign w:val="top"/>
          </w:tcPr>
          <w:p>
            <w:pPr>
              <w:spacing w:after="20"/>
            </w:pPr>
            <w:r>
              <w:rPr>
                <w:rFonts w:ascii="Arial" w:hAnsi="Arial"/>
                <w:sz w:val="16"/>
              </w:rPr>
              <w:t>Independent supply mismatch</w:t>
            </w:r>
          </w:p>
        </w:tc>
        <w:tc>
          <w:tcPr>
            <w:tcW w:type="dxa" w:w="2304"/>
            <w:vAlign w:val="top"/>
          </w:tcPr>
          <w:p>
            <w:pPr>
              <w:spacing w:after="20"/>
            </w:pPr>
            <w:r>
              <w:rPr>
                <w:rFonts w:ascii="Arial" w:hAnsi="Arial"/>
                <w:sz w:val="16"/>
              </w:rPr>
              <w:t>Zero-tolerance KRI</w:t>
            </w:r>
          </w:p>
        </w:tc>
        <w:tc>
          <w:tcPr>
            <w:tcW w:type="dxa" w:w="5472"/>
            <w:vAlign w:val="top"/>
          </w:tcPr>
          <w:p>
            <w:pPr>
              <w:spacing w:after="20"/>
            </w:pPr>
            <w:r>
              <w:rPr>
                <w:rFonts w:ascii="Arial" w:hAnsi="Arial"/>
                <w:sz w:val="16"/>
              </w:rPr>
              <w:t>Any unexplained mismatch escalates immediately.</w:t>
            </w:r>
          </w:p>
        </w:tc>
      </w:tr>
      <w:tr>
        <w:tc>
          <w:tcPr>
            <w:tcW w:type="dxa" w:w="4320"/>
            <w:vAlign w:val="top"/>
          </w:tcPr>
          <w:p>
            <w:pPr>
              <w:spacing w:after="20"/>
            </w:pPr>
            <w:r>
              <w:rPr>
                <w:rFonts w:ascii="Arial" w:hAnsi="Arial"/>
                <w:sz w:val="16"/>
              </w:rPr>
              <w:t>Unauthorized mint/burn</w:t>
            </w:r>
          </w:p>
        </w:tc>
        <w:tc>
          <w:tcPr>
            <w:tcW w:type="dxa" w:w="2304"/>
            <w:vAlign w:val="top"/>
          </w:tcPr>
          <w:p>
            <w:pPr>
              <w:spacing w:after="20"/>
            </w:pPr>
            <w:r>
              <w:rPr>
                <w:rFonts w:ascii="Arial" w:hAnsi="Arial"/>
                <w:sz w:val="16"/>
              </w:rPr>
              <w:t>Zero-tolerance KRI</w:t>
            </w:r>
          </w:p>
        </w:tc>
        <w:tc>
          <w:tcPr>
            <w:tcW w:type="dxa" w:w="5472"/>
            <w:vAlign w:val="top"/>
          </w:tcPr>
          <w:p>
            <w:pPr>
              <w:spacing w:after="20"/>
            </w:pPr>
            <w:r>
              <w:rPr>
                <w:rFonts w:ascii="Arial" w:hAnsi="Arial"/>
                <w:sz w:val="16"/>
              </w:rPr>
              <w:t>No tolerance.</w:t>
            </w:r>
          </w:p>
        </w:tc>
      </w:tr>
      <w:tr>
        <w:tc>
          <w:tcPr>
            <w:tcW w:type="dxa" w:w="4320"/>
            <w:vAlign w:val="top"/>
          </w:tcPr>
          <w:p>
            <w:pPr>
              <w:spacing w:after="20"/>
            </w:pPr>
            <w:r>
              <w:rPr>
                <w:rFonts w:ascii="Arial" w:hAnsi="Arial"/>
                <w:sz w:val="16"/>
              </w:rPr>
              <w:t>Material incidents</w:t>
            </w:r>
          </w:p>
        </w:tc>
        <w:tc>
          <w:tcPr>
            <w:tcW w:type="dxa" w:w="2304"/>
            <w:vAlign w:val="top"/>
          </w:tcPr>
          <w:p>
            <w:pPr>
              <w:spacing w:after="20"/>
            </w:pPr>
            <w:r>
              <w:rPr>
                <w:rFonts w:ascii="Arial" w:hAnsi="Arial"/>
                <w:sz w:val="16"/>
              </w:rPr>
              <w:t>KRI</w:t>
            </w:r>
          </w:p>
        </w:tc>
        <w:tc>
          <w:tcPr>
            <w:tcW w:type="dxa" w:w="5472"/>
            <w:vAlign w:val="top"/>
          </w:tcPr>
          <w:p>
            <w:pPr>
              <w:spacing w:after="20"/>
            </w:pPr>
            <w:r>
              <w:rPr>
                <w:rFonts w:ascii="Arial" w:hAnsi="Arial"/>
                <w:sz w:val="16"/>
              </w:rPr>
              <w:t>Immediate event-driven governance.</w:t>
            </w:r>
          </w:p>
        </w:tc>
      </w:tr>
      <w:tr>
        <w:tc>
          <w:tcPr>
            <w:tcW w:type="dxa" w:w="4320"/>
            <w:vAlign w:val="top"/>
          </w:tcPr>
          <w:p>
            <w:pPr>
              <w:spacing w:after="20"/>
            </w:pPr>
            <w:r>
              <w:rPr>
                <w:rFonts w:ascii="Arial" w:hAnsi="Arial"/>
                <w:sz w:val="16"/>
              </w:rPr>
              <w:t>Platform availability</w:t>
            </w:r>
          </w:p>
        </w:tc>
        <w:tc>
          <w:tcPr>
            <w:tcW w:type="dxa" w:w="2304"/>
            <w:vAlign w:val="top"/>
          </w:tcPr>
          <w:p>
            <w:pPr>
              <w:spacing w:after="20"/>
            </w:pPr>
            <w:r>
              <w:rPr>
                <w:rFonts w:ascii="Arial" w:hAnsi="Arial"/>
                <w:sz w:val="16"/>
              </w:rPr>
              <w:t>KPI/KRI</w:t>
            </w:r>
          </w:p>
        </w:tc>
        <w:tc>
          <w:tcPr>
            <w:tcW w:type="dxa" w:w="5472"/>
            <w:vAlign w:val="top"/>
          </w:tcPr>
          <w:p>
            <w:pPr>
              <w:spacing w:after="20"/>
            </w:pPr>
            <w:r>
              <w:rPr>
                <w:rFonts w:ascii="Arial" w:hAnsi="Arial"/>
                <w:sz w:val="16"/>
              </w:rPr>
              <w:t>Contractual target and adverse trend.</w:t>
            </w:r>
          </w:p>
        </w:tc>
      </w:tr>
      <w:tr>
        <w:tc>
          <w:tcPr>
            <w:tcW w:type="dxa" w:w="4320"/>
            <w:vAlign w:val="top"/>
          </w:tcPr>
          <w:p>
            <w:pPr>
              <w:spacing w:after="20"/>
            </w:pPr>
            <w:r>
              <w:rPr>
                <w:rFonts w:ascii="Arial" w:hAnsi="Arial"/>
                <w:sz w:val="16"/>
              </w:rPr>
              <w:t>Open high-risk control/audit findings</w:t>
            </w:r>
          </w:p>
        </w:tc>
        <w:tc>
          <w:tcPr>
            <w:tcW w:type="dxa" w:w="2304"/>
            <w:vAlign w:val="top"/>
          </w:tcPr>
          <w:p>
            <w:pPr>
              <w:spacing w:after="20"/>
            </w:pPr>
            <w:r>
              <w:rPr>
                <w:rFonts w:ascii="Arial" w:hAnsi="Arial"/>
                <w:sz w:val="16"/>
              </w:rPr>
              <w:t>KRI</w:t>
            </w:r>
          </w:p>
        </w:tc>
        <w:tc>
          <w:tcPr>
            <w:tcW w:type="dxa" w:w="5472"/>
            <w:vAlign w:val="top"/>
          </w:tcPr>
          <w:p>
            <w:pPr>
              <w:spacing w:after="20"/>
            </w:pPr>
            <w:r>
              <w:rPr>
                <w:rFonts w:ascii="Arial" w:hAnsi="Arial"/>
                <w:sz w:val="16"/>
              </w:rPr>
              <w:t>No overdue high-risk finding.</w:t>
            </w:r>
          </w:p>
        </w:tc>
      </w:tr>
      <w:tr>
        <w:tc>
          <w:tcPr>
            <w:tcW w:type="dxa" w:w="4320"/>
            <w:vAlign w:val="top"/>
          </w:tcPr>
          <w:p>
            <w:pPr>
              <w:spacing w:after="20"/>
            </w:pPr>
            <w:r>
              <w:rPr>
                <w:rFonts w:ascii="Arial" w:hAnsi="Arial"/>
                <w:sz w:val="16"/>
              </w:rPr>
              <w:t>Material unapproved change</w:t>
            </w:r>
          </w:p>
        </w:tc>
        <w:tc>
          <w:tcPr>
            <w:tcW w:type="dxa" w:w="2304"/>
            <w:vAlign w:val="top"/>
          </w:tcPr>
          <w:p>
            <w:pPr>
              <w:spacing w:after="20"/>
            </w:pPr>
            <w:r>
              <w:rPr>
                <w:rFonts w:ascii="Arial" w:hAnsi="Arial"/>
                <w:sz w:val="16"/>
              </w:rPr>
              <w:t>Zero-tolerance KRI</w:t>
            </w:r>
          </w:p>
        </w:tc>
        <w:tc>
          <w:tcPr>
            <w:tcW w:type="dxa" w:w="5472"/>
            <w:vAlign w:val="top"/>
          </w:tcPr>
          <w:p>
            <w:pPr>
              <w:spacing w:after="20"/>
            </w:pPr>
            <w:r>
              <w:rPr>
                <w:rFonts w:ascii="Arial" w:hAnsi="Arial"/>
                <w:sz w:val="16"/>
              </w:rPr>
              <w:t>No tolerance.</w:t>
            </w:r>
          </w:p>
        </w:tc>
      </w:tr>
      <w:tr>
        <w:tc>
          <w:tcPr>
            <w:tcW w:type="dxa" w:w="4320"/>
            <w:vAlign w:val="top"/>
          </w:tcPr>
          <w:p>
            <w:pPr>
              <w:spacing w:after="20"/>
            </w:pPr>
            <w:r>
              <w:rPr>
                <w:rFonts w:ascii="Arial" w:hAnsi="Arial"/>
                <w:sz w:val="16"/>
              </w:rPr>
              <w:t>Critical fourth-party change</w:t>
            </w:r>
          </w:p>
        </w:tc>
        <w:tc>
          <w:tcPr>
            <w:tcW w:type="dxa" w:w="2304"/>
            <w:vAlign w:val="top"/>
          </w:tcPr>
          <w:p>
            <w:pPr>
              <w:spacing w:after="20"/>
            </w:pPr>
            <w:r>
              <w:rPr>
                <w:rFonts w:ascii="Arial" w:hAnsi="Arial"/>
                <w:sz w:val="16"/>
              </w:rPr>
              <w:t>KRI</w:t>
            </w:r>
          </w:p>
        </w:tc>
        <w:tc>
          <w:tcPr>
            <w:tcW w:type="dxa" w:w="5472"/>
            <w:vAlign w:val="top"/>
          </w:tcPr>
          <w:p>
            <w:pPr>
              <w:spacing w:after="20"/>
            </w:pPr>
            <w:r>
              <w:rPr>
                <w:rFonts w:ascii="Arial" w:hAnsi="Arial"/>
                <w:sz w:val="16"/>
              </w:rPr>
              <w:t>Advance notification / assessment required.</w:t>
            </w:r>
          </w:p>
        </w:tc>
      </w:tr>
    </w:tbl>
    <w:p/>
    <w:p>
      <w:r>
        <w:t>Operational metric definitions, ownership and current status are maintained in the DTA KPI/KRI Catalogue.</w:t>
      </w:r>
    </w:p>
    <w:p>
      <w:pPr>
        <w:pStyle w:val="Heading1"/>
      </w:pPr>
      <w:r>
        <w:t>15. Incident and Exception Governance</w:t>
      </w:r>
    </w:p>
    <w:p>
      <w:r>
        <w:t>The-Bank should consume the provider's incident process rather than create a parallel operational process, while retaining defined notification, escalation, decision and closure-validation rights.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shd w:fill="C00000"/>
          </w:tcPr>
          <w:p>
            <w:r>
              <w:rPr>
                <w:rFonts w:ascii="Arial" w:hAnsi="Arial"/>
                <w:b/>
                <w:color w:val="FFFFFF"/>
                <w:sz w:val="16"/>
              </w:rPr>
              <w:t>Severity</w:t>
            </w:r>
          </w:p>
        </w:tc>
        <w:tc>
          <w:tcPr>
            <w:tcW w:type="dxa" w:w="4752"/>
            <w:shd w:fill="C00000"/>
          </w:tcPr>
          <w:p>
            <w:r>
              <w:rPr>
                <w:rFonts w:ascii="Arial" w:hAnsi="Arial"/>
                <w:b/>
                <w:color w:val="FFFFFF"/>
                <w:sz w:val="16"/>
              </w:rPr>
              <w:t>Definition</w:t>
            </w:r>
          </w:p>
        </w:tc>
        <w:tc>
          <w:tcPr>
            <w:tcW w:type="dxa" w:w="5904"/>
            <w:shd w:fill="C00000"/>
          </w:tcPr>
          <w:p>
            <w:r>
              <w:rPr>
                <w:rFonts w:ascii="Arial" w:hAnsi="Arial"/>
                <w:b/>
                <w:color w:val="FFFFFF"/>
                <w:sz w:val="16"/>
              </w:rPr>
              <w:t>The-Bank governance expectation</w:t>
            </w:r>
          </w:p>
        </w:tc>
      </w:tr>
      <w:tr>
        <w:tc>
          <w:tcPr>
            <w:tcW w:type="dxa" w:w="1728"/>
            <w:vAlign w:val="top"/>
          </w:tcPr>
          <w:p>
            <w:pPr>
              <w:spacing w:after="20"/>
            </w:pPr>
            <w:r>
              <w:rPr>
                <w:rFonts w:ascii="Arial" w:hAnsi="Arial"/>
                <w:sz w:val="16"/>
              </w:rPr>
              <w:t>Critical</w:t>
            </w:r>
          </w:p>
        </w:tc>
        <w:tc>
          <w:tcPr>
            <w:tcW w:type="dxa" w:w="4752"/>
            <w:vAlign w:val="top"/>
          </w:tcPr>
          <w:p>
            <w:pPr>
              <w:spacing w:after="20"/>
            </w:pPr>
            <w:r>
              <w:rPr>
                <w:rFonts w:ascii="Arial" w:hAnsi="Arial"/>
                <w:sz w:val="16"/>
              </w:rPr>
              <w:t>Potential material investor, legal, register-integrity, security or regulatory impact.</w:t>
            </w:r>
          </w:p>
        </w:tc>
        <w:tc>
          <w:tcPr>
            <w:tcW w:type="dxa" w:w="5904"/>
            <w:vAlign w:val="top"/>
          </w:tcPr>
          <w:p>
            <w:pPr>
              <w:spacing w:after="20"/>
            </w:pPr>
            <w:r>
              <w:rPr>
                <w:rFonts w:ascii="Arial" w:hAnsi="Arial"/>
                <w:sz w:val="16"/>
              </w:rPr>
              <w:t>Immediate incident governance and executive/risk escalation; consider containment/suspension; timings contractually defined.</w:t>
            </w:r>
          </w:p>
        </w:tc>
      </w:tr>
      <w:tr>
        <w:tc>
          <w:tcPr>
            <w:tcW w:type="dxa" w:w="1728"/>
            <w:vAlign w:val="top"/>
          </w:tcPr>
          <w:p>
            <w:pPr>
              <w:spacing w:after="20"/>
            </w:pPr>
            <w:r>
              <w:rPr>
                <w:rFonts w:ascii="Arial" w:hAnsi="Arial"/>
                <w:sz w:val="16"/>
              </w:rPr>
              <w:t>High</w:t>
            </w:r>
          </w:p>
        </w:tc>
        <w:tc>
          <w:tcPr>
            <w:tcW w:type="dxa" w:w="4752"/>
            <w:vAlign w:val="top"/>
          </w:tcPr>
          <w:p>
            <w:pPr>
              <w:spacing w:after="20"/>
            </w:pPr>
            <w:r>
              <w:rPr>
                <w:rFonts w:ascii="Arial" w:hAnsi="Arial"/>
                <w:sz w:val="16"/>
              </w:rPr>
              <w:t>Material operational/control impact requiring accelerated investigation.</w:t>
            </w:r>
          </w:p>
        </w:tc>
        <w:tc>
          <w:tcPr>
            <w:tcW w:type="dxa" w:w="5904"/>
            <w:vAlign w:val="top"/>
          </w:tcPr>
          <w:p>
            <w:pPr>
              <w:spacing w:after="20"/>
            </w:pPr>
            <w:r>
              <w:rPr>
                <w:rFonts w:ascii="Arial" w:hAnsi="Arial"/>
                <w:sz w:val="16"/>
              </w:rPr>
              <w:t>Same-day joint investigation and remediation governance.</w:t>
            </w:r>
          </w:p>
        </w:tc>
      </w:tr>
      <w:tr>
        <w:tc>
          <w:tcPr>
            <w:tcW w:type="dxa" w:w="1728"/>
            <w:vAlign w:val="top"/>
          </w:tcPr>
          <w:p>
            <w:pPr>
              <w:spacing w:after="20"/>
            </w:pPr>
            <w:r>
              <w:rPr>
                <w:rFonts w:ascii="Arial" w:hAnsi="Arial"/>
                <w:sz w:val="16"/>
              </w:rPr>
              <w:t>Medium</w:t>
            </w:r>
          </w:p>
        </w:tc>
        <w:tc>
          <w:tcPr>
            <w:tcW w:type="dxa" w:w="4752"/>
            <w:vAlign w:val="top"/>
          </w:tcPr>
          <w:p>
            <w:pPr>
              <w:spacing w:after="20"/>
            </w:pPr>
            <w:r>
              <w:rPr>
                <w:rFonts w:ascii="Arial" w:hAnsi="Arial"/>
                <w:sz w:val="16"/>
              </w:rPr>
              <w:t>Limited impact/control weakness within standard tolerance.</w:t>
            </w:r>
          </w:p>
        </w:tc>
        <w:tc>
          <w:tcPr>
            <w:tcW w:type="dxa" w:w="5904"/>
            <w:vAlign w:val="top"/>
          </w:tcPr>
          <w:p>
            <w:pPr>
              <w:spacing w:after="20"/>
            </w:pPr>
            <w:r>
              <w:rPr>
                <w:rFonts w:ascii="Arial" w:hAnsi="Arial"/>
                <w:sz w:val="16"/>
              </w:rPr>
              <w:t>Remediate within standard SLA and trend through monthly governance.</w:t>
            </w:r>
          </w:p>
        </w:tc>
      </w:tr>
      <w:tr>
        <w:tc>
          <w:tcPr>
            <w:tcW w:type="dxa" w:w="1728"/>
            <w:vAlign w:val="top"/>
          </w:tcPr>
          <w:p>
            <w:pPr>
              <w:spacing w:after="20"/>
            </w:pPr>
            <w:r>
              <w:rPr>
                <w:rFonts w:ascii="Arial" w:hAnsi="Arial"/>
                <w:sz w:val="16"/>
              </w:rPr>
              <w:t>Low</w:t>
            </w:r>
          </w:p>
        </w:tc>
        <w:tc>
          <w:tcPr>
            <w:tcW w:type="dxa" w:w="4752"/>
            <w:vAlign w:val="top"/>
          </w:tcPr>
          <w:p>
            <w:pPr>
              <w:spacing w:after="20"/>
            </w:pPr>
            <w:r>
              <w:rPr>
                <w:rFonts w:ascii="Arial" w:hAnsi="Arial"/>
                <w:sz w:val="16"/>
              </w:rPr>
              <w:t>Minor issue with negligible service/risk impact.</w:t>
            </w:r>
          </w:p>
        </w:tc>
        <w:tc>
          <w:tcPr>
            <w:tcW w:type="dxa" w:w="5904"/>
            <w:vAlign w:val="top"/>
          </w:tcPr>
          <w:p>
            <w:pPr>
              <w:spacing w:after="20"/>
            </w:pPr>
            <w:r>
              <w:rPr>
                <w:rFonts w:ascii="Arial" w:hAnsi="Arial"/>
                <w:sz w:val="16"/>
              </w:rPr>
              <w:t>Record, monitor and close through normal process.</w:t>
            </w:r>
          </w:p>
        </w:tc>
      </w:tr>
    </w:tbl>
    <w:p/>
    <w:p>
      <w:pPr>
        <w:pStyle w:val="Heading2"/>
      </w:pPr>
      <w:r>
        <w:t>15.1 Minimum incident / exception record</w:t>
      </w:r>
    </w:p>
    <w:p>
      <w:pPr>
        <w:pStyle w:val="ListBullet"/>
        <w:spacing w:after="40"/>
      </w:pPr>
      <w:r>
        <w:t>Unique incident/exception ID and detection path (provider or The-Bank).</w:t>
      </w:r>
    </w:p>
    <w:p>
      <w:pPr>
        <w:pStyle w:val="ListBullet"/>
        <w:spacing w:after="40"/>
      </w:pPr>
      <w:r>
        <w:t>Severity, timestamps and affected product/share class/transaction/account or wallet reference.</w:t>
      </w:r>
    </w:p>
    <w:p>
      <w:pPr>
        <w:pStyle w:val="ListBullet"/>
        <w:spacing w:after="40"/>
      </w:pPr>
      <w:r>
        <w:t>Control or data source that detected the issue.</w:t>
      </w:r>
    </w:p>
    <w:p>
      <w:pPr>
        <w:pStyle w:val="ListBullet"/>
        <w:spacing w:after="40"/>
      </w:pPr>
      <w:r>
        <w:t>Provider owner and The-Bank accountable owner.</w:t>
      </w:r>
    </w:p>
    <w:p>
      <w:pPr>
        <w:pStyle w:val="ListBullet"/>
        <w:spacing w:after="40"/>
      </w:pPr>
      <w:r>
        <w:t>Containment, impact assessment and recovery actions.</w:t>
      </w:r>
    </w:p>
    <w:p>
      <w:pPr>
        <w:pStyle w:val="ListBullet"/>
        <w:spacing w:after="40"/>
      </w:pPr>
      <w:r>
        <w:t>Root cause and contributing factors.</w:t>
      </w:r>
    </w:p>
    <w:p>
      <w:pPr>
        <w:pStyle w:val="ListBullet"/>
        <w:spacing w:after="40"/>
      </w:pPr>
      <w:r>
        <w:t>Regulatory/reporting assessment where applicable.</w:t>
      </w:r>
    </w:p>
    <w:p>
      <w:pPr>
        <w:pStyle w:val="ListBullet"/>
        <w:spacing w:after="40"/>
      </w:pPr>
      <w:r>
        <w:t>Corrective actions, owners and due dates.</w:t>
      </w:r>
    </w:p>
    <w:p>
      <w:pPr>
        <w:pStyle w:val="ListBullet"/>
        <w:spacing w:after="40"/>
      </w:pPr>
      <w:r>
        <w:t>Evidence that reconciliation/service integrity was restored.</w:t>
      </w:r>
    </w:p>
    <w:p>
      <w:pPr>
        <w:pStyle w:val="ListBullet"/>
        <w:spacing w:after="40"/>
      </w:pPr>
      <w:r>
        <w:t>Closure approval, lessons learned and residual risk.</w:t>
      </w:r>
    </w:p>
    <w:p>
      <w:pPr>
        <w:pStyle w:val="Heading1"/>
      </w:pPr>
      <w:r>
        <w:t>16. Material Change Governance</w:t>
      </w:r>
    </w:p>
    <w:p>
      <w:r>
        <w:t>Routine provider changes remain the provider's operational responsibility. The contract and operating model must define which changes are notification-only, which require The-Bank review, and which require explicit approval or risk acceptance.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888"/>
            <w:shd w:fill="C00000"/>
          </w:tcPr>
          <w:p>
            <w:r>
              <w:rPr>
                <w:rFonts w:ascii="Arial" w:hAnsi="Arial"/>
                <w:b/>
                <w:color w:val="FFFFFF"/>
                <w:sz w:val="16"/>
              </w:rPr>
              <w:t>Change type</w:t>
            </w:r>
          </w:p>
        </w:tc>
        <w:tc>
          <w:tcPr>
            <w:tcW w:type="dxa" w:w="2592"/>
            <w:shd w:fill="C00000"/>
          </w:tcPr>
          <w:p>
            <w:r>
              <w:rPr>
                <w:rFonts w:ascii="Arial" w:hAnsi="Arial"/>
                <w:b/>
                <w:color w:val="FFFFFF"/>
                <w:sz w:val="16"/>
              </w:rPr>
              <w:t>Default classification</w:t>
            </w:r>
          </w:p>
        </w:tc>
        <w:tc>
          <w:tcPr>
            <w:tcW w:type="dxa" w:w="5616"/>
            <w:shd w:fill="C00000"/>
          </w:tcPr>
          <w:p>
            <w:r>
              <w:rPr>
                <w:rFonts w:ascii="Arial" w:hAnsi="Arial"/>
                <w:b/>
                <w:color w:val="FFFFFF"/>
                <w:sz w:val="16"/>
              </w:rPr>
              <w:t>Required business/control action</w:t>
            </w:r>
          </w:p>
        </w:tc>
      </w:tr>
      <w:tr>
        <w:tc>
          <w:tcPr>
            <w:tcW w:type="dxa" w:w="3888"/>
            <w:vAlign w:val="top"/>
          </w:tcPr>
          <w:p>
            <w:pPr>
              <w:spacing w:after="20"/>
            </w:pPr>
            <w:r>
              <w:rPr>
                <w:rFonts w:ascii="Arial" w:hAnsi="Arial"/>
                <w:sz w:val="16"/>
              </w:rPr>
              <w:t>Routine provider application release</w:t>
            </w:r>
          </w:p>
        </w:tc>
        <w:tc>
          <w:tcPr>
            <w:tcW w:type="dxa" w:w="2592"/>
            <w:vAlign w:val="top"/>
          </w:tcPr>
          <w:p>
            <w:pPr>
              <w:spacing w:after="20"/>
            </w:pPr>
            <w:r>
              <w:rPr>
                <w:rFonts w:ascii="Arial" w:hAnsi="Arial"/>
                <w:sz w:val="16"/>
              </w:rPr>
              <w:t>Non-material unless control impact</w:t>
            </w:r>
          </w:p>
        </w:tc>
        <w:tc>
          <w:tcPr>
            <w:tcW w:type="dxa" w:w="5616"/>
            <w:vAlign w:val="top"/>
          </w:tcPr>
          <w:p>
            <w:pPr>
              <w:spacing w:after="20"/>
            </w:pPr>
            <w:r>
              <w:rPr>
                <w:rFonts w:ascii="Arial" w:hAnsi="Arial"/>
                <w:sz w:val="16"/>
              </w:rPr>
              <w:t>Normal release/change reporting.</w:t>
            </w:r>
          </w:p>
        </w:tc>
      </w:tr>
      <w:tr>
        <w:tc>
          <w:tcPr>
            <w:tcW w:type="dxa" w:w="3888"/>
            <w:vAlign w:val="top"/>
          </w:tcPr>
          <w:p>
            <w:pPr>
              <w:spacing w:after="20"/>
            </w:pPr>
            <w:r>
              <w:rPr>
                <w:rFonts w:ascii="Arial" w:hAnsi="Arial"/>
                <w:sz w:val="16"/>
              </w:rPr>
              <w:t>Smart-contract upgrade</w:t>
            </w:r>
          </w:p>
        </w:tc>
        <w:tc>
          <w:tcPr>
            <w:tcW w:type="dxa" w:w="2592"/>
            <w:vAlign w:val="top"/>
          </w:tcPr>
          <w:p>
            <w:pPr>
              <w:spacing w:after="20"/>
            </w:pPr>
            <w:r>
              <w:rPr>
                <w:rFonts w:ascii="Arial" w:hAnsi="Arial"/>
                <w:sz w:val="16"/>
              </w:rPr>
              <w:t>Material / Critical</w:t>
            </w:r>
          </w:p>
        </w:tc>
        <w:tc>
          <w:tcPr>
            <w:tcW w:type="dxa" w:w="5616"/>
            <w:vAlign w:val="top"/>
          </w:tcPr>
          <w:p>
            <w:pPr>
              <w:spacing w:after="20"/>
            </w:pPr>
            <w:r>
              <w:rPr>
                <w:rFonts w:ascii="Arial" w:hAnsi="Arial"/>
                <w:sz w:val="16"/>
              </w:rPr>
              <w:t>Advance notice; technical/control assessment; approval as defined.</w:t>
            </w:r>
          </w:p>
        </w:tc>
      </w:tr>
      <w:tr>
        <w:tc>
          <w:tcPr>
            <w:tcW w:type="dxa" w:w="3888"/>
            <w:vAlign w:val="top"/>
          </w:tcPr>
          <w:p>
            <w:pPr>
              <w:spacing w:after="20"/>
            </w:pPr>
            <w:r>
              <w:rPr>
                <w:rFonts w:ascii="Arial" w:hAnsi="Arial"/>
                <w:sz w:val="16"/>
              </w:rPr>
              <w:t>New blockchain/network</w:t>
            </w:r>
          </w:p>
        </w:tc>
        <w:tc>
          <w:tcPr>
            <w:tcW w:type="dxa" w:w="2592"/>
            <w:vAlign w:val="top"/>
          </w:tcPr>
          <w:p>
            <w:pPr>
              <w:spacing w:after="20"/>
            </w:pPr>
            <w:r>
              <w:rPr>
                <w:rFonts w:ascii="Arial" w:hAnsi="Arial"/>
                <w:sz w:val="16"/>
              </w:rPr>
              <w:t>Critical design change</w:t>
            </w:r>
          </w:p>
        </w:tc>
        <w:tc>
          <w:tcPr>
            <w:tcW w:type="dxa" w:w="5616"/>
            <w:vAlign w:val="top"/>
          </w:tcPr>
          <w:p>
            <w:pPr>
              <w:spacing w:after="20"/>
            </w:pPr>
            <w:r>
              <w:rPr>
                <w:rFonts w:ascii="Arial" w:hAnsi="Arial"/>
                <w:sz w:val="16"/>
              </w:rPr>
              <w:t>Full DLT due diligence and formal approval.</w:t>
            </w:r>
          </w:p>
        </w:tc>
      </w:tr>
      <w:tr>
        <w:tc>
          <w:tcPr>
            <w:tcW w:type="dxa" w:w="3888"/>
            <w:vAlign w:val="top"/>
          </w:tcPr>
          <w:p>
            <w:pPr>
              <w:spacing w:after="20"/>
            </w:pPr>
            <w:r>
              <w:rPr>
                <w:rFonts w:ascii="Arial" w:hAnsi="Arial"/>
                <w:sz w:val="16"/>
              </w:rPr>
              <w:t>Authoritative Record Model change</w:t>
            </w:r>
          </w:p>
        </w:tc>
        <w:tc>
          <w:tcPr>
            <w:tcW w:type="dxa" w:w="2592"/>
            <w:vAlign w:val="top"/>
          </w:tcPr>
          <w:p>
            <w:pPr>
              <w:spacing w:after="20"/>
            </w:pPr>
            <w:r>
              <w:rPr>
                <w:rFonts w:ascii="Arial" w:hAnsi="Arial"/>
                <w:sz w:val="16"/>
              </w:rPr>
              <w:t>Critical</w:t>
            </w:r>
          </w:p>
        </w:tc>
        <w:tc>
          <w:tcPr>
            <w:tcW w:type="dxa" w:w="5616"/>
            <w:vAlign w:val="top"/>
          </w:tcPr>
          <w:p>
            <w:pPr>
              <w:spacing w:after="20"/>
            </w:pPr>
            <w:r>
              <w:rPr>
                <w:rFonts w:ascii="Arial" w:hAnsi="Arial"/>
                <w:sz w:val="16"/>
              </w:rPr>
              <w:t>Legal, Operations, Risk, Technology and Service Owner approval.</w:t>
            </w:r>
          </w:p>
        </w:tc>
      </w:tr>
      <w:tr>
        <w:tc>
          <w:tcPr>
            <w:tcW w:type="dxa" w:w="3888"/>
            <w:vAlign w:val="top"/>
          </w:tcPr>
          <w:p>
            <w:pPr>
              <w:spacing w:after="20"/>
            </w:pPr>
            <w:r>
              <w:rPr>
                <w:rFonts w:ascii="Arial" w:hAnsi="Arial"/>
                <w:sz w:val="16"/>
              </w:rPr>
              <w:t>Key-management / custody / signing-model change</w:t>
            </w:r>
          </w:p>
        </w:tc>
        <w:tc>
          <w:tcPr>
            <w:tcW w:type="dxa" w:w="2592"/>
            <w:vAlign w:val="top"/>
          </w:tcPr>
          <w:p>
            <w:pPr>
              <w:spacing w:after="20"/>
            </w:pPr>
            <w:r>
              <w:rPr>
                <w:rFonts w:ascii="Arial" w:hAnsi="Arial"/>
                <w:sz w:val="16"/>
              </w:rPr>
              <w:t>Material / Critical</w:t>
            </w:r>
          </w:p>
        </w:tc>
        <w:tc>
          <w:tcPr>
            <w:tcW w:type="dxa" w:w="5616"/>
            <w:vAlign w:val="top"/>
          </w:tcPr>
          <w:p>
            <w:pPr>
              <w:spacing w:after="20"/>
            </w:pPr>
            <w:r>
              <w:rPr>
                <w:rFonts w:ascii="Arial" w:hAnsi="Arial"/>
                <w:sz w:val="16"/>
              </w:rPr>
              <w:t>Security/architecture assessment and risk approval.</w:t>
            </w:r>
          </w:p>
        </w:tc>
      </w:tr>
      <w:tr>
        <w:tc>
          <w:tcPr>
            <w:tcW w:type="dxa" w:w="3888"/>
            <w:vAlign w:val="top"/>
          </w:tcPr>
          <w:p>
            <w:pPr>
              <w:spacing w:after="20"/>
            </w:pPr>
            <w:r>
              <w:rPr>
                <w:rFonts w:ascii="Arial" w:hAnsi="Arial"/>
                <w:sz w:val="16"/>
              </w:rPr>
              <w:t>Critical subcontractor/fourth-party change</w:t>
            </w:r>
          </w:p>
        </w:tc>
        <w:tc>
          <w:tcPr>
            <w:tcW w:type="dxa" w:w="2592"/>
            <w:vAlign w:val="top"/>
          </w:tcPr>
          <w:p>
            <w:pPr>
              <w:spacing w:after="20"/>
            </w:pPr>
            <w:r>
              <w:rPr>
                <w:rFonts w:ascii="Arial" w:hAnsi="Arial"/>
                <w:sz w:val="16"/>
              </w:rPr>
              <w:t>Material</w:t>
            </w:r>
          </w:p>
        </w:tc>
        <w:tc>
          <w:tcPr>
            <w:tcW w:type="dxa" w:w="5616"/>
            <w:vAlign w:val="top"/>
          </w:tcPr>
          <w:p>
            <w:pPr>
              <w:spacing w:after="20"/>
            </w:pPr>
            <w:r>
              <w:rPr>
                <w:rFonts w:ascii="Arial" w:hAnsi="Arial"/>
                <w:sz w:val="16"/>
              </w:rPr>
              <w:t>Third-party and resilience impact assessment.</w:t>
            </w:r>
          </w:p>
        </w:tc>
      </w:tr>
      <w:tr>
        <w:tc>
          <w:tcPr>
            <w:tcW w:type="dxa" w:w="3888"/>
            <w:vAlign w:val="top"/>
          </w:tcPr>
          <w:p>
            <w:pPr>
              <w:spacing w:after="20"/>
            </w:pPr>
            <w:r>
              <w:rPr>
                <w:rFonts w:ascii="Arial" w:hAnsi="Arial"/>
                <w:sz w:val="16"/>
              </w:rPr>
              <w:t>Hosting / data-location change</w:t>
            </w:r>
          </w:p>
        </w:tc>
        <w:tc>
          <w:tcPr>
            <w:tcW w:type="dxa" w:w="2592"/>
            <w:vAlign w:val="top"/>
          </w:tcPr>
          <w:p>
            <w:pPr>
              <w:spacing w:after="20"/>
            </w:pPr>
            <w:r>
              <w:rPr>
                <w:rFonts w:ascii="Arial" w:hAnsi="Arial"/>
                <w:sz w:val="16"/>
              </w:rPr>
              <w:t>Material</w:t>
            </w:r>
          </w:p>
        </w:tc>
        <w:tc>
          <w:tcPr>
            <w:tcW w:type="dxa" w:w="5616"/>
            <w:vAlign w:val="top"/>
          </w:tcPr>
          <w:p>
            <w:pPr>
              <w:spacing w:after="20"/>
            </w:pPr>
            <w:r>
              <w:rPr>
                <w:rFonts w:ascii="Arial" w:hAnsi="Arial"/>
                <w:sz w:val="16"/>
              </w:rPr>
              <w:t>Privacy, security and regulatory assessment.</w:t>
            </w:r>
          </w:p>
        </w:tc>
      </w:tr>
      <w:tr>
        <w:tc>
          <w:tcPr>
            <w:tcW w:type="dxa" w:w="3888"/>
            <w:vAlign w:val="top"/>
          </w:tcPr>
          <w:p>
            <w:pPr>
              <w:spacing w:after="20"/>
            </w:pPr>
            <w:r>
              <w:rPr>
                <w:rFonts w:ascii="Arial" w:hAnsi="Arial"/>
                <w:sz w:val="16"/>
              </w:rPr>
              <w:t>Material SLA / service-process change</w:t>
            </w:r>
          </w:p>
        </w:tc>
        <w:tc>
          <w:tcPr>
            <w:tcW w:type="dxa" w:w="2592"/>
            <w:vAlign w:val="top"/>
          </w:tcPr>
          <w:p>
            <w:pPr>
              <w:spacing w:after="20"/>
            </w:pPr>
            <w:r>
              <w:rPr>
                <w:rFonts w:ascii="Arial" w:hAnsi="Arial"/>
                <w:sz w:val="16"/>
              </w:rPr>
              <w:t>Material</w:t>
            </w:r>
          </w:p>
        </w:tc>
        <w:tc>
          <w:tcPr>
            <w:tcW w:type="dxa" w:w="5616"/>
            <w:vAlign w:val="top"/>
          </w:tcPr>
          <w:p>
            <w:pPr>
              <w:spacing w:after="20"/>
            </w:pPr>
            <w:r>
              <w:rPr>
                <w:rFonts w:ascii="Arial" w:hAnsi="Arial"/>
                <w:sz w:val="16"/>
              </w:rPr>
              <w:t>Service Owner and Risk review; contract update where required.</w:t>
            </w:r>
          </w:p>
        </w:tc>
      </w:tr>
    </w:tbl>
    <w:p/>
    <w:p>
      <w:pPr>
        <w:pStyle w:val="Heading1"/>
      </w:pPr>
      <w:r>
        <w:t>17. Blockchain, DLT, Smart-Contract and Key Oversight</w:t>
      </w:r>
    </w:p>
    <w:p>
      <w:r>
        <w:t>Technology controls remain provider responsibilities where contractually allocated, but The-Bank must independently assess material DLT/network suitability, privileged control models and material technical changes that can affect ownership, supply, availability or legal-record integrity.</w:t>
      </w:r>
    </w:p>
    <w:p>
      <w:pPr>
        <w:pStyle w:val="Heading2"/>
      </w:pPr>
      <w:r>
        <w:t>17.1 DLT / network due-diligence domains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456"/>
            <w:shd w:fill="C00000"/>
          </w:tcPr>
          <w:p>
            <w:r>
              <w:rPr>
                <w:rFonts w:ascii="Arial" w:hAnsi="Arial"/>
                <w:b/>
                <w:color w:val="FFFFFF"/>
                <w:sz w:val="16"/>
              </w:rPr>
              <w:t>Domain</w:t>
            </w:r>
          </w:p>
        </w:tc>
        <w:tc>
          <w:tcPr>
            <w:tcW w:type="dxa" w:w="8064"/>
            <w:shd w:fill="C00000"/>
          </w:tcPr>
          <w:p>
            <w:r>
              <w:rPr>
                <w:rFonts w:ascii="Arial" w:hAnsi="Arial"/>
                <w:b/>
                <w:color w:val="FFFFFF"/>
                <w:sz w:val="16"/>
              </w:rPr>
              <w:t>Minimum business/risk questions</w:t>
            </w:r>
          </w:p>
        </w:tc>
      </w:tr>
      <w:tr>
        <w:tc>
          <w:tcPr>
            <w:tcW w:type="dxa" w:w="3456"/>
            <w:vAlign w:val="top"/>
          </w:tcPr>
          <w:p>
            <w:pPr>
              <w:spacing w:after="20"/>
            </w:pPr>
            <w:r>
              <w:rPr>
                <w:rFonts w:ascii="Arial" w:hAnsi="Arial"/>
                <w:sz w:val="16"/>
              </w:rPr>
              <w:t>Network security &amp; consensus</w:t>
            </w:r>
          </w:p>
        </w:tc>
        <w:tc>
          <w:tcPr>
            <w:tcW w:type="dxa" w:w="8064"/>
            <w:vAlign w:val="top"/>
          </w:tcPr>
          <w:p>
            <w:pPr>
              <w:spacing w:after="20"/>
            </w:pPr>
            <w:r>
              <w:rPr>
                <w:rFonts w:ascii="Arial" w:hAnsi="Arial"/>
                <w:sz w:val="16"/>
              </w:rPr>
              <w:t>Consensus model, validator concentration, attack scenarios, incident history and security maturity.</w:t>
            </w:r>
          </w:p>
        </w:tc>
      </w:tr>
      <w:tr>
        <w:tc>
          <w:tcPr>
            <w:tcW w:type="dxa" w:w="3456"/>
            <w:vAlign w:val="top"/>
          </w:tcPr>
          <w:p>
            <w:pPr>
              <w:spacing w:after="20"/>
            </w:pPr>
            <w:r>
              <w:rPr>
                <w:rFonts w:ascii="Arial" w:hAnsi="Arial"/>
                <w:sz w:val="16"/>
              </w:rPr>
              <w:t>Operational integrity &amp; scalability</w:t>
            </w:r>
          </w:p>
        </w:tc>
        <w:tc>
          <w:tcPr>
            <w:tcW w:type="dxa" w:w="8064"/>
            <w:vAlign w:val="top"/>
          </w:tcPr>
          <w:p>
            <w:pPr>
              <w:spacing w:after="20"/>
            </w:pPr>
            <w:r>
              <w:rPr>
                <w:rFonts w:ascii="Arial" w:hAnsi="Arial"/>
                <w:sz w:val="16"/>
              </w:rPr>
              <w:t>Availability, throughput, congestion, expected/stressed operating profile.</w:t>
            </w:r>
          </w:p>
        </w:tc>
      </w:tr>
      <w:tr>
        <w:tc>
          <w:tcPr>
            <w:tcW w:type="dxa" w:w="3456"/>
            <w:vAlign w:val="top"/>
          </w:tcPr>
          <w:p>
            <w:pPr>
              <w:spacing w:after="20"/>
            </w:pPr>
            <w:r>
              <w:rPr>
                <w:rFonts w:ascii="Arial" w:hAnsi="Arial"/>
                <w:sz w:val="16"/>
              </w:rPr>
              <w:t>Finality &amp; settlement</w:t>
            </w:r>
          </w:p>
        </w:tc>
        <w:tc>
          <w:tcPr>
            <w:tcW w:type="dxa" w:w="8064"/>
            <w:vAlign w:val="top"/>
          </w:tcPr>
          <w:p>
            <w:pPr>
              <w:spacing w:after="20"/>
            </w:pPr>
            <w:r>
              <w:rPr>
                <w:rFonts w:ascii="Arial" w:hAnsi="Arial"/>
                <w:sz w:val="16"/>
              </w:rPr>
              <w:t>Finality definition, confirmations, reorg risk and investor-transaction impact.</w:t>
            </w:r>
          </w:p>
        </w:tc>
      </w:tr>
      <w:tr>
        <w:tc>
          <w:tcPr>
            <w:tcW w:type="dxa" w:w="3456"/>
            <w:vAlign w:val="top"/>
          </w:tcPr>
          <w:p>
            <w:pPr>
              <w:spacing w:after="20"/>
            </w:pPr>
            <w:r>
              <w:rPr>
                <w:rFonts w:ascii="Arial" w:hAnsi="Arial"/>
                <w:sz w:val="16"/>
              </w:rPr>
              <w:t>Governance &amp; change</w:t>
            </w:r>
          </w:p>
        </w:tc>
        <w:tc>
          <w:tcPr>
            <w:tcW w:type="dxa" w:w="8064"/>
            <w:vAlign w:val="top"/>
          </w:tcPr>
          <w:p>
            <w:pPr>
              <w:spacing w:after="20"/>
            </w:pPr>
            <w:r>
              <w:rPr>
                <w:rFonts w:ascii="Arial" w:hAnsi="Arial"/>
                <w:sz w:val="16"/>
              </w:rPr>
              <w:t>Protocol upgrades, emergency governance, fork handling and decision rights.</w:t>
            </w:r>
          </w:p>
        </w:tc>
      </w:tr>
      <w:tr>
        <w:tc>
          <w:tcPr>
            <w:tcW w:type="dxa" w:w="3456"/>
            <w:vAlign w:val="top"/>
          </w:tcPr>
          <w:p>
            <w:pPr>
              <w:spacing w:after="20"/>
            </w:pPr>
            <w:r>
              <w:rPr>
                <w:rFonts w:ascii="Arial" w:hAnsi="Arial"/>
                <w:sz w:val="16"/>
              </w:rPr>
              <w:t>Permissioning compatibility</w:t>
            </w:r>
          </w:p>
        </w:tc>
        <w:tc>
          <w:tcPr>
            <w:tcW w:type="dxa" w:w="8064"/>
            <w:vAlign w:val="top"/>
          </w:tcPr>
          <w:p>
            <w:pPr>
              <w:spacing w:after="20"/>
            </w:pPr>
            <w:r>
              <w:rPr>
                <w:rFonts w:ascii="Arial" w:hAnsi="Arial"/>
                <w:sz w:val="16"/>
              </w:rPr>
              <w:t>Ability to enforce transfer restrictions / approved-wallet model where required.</w:t>
            </w:r>
          </w:p>
        </w:tc>
      </w:tr>
      <w:tr>
        <w:tc>
          <w:tcPr>
            <w:tcW w:type="dxa" w:w="3456"/>
            <w:vAlign w:val="top"/>
          </w:tcPr>
          <w:p>
            <w:pPr>
              <w:spacing w:after="20"/>
            </w:pPr>
            <w:r>
              <w:rPr>
                <w:rFonts w:ascii="Arial" w:hAnsi="Arial"/>
                <w:sz w:val="16"/>
              </w:rPr>
              <w:t>Smart-contract support</w:t>
            </w:r>
          </w:p>
        </w:tc>
        <w:tc>
          <w:tcPr>
            <w:tcW w:type="dxa" w:w="8064"/>
            <w:vAlign w:val="top"/>
          </w:tcPr>
          <w:p>
            <w:pPr>
              <w:spacing w:after="20"/>
            </w:pPr>
            <w:r>
              <w:rPr>
                <w:rFonts w:ascii="Arial" w:hAnsi="Arial"/>
                <w:sz w:val="16"/>
              </w:rPr>
              <w:t>Token standard, upgradeability, pause/freeze, admin roles and verification.</w:t>
            </w:r>
          </w:p>
        </w:tc>
      </w:tr>
      <w:tr>
        <w:tc>
          <w:tcPr>
            <w:tcW w:type="dxa" w:w="3456"/>
            <w:vAlign w:val="top"/>
          </w:tcPr>
          <w:p>
            <w:pPr>
              <w:spacing w:after="20"/>
            </w:pPr>
            <w:r>
              <w:rPr>
                <w:rFonts w:ascii="Arial" w:hAnsi="Arial"/>
                <w:sz w:val="16"/>
              </w:rPr>
              <w:t>Privacy &amp; data exposure</w:t>
            </w:r>
          </w:p>
        </w:tc>
        <w:tc>
          <w:tcPr>
            <w:tcW w:type="dxa" w:w="8064"/>
            <w:vAlign w:val="top"/>
          </w:tcPr>
          <w:p>
            <w:pPr>
              <w:spacing w:after="20"/>
            </w:pPr>
            <w:r>
              <w:rPr>
                <w:rFonts w:ascii="Arial" w:hAnsi="Arial"/>
                <w:sz w:val="16"/>
              </w:rPr>
              <w:t>PII leakage risk, transaction visibility and data-protection implications.</w:t>
            </w:r>
          </w:p>
        </w:tc>
      </w:tr>
      <w:tr>
        <w:tc>
          <w:tcPr>
            <w:tcW w:type="dxa" w:w="3456"/>
            <w:vAlign w:val="top"/>
          </w:tcPr>
          <w:p>
            <w:pPr>
              <w:spacing w:after="20"/>
            </w:pPr>
            <w:r>
              <w:rPr>
                <w:rFonts w:ascii="Arial" w:hAnsi="Arial"/>
                <w:sz w:val="16"/>
              </w:rPr>
              <w:t>Key management</w:t>
            </w:r>
          </w:p>
        </w:tc>
        <w:tc>
          <w:tcPr>
            <w:tcW w:type="dxa" w:w="8064"/>
            <w:vAlign w:val="top"/>
          </w:tcPr>
          <w:p>
            <w:pPr>
              <w:spacing w:after="20"/>
            </w:pPr>
            <w:r>
              <w:rPr>
                <w:rFonts w:ascii="Arial" w:hAnsi="Arial"/>
                <w:sz w:val="16"/>
              </w:rPr>
              <w:t>Admin/signing key model, HSM/MPC, segregation, rotation and recovery.</w:t>
            </w:r>
          </w:p>
        </w:tc>
      </w:tr>
      <w:tr>
        <w:tc>
          <w:tcPr>
            <w:tcW w:type="dxa" w:w="3456"/>
            <w:vAlign w:val="top"/>
          </w:tcPr>
          <w:p>
            <w:pPr>
              <w:spacing w:after="20"/>
            </w:pPr>
            <w:r>
              <w:rPr>
                <w:rFonts w:ascii="Arial" w:hAnsi="Arial"/>
                <w:sz w:val="16"/>
              </w:rPr>
              <w:t>Resilience / fallback</w:t>
            </w:r>
          </w:p>
        </w:tc>
        <w:tc>
          <w:tcPr>
            <w:tcW w:type="dxa" w:w="8064"/>
            <w:vAlign w:val="top"/>
          </w:tcPr>
          <w:p>
            <w:pPr>
              <w:spacing w:after="20"/>
            </w:pPr>
            <w:r>
              <w:rPr>
                <w:rFonts w:ascii="Arial" w:hAnsi="Arial"/>
                <w:sz w:val="16"/>
              </w:rPr>
              <w:t>Alternative network, manual/book-entry process, recovery and migration feasibility.</w:t>
            </w:r>
          </w:p>
        </w:tc>
      </w:tr>
      <w:tr>
        <w:tc>
          <w:tcPr>
            <w:tcW w:type="dxa" w:w="3456"/>
            <w:vAlign w:val="top"/>
          </w:tcPr>
          <w:p>
            <w:pPr>
              <w:spacing w:after="20"/>
            </w:pPr>
            <w:r>
              <w:rPr>
                <w:rFonts w:ascii="Arial" w:hAnsi="Arial"/>
                <w:sz w:val="16"/>
              </w:rPr>
              <w:t>Third parties</w:t>
            </w:r>
          </w:p>
        </w:tc>
        <w:tc>
          <w:tcPr>
            <w:tcW w:type="dxa" w:w="8064"/>
            <w:vAlign w:val="top"/>
          </w:tcPr>
          <w:p>
            <w:pPr>
              <w:spacing w:after="20"/>
            </w:pPr>
            <w:r>
              <w:rPr>
                <w:rFonts w:ascii="Arial" w:hAnsi="Arial"/>
                <w:sz w:val="16"/>
              </w:rPr>
              <w:t>Node/RPC/cloud/oracle/bridge/custody dependencies where applicable.</w:t>
            </w:r>
          </w:p>
        </w:tc>
      </w:tr>
      <w:tr>
        <w:tc>
          <w:tcPr>
            <w:tcW w:type="dxa" w:w="3456"/>
            <w:vAlign w:val="top"/>
          </w:tcPr>
          <w:p>
            <w:pPr>
              <w:spacing w:after="20"/>
            </w:pPr>
            <w:r>
              <w:rPr>
                <w:rFonts w:ascii="Arial" w:hAnsi="Arial"/>
                <w:sz w:val="16"/>
              </w:rPr>
              <w:t>Regulatory / legal fit</w:t>
            </w:r>
          </w:p>
        </w:tc>
        <w:tc>
          <w:tcPr>
            <w:tcW w:type="dxa" w:w="8064"/>
            <w:vAlign w:val="top"/>
          </w:tcPr>
          <w:p>
            <w:pPr>
              <w:spacing w:after="20"/>
            </w:pPr>
            <w:r>
              <w:rPr>
                <w:rFonts w:ascii="Arial" w:hAnsi="Arial"/>
                <w:sz w:val="16"/>
              </w:rPr>
              <w:t>Jurisdictional constraints, regulatory treatment and recordkeeping implications.</w:t>
            </w:r>
          </w:p>
        </w:tc>
      </w:tr>
    </w:tbl>
    <w:p/>
    <w:p>
      <w:pPr>
        <w:pStyle w:val="Heading2"/>
      </w:pPr>
      <w:r>
        <w:t>17.2 Smart-contract / privileged control expectations</w:t>
      </w:r>
    </w:p>
    <w:p>
      <w:pPr>
        <w:pStyle w:val="ListBullet"/>
        <w:spacing w:after="40"/>
      </w:pPr>
      <w:r>
        <w:t>Production contract address/version and code hash are controlled and traceable.</w:t>
      </w:r>
    </w:p>
    <w:p>
      <w:pPr>
        <w:pStyle w:val="ListBullet"/>
        <w:spacing w:after="40"/>
      </w:pPr>
      <w:r>
        <w:t>Upgrade authority, multisig/timelock and approval paths are documented.</w:t>
      </w:r>
    </w:p>
    <w:p>
      <w:pPr>
        <w:pStyle w:val="ListBullet"/>
        <w:spacing w:after="40"/>
      </w:pPr>
      <w:r>
        <w:t>Mint/burn roles can only be exercised through authorized workflows.</w:t>
      </w:r>
    </w:p>
    <w:p>
      <w:pPr>
        <w:pStyle w:val="ListBullet"/>
        <w:spacing w:after="40"/>
      </w:pPr>
      <w:r>
        <w:t>Emergency pause/freeze capabilities are documented, governed and tested.</w:t>
      </w:r>
    </w:p>
    <w:p>
      <w:pPr>
        <w:pStyle w:val="ListBullet"/>
        <w:spacing w:after="40"/>
      </w:pPr>
      <w:r>
        <w:t>Transfer restrictions/whitelisting are controlled and material bypasses are visible.</w:t>
      </w:r>
    </w:p>
    <w:p>
      <w:pPr>
        <w:pStyle w:val="ListBullet"/>
        <w:spacing w:after="40"/>
      </w:pPr>
      <w:r>
        <w:t>Admin/signing keys use strong custody, segregation, rotation and recovery.</w:t>
      </w:r>
    </w:p>
    <w:p>
      <w:pPr>
        <w:pStyle w:val="ListBullet"/>
        <w:spacing w:after="40"/>
      </w:pPr>
      <w:r>
        <w:t>Material privileged actions and relevant on-chain events are auditable.</w:t>
      </w:r>
    </w:p>
    <w:p>
      <w:pPr>
        <w:pStyle w:val="Heading1"/>
      </w:pPr>
      <w:r>
        <w:t>18. Operational Resilience and Fourth-Party Oversight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456"/>
            <w:shd w:fill="C00000"/>
          </w:tcPr>
          <w:p>
            <w:r>
              <w:rPr>
                <w:rFonts w:ascii="Arial" w:hAnsi="Arial"/>
                <w:b/>
                <w:color w:val="FFFFFF"/>
                <w:sz w:val="16"/>
              </w:rPr>
              <w:t>Scenario / area</w:t>
            </w:r>
          </w:p>
        </w:tc>
        <w:tc>
          <w:tcPr>
            <w:tcW w:type="dxa" w:w="8064"/>
            <w:shd w:fill="C00000"/>
          </w:tcPr>
          <w:p>
            <w:r>
              <w:rPr>
                <w:rFonts w:ascii="Arial" w:hAnsi="Arial"/>
                <w:b/>
                <w:color w:val="FFFFFF"/>
                <w:sz w:val="16"/>
              </w:rPr>
              <w:t>Minimum expectation</w:t>
            </w:r>
          </w:p>
        </w:tc>
      </w:tr>
      <w:tr>
        <w:tc>
          <w:tcPr>
            <w:tcW w:type="dxa" w:w="3456"/>
            <w:vAlign w:val="top"/>
          </w:tcPr>
          <w:p>
            <w:pPr>
              <w:spacing w:after="20"/>
            </w:pPr>
            <w:r>
              <w:rPr>
                <w:rFonts w:ascii="Arial" w:hAnsi="Arial"/>
                <w:sz w:val="16"/>
              </w:rPr>
              <w:t>DTA application outage</w:t>
            </w:r>
          </w:p>
        </w:tc>
        <w:tc>
          <w:tcPr>
            <w:tcW w:type="dxa" w:w="8064"/>
            <w:vAlign w:val="top"/>
          </w:tcPr>
          <w:p>
            <w:pPr>
              <w:spacing w:after="20"/>
            </w:pPr>
            <w:r>
              <w:rPr>
                <w:rFonts w:ascii="Arial" w:hAnsi="Arial"/>
                <w:sz w:val="16"/>
              </w:rPr>
              <w:t>Defined manual intake/book-entry or deferred processing; backlog reconciliation after recovery.</w:t>
            </w:r>
          </w:p>
        </w:tc>
      </w:tr>
      <w:tr>
        <w:tc>
          <w:tcPr>
            <w:tcW w:type="dxa" w:w="3456"/>
            <w:vAlign w:val="top"/>
          </w:tcPr>
          <w:p>
            <w:pPr>
              <w:spacing w:after="20"/>
            </w:pPr>
            <w:r>
              <w:rPr>
                <w:rFonts w:ascii="Arial" w:hAnsi="Arial"/>
                <w:sz w:val="16"/>
              </w:rPr>
              <w:t>Blockchain/network outage</w:t>
            </w:r>
          </w:p>
        </w:tc>
        <w:tc>
          <w:tcPr>
            <w:tcW w:type="dxa" w:w="8064"/>
            <w:vAlign w:val="top"/>
          </w:tcPr>
          <w:p>
            <w:pPr>
              <w:spacing w:after="20"/>
            </w:pPr>
            <w:r>
              <w:rPr>
                <w:rFonts w:ascii="Arial" w:hAnsi="Arial"/>
                <w:sz w:val="16"/>
              </w:rPr>
              <w:t>Pause affected on-chain processing where appropriate; approved fallback/manual/book-entry or alternative network where legally/operationally permitted.</w:t>
            </w:r>
          </w:p>
        </w:tc>
      </w:tr>
      <w:tr>
        <w:tc>
          <w:tcPr>
            <w:tcW w:type="dxa" w:w="3456"/>
            <w:vAlign w:val="top"/>
          </w:tcPr>
          <w:p>
            <w:pPr>
              <w:spacing w:after="20"/>
            </w:pPr>
            <w:r>
              <w:rPr>
                <w:rFonts w:ascii="Arial" w:hAnsi="Arial"/>
                <w:sz w:val="16"/>
              </w:rPr>
              <w:t>The-Bank oversight platform outage</w:t>
            </w:r>
          </w:p>
        </w:tc>
        <w:tc>
          <w:tcPr>
            <w:tcW w:type="dxa" w:w="8064"/>
            <w:vAlign w:val="top"/>
          </w:tcPr>
          <w:p>
            <w:pPr>
              <w:spacing w:after="20"/>
            </w:pPr>
            <w:r>
              <w:rPr>
                <w:rFonts w:ascii="Arial" w:hAnsi="Arial"/>
                <w:sz w:val="16"/>
              </w:rPr>
              <w:t>Provider operations continue; manual critical-control/evidence review and later backload of results.</w:t>
            </w:r>
          </w:p>
        </w:tc>
      </w:tr>
      <w:tr>
        <w:tc>
          <w:tcPr>
            <w:tcW w:type="dxa" w:w="3456"/>
            <w:vAlign w:val="top"/>
          </w:tcPr>
          <w:p>
            <w:pPr>
              <w:spacing w:after="20"/>
            </w:pPr>
            <w:r>
              <w:rPr>
                <w:rFonts w:ascii="Arial" w:hAnsi="Arial"/>
                <w:sz w:val="16"/>
              </w:rPr>
              <w:t>Provider data-feed outage</w:t>
            </w:r>
          </w:p>
        </w:tc>
        <w:tc>
          <w:tcPr>
            <w:tcW w:type="dxa" w:w="8064"/>
            <w:vAlign w:val="top"/>
          </w:tcPr>
          <w:p>
            <w:pPr>
              <w:spacing w:after="20"/>
            </w:pPr>
            <w:r>
              <w:rPr>
                <w:rFonts w:ascii="Arial" w:hAnsi="Arial"/>
                <w:sz w:val="16"/>
              </w:rPr>
              <w:t>Agreed contingency report/file; track missing control execution and compensating review.</w:t>
            </w:r>
          </w:p>
        </w:tc>
      </w:tr>
      <w:tr>
        <w:tc>
          <w:tcPr>
            <w:tcW w:type="dxa" w:w="3456"/>
            <w:vAlign w:val="top"/>
          </w:tcPr>
          <w:p>
            <w:pPr>
              <w:spacing w:after="20"/>
            </w:pPr>
            <w:r>
              <w:rPr>
                <w:rFonts w:ascii="Arial" w:hAnsi="Arial"/>
                <w:sz w:val="16"/>
              </w:rPr>
              <w:t>Key-management disruption</w:t>
            </w:r>
          </w:p>
        </w:tc>
        <w:tc>
          <w:tcPr>
            <w:tcW w:type="dxa" w:w="8064"/>
            <w:vAlign w:val="top"/>
          </w:tcPr>
          <w:p>
            <w:pPr>
              <w:spacing w:after="20"/>
            </w:pPr>
            <w:r>
              <w:rPr>
                <w:rFonts w:ascii="Arial" w:hAnsi="Arial"/>
                <w:sz w:val="16"/>
              </w:rPr>
              <w:t>Emergency governance, recovery process, segregation and incident controls.</w:t>
            </w:r>
          </w:p>
        </w:tc>
      </w:tr>
      <w:tr>
        <w:tc>
          <w:tcPr>
            <w:tcW w:type="dxa" w:w="3456"/>
            <w:vAlign w:val="top"/>
          </w:tcPr>
          <w:p>
            <w:pPr>
              <w:spacing w:after="20"/>
            </w:pPr>
            <w:r>
              <w:rPr>
                <w:rFonts w:ascii="Arial" w:hAnsi="Arial"/>
                <w:sz w:val="16"/>
              </w:rPr>
              <w:t>Provider/fourth-party failure</w:t>
            </w:r>
          </w:p>
        </w:tc>
        <w:tc>
          <w:tcPr>
            <w:tcW w:type="dxa" w:w="8064"/>
            <w:vAlign w:val="top"/>
          </w:tcPr>
          <w:p>
            <w:pPr>
              <w:spacing w:after="20"/>
            </w:pPr>
            <w:r>
              <w:rPr>
                <w:rFonts w:ascii="Arial" w:hAnsi="Arial"/>
                <w:sz w:val="16"/>
              </w:rPr>
              <w:t>Access to register/export data, transition assistance, migration/continuity plan.</w:t>
            </w:r>
          </w:p>
        </w:tc>
      </w:tr>
    </w:tbl>
    <w:p/>
    <w:p>
      <w:pPr>
        <w:pStyle w:val="Heading2"/>
      </w:pPr>
      <w:r>
        <w:t>18.1 Fourth-party expectations</w:t>
      </w:r>
    </w:p>
    <w:p>
      <w:pPr>
        <w:pStyle w:val="ListBullet"/>
        <w:spacing w:after="40"/>
      </w:pPr>
      <w:r>
        <w:t>Provider maintains a current list of critical subcontractors/dependencies.</w:t>
      </w:r>
    </w:p>
    <w:p>
      <w:pPr>
        <w:pStyle w:val="ListBullet"/>
        <w:spacing w:after="40"/>
      </w:pPr>
      <w:r>
        <w:t>Material critical-dependency changes are notified in advance where contractually feasible.</w:t>
      </w:r>
    </w:p>
    <w:p>
      <w:pPr>
        <w:pStyle w:val="ListBullet"/>
        <w:spacing w:after="40"/>
      </w:pPr>
      <w:r>
        <w:t>The-Bank assesses concentration, substitutability, resilience and exit implications.</w:t>
      </w:r>
    </w:p>
    <w:p>
      <w:pPr>
        <w:pStyle w:val="ListBullet"/>
        <w:spacing w:after="40"/>
      </w:pPr>
      <w:r>
        <w:t>Provider remains accountable for managing its subcontractors within the contracted service.</w:t>
      </w:r>
    </w:p>
    <w:p>
      <w:pPr>
        <w:pStyle w:val="ListBullet"/>
        <w:spacing w:after="40"/>
      </w:pPr>
      <w:r>
        <w:t>Critical dependencies are incorporated into incident, resilience and exit scenarios.</w:t>
      </w:r>
    </w:p>
    <w:p>
      <w:pPr>
        <w:pStyle w:val="Heading1"/>
      </w:pPr>
      <w:r>
        <w:t>19. Evidence and Independent Assurance</w:t>
      </w:r>
    </w:p>
    <w:p>
      <w:r>
        <w:t>Independent assurance and provider evidence reduce the need for manual reperformance. Evidence requirements must be risk-based, retrievable and contractually enforceable where necessary.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5472"/>
            <w:shd w:fill="C00000"/>
          </w:tcPr>
          <w:p>
            <w:r>
              <w:rPr>
                <w:rFonts w:ascii="Arial" w:hAnsi="Arial"/>
                <w:b/>
                <w:color w:val="FFFFFF"/>
                <w:sz w:val="16"/>
              </w:rPr>
              <w:t>Evidence</w:t>
            </w:r>
          </w:p>
        </w:tc>
        <w:tc>
          <w:tcPr>
            <w:tcW w:type="dxa" w:w="2880"/>
            <w:shd w:fill="C00000"/>
          </w:tcPr>
          <w:p>
            <w:r>
              <w:rPr>
                <w:rFonts w:ascii="Arial" w:hAnsi="Arial"/>
                <w:b/>
                <w:color w:val="FFFFFF"/>
                <w:sz w:val="16"/>
              </w:rPr>
              <w:t>Typical frequency</w:t>
            </w:r>
          </w:p>
        </w:tc>
        <w:tc>
          <w:tcPr>
            <w:tcW w:type="dxa" w:w="3168"/>
            <w:shd w:fill="C00000"/>
          </w:tcPr>
          <w:p>
            <w:r>
              <w:rPr>
                <w:rFonts w:ascii="Arial" w:hAnsi="Arial"/>
                <w:b/>
                <w:color w:val="FFFFFF"/>
                <w:sz w:val="16"/>
              </w:rPr>
              <w:t>Owner / source</w:t>
            </w:r>
          </w:p>
        </w:tc>
      </w:tr>
      <w:tr>
        <w:tc>
          <w:tcPr>
            <w:tcW w:type="dxa" w:w="5472"/>
            <w:vAlign w:val="top"/>
          </w:tcPr>
          <w:p>
            <w:pPr>
              <w:spacing w:after="20"/>
            </w:pPr>
            <w:r>
              <w:rPr>
                <w:rFonts w:ascii="Arial" w:hAnsi="Arial"/>
                <w:sz w:val="15"/>
              </w:rPr>
              <w:t>Primary reconciliation result / break report</w:t>
            </w:r>
          </w:p>
        </w:tc>
        <w:tc>
          <w:tcPr>
            <w:tcW w:type="dxa" w:w="2880"/>
            <w:vAlign w:val="top"/>
          </w:tcPr>
          <w:p>
            <w:pPr>
              <w:spacing w:after="20"/>
            </w:pPr>
            <w:r>
              <w:rPr>
                <w:rFonts w:ascii="Arial" w:hAnsi="Arial"/>
                <w:sz w:val="15"/>
              </w:rPr>
              <w:t>Daily</w:t>
            </w:r>
          </w:p>
        </w:tc>
        <w:tc>
          <w:tcPr>
            <w:tcW w:type="dxa" w:w="3168"/>
            <w:vAlign w:val="top"/>
          </w:tcPr>
          <w:p>
            <w:pPr>
              <w:spacing w:after="20"/>
            </w:pPr>
            <w:r>
              <w:rPr>
                <w:rFonts w:ascii="Arial" w:hAnsi="Arial"/>
                <w:sz w:val="15"/>
              </w:rPr>
              <w:t>DTA Provider</w:t>
            </w:r>
          </w:p>
        </w:tc>
      </w:tr>
      <w:tr>
        <w:tc>
          <w:tcPr>
            <w:tcW w:type="dxa" w:w="5472"/>
            <w:vAlign w:val="top"/>
          </w:tcPr>
          <w:p>
            <w:pPr>
              <w:spacing w:after="20"/>
            </w:pPr>
            <w:r>
              <w:rPr>
                <w:rFonts w:ascii="Arial" w:hAnsi="Arial"/>
                <w:sz w:val="15"/>
              </w:rPr>
              <w:t>Transaction/register extracts used for independent verification</w:t>
            </w:r>
          </w:p>
        </w:tc>
        <w:tc>
          <w:tcPr>
            <w:tcW w:type="dxa" w:w="2880"/>
            <w:vAlign w:val="top"/>
          </w:tcPr>
          <w:p>
            <w:pPr>
              <w:spacing w:after="20"/>
            </w:pPr>
            <w:r>
              <w:rPr>
                <w:rFonts w:ascii="Arial" w:hAnsi="Arial"/>
                <w:sz w:val="15"/>
              </w:rPr>
              <w:t>Daily / control cadence</w:t>
            </w:r>
          </w:p>
        </w:tc>
        <w:tc>
          <w:tcPr>
            <w:tcW w:type="dxa" w:w="3168"/>
            <w:vAlign w:val="top"/>
          </w:tcPr>
          <w:p>
            <w:pPr>
              <w:spacing w:after="20"/>
            </w:pPr>
            <w:r>
              <w:rPr>
                <w:rFonts w:ascii="Arial" w:hAnsi="Arial"/>
                <w:sz w:val="15"/>
              </w:rPr>
              <w:t>DTA Provider</w:t>
            </w:r>
          </w:p>
        </w:tc>
      </w:tr>
      <w:tr>
        <w:tc>
          <w:tcPr>
            <w:tcW w:type="dxa" w:w="5472"/>
            <w:vAlign w:val="top"/>
          </w:tcPr>
          <w:p>
            <w:pPr>
              <w:spacing w:after="20"/>
            </w:pPr>
            <w:r>
              <w:rPr>
                <w:rFonts w:ascii="Arial" w:hAnsi="Arial"/>
                <w:sz w:val="15"/>
              </w:rPr>
              <w:t>Independent verification results / exceptions</w:t>
            </w:r>
          </w:p>
        </w:tc>
        <w:tc>
          <w:tcPr>
            <w:tcW w:type="dxa" w:w="2880"/>
            <w:vAlign w:val="top"/>
          </w:tcPr>
          <w:p>
            <w:pPr>
              <w:spacing w:after="20"/>
            </w:pPr>
            <w:r>
              <w:rPr>
                <w:rFonts w:ascii="Arial" w:hAnsi="Arial"/>
                <w:sz w:val="15"/>
              </w:rPr>
              <w:t>Daily or per control</w:t>
            </w:r>
          </w:p>
        </w:tc>
        <w:tc>
          <w:tcPr>
            <w:tcW w:type="dxa" w:w="3168"/>
            <w:vAlign w:val="top"/>
          </w:tcPr>
          <w:p>
            <w:pPr>
              <w:spacing w:after="20"/>
            </w:pPr>
            <w:r>
              <w:rPr>
                <w:rFonts w:ascii="Arial" w:hAnsi="Arial"/>
                <w:sz w:val="15"/>
              </w:rPr>
              <w:t>The-Bank</w:t>
            </w:r>
          </w:p>
        </w:tc>
      </w:tr>
      <w:tr>
        <w:tc>
          <w:tcPr>
            <w:tcW w:type="dxa" w:w="5472"/>
            <w:vAlign w:val="top"/>
          </w:tcPr>
          <w:p>
            <w:pPr>
              <w:spacing w:after="20"/>
            </w:pPr>
            <w:r>
              <w:rPr>
                <w:rFonts w:ascii="Arial" w:hAnsi="Arial"/>
                <w:sz w:val="15"/>
              </w:rPr>
              <w:t>KPI/KRI pack</w:t>
            </w:r>
          </w:p>
        </w:tc>
        <w:tc>
          <w:tcPr>
            <w:tcW w:type="dxa" w:w="2880"/>
            <w:vAlign w:val="top"/>
          </w:tcPr>
          <w:p>
            <w:pPr>
              <w:spacing w:after="20"/>
            </w:pPr>
            <w:r>
              <w:rPr>
                <w:rFonts w:ascii="Arial" w:hAnsi="Arial"/>
                <w:sz w:val="15"/>
              </w:rPr>
              <w:t>Monthly</w:t>
            </w:r>
          </w:p>
        </w:tc>
        <w:tc>
          <w:tcPr>
            <w:tcW w:type="dxa" w:w="3168"/>
            <w:vAlign w:val="top"/>
          </w:tcPr>
          <w:p>
            <w:pPr>
              <w:spacing w:after="20"/>
            </w:pPr>
            <w:r>
              <w:rPr>
                <w:rFonts w:ascii="Arial" w:hAnsi="Arial"/>
                <w:sz w:val="15"/>
              </w:rPr>
              <w:t>Provider + The-Bank calculations</w:t>
            </w:r>
          </w:p>
        </w:tc>
      </w:tr>
      <w:tr>
        <w:tc>
          <w:tcPr>
            <w:tcW w:type="dxa" w:w="5472"/>
            <w:vAlign w:val="top"/>
          </w:tcPr>
          <w:p>
            <w:pPr>
              <w:spacing w:after="20"/>
            </w:pPr>
            <w:r>
              <w:rPr>
                <w:rFonts w:ascii="Arial" w:hAnsi="Arial"/>
                <w:sz w:val="15"/>
              </w:rPr>
              <w:t>Incident / problem reports</w:t>
            </w:r>
          </w:p>
        </w:tc>
        <w:tc>
          <w:tcPr>
            <w:tcW w:type="dxa" w:w="2880"/>
            <w:vAlign w:val="top"/>
          </w:tcPr>
          <w:p>
            <w:pPr>
              <w:spacing w:after="20"/>
            </w:pPr>
            <w:r>
              <w:rPr>
                <w:rFonts w:ascii="Arial" w:hAnsi="Arial"/>
                <w:sz w:val="15"/>
              </w:rPr>
              <w:t>Event-driven / monthly</w:t>
            </w:r>
          </w:p>
        </w:tc>
        <w:tc>
          <w:tcPr>
            <w:tcW w:type="dxa" w:w="3168"/>
            <w:vAlign w:val="top"/>
          </w:tcPr>
          <w:p>
            <w:pPr>
              <w:spacing w:after="20"/>
            </w:pPr>
            <w:r>
              <w:rPr>
                <w:rFonts w:ascii="Arial" w:hAnsi="Arial"/>
                <w:sz w:val="15"/>
              </w:rPr>
              <w:t>Provider</w:t>
            </w:r>
          </w:p>
        </w:tc>
      </w:tr>
      <w:tr>
        <w:tc>
          <w:tcPr>
            <w:tcW w:type="dxa" w:w="5472"/>
            <w:vAlign w:val="top"/>
          </w:tcPr>
          <w:p>
            <w:pPr>
              <w:spacing w:after="20"/>
            </w:pPr>
            <w:r>
              <w:rPr>
                <w:rFonts w:ascii="Arial" w:hAnsi="Arial"/>
                <w:sz w:val="15"/>
              </w:rPr>
              <w:t>Material change log</w:t>
            </w:r>
          </w:p>
        </w:tc>
        <w:tc>
          <w:tcPr>
            <w:tcW w:type="dxa" w:w="2880"/>
            <w:vAlign w:val="top"/>
          </w:tcPr>
          <w:p>
            <w:pPr>
              <w:spacing w:after="20"/>
            </w:pPr>
            <w:r>
              <w:rPr>
                <w:rFonts w:ascii="Arial" w:hAnsi="Arial"/>
                <w:sz w:val="15"/>
              </w:rPr>
              <w:t>Monthly / event-driven</w:t>
            </w:r>
          </w:p>
        </w:tc>
        <w:tc>
          <w:tcPr>
            <w:tcW w:type="dxa" w:w="3168"/>
            <w:vAlign w:val="top"/>
          </w:tcPr>
          <w:p>
            <w:pPr>
              <w:spacing w:after="20"/>
            </w:pPr>
            <w:r>
              <w:rPr>
                <w:rFonts w:ascii="Arial" w:hAnsi="Arial"/>
                <w:sz w:val="15"/>
              </w:rPr>
              <w:t>Provider</w:t>
            </w:r>
          </w:p>
        </w:tc>
      </w:tr>
      <w:tr>
        <w:tc>
          <w:tcPr>
            <w:tcW w:type="dxa" w:w="5472"/>
            <w:vAlign w:val="top"/>
          </w:tcPr>
          <w:p>
            <w:pPr>
              <w:spacing w:after="20"/>
            </w:pPr>
            <w:r>
              <w:rPr>
                <w:rFonts w:ascii="Arial" w:hAnsi="Arial"/>
                <w:sz w:val="15"/>
              </w:rPr>
              <w:t>Privileged-access review</w:t>
            </w:r>
          </w:p>
        </w:tc>
        <w:tc>
          <w:tcPr>
            <w:tcW w:type="dxa" w:w="2880"/>
            <w:vAlign w:val="top"/>
          </w:tcPr>
          <w:p>
            <w:pPr>
              <w:spacing w:after="20"/>
            </w:pPr>
            <w:r>
              <w:rPr>
                <w:rFonts w:ascii="Arial" w:hAnsi="Arial"/>
                <w:sz w:val="15"/>
              </w:rPr>
              <w:t>Quarterly or agreed cadence</w:t>
            </w:r>
          </w:p>
        </w:tc>
        <w:tc>
          <w:tcPr>
            <w:tcW w:type="dxa" w:w="3168"/>
            <w:vAlign w:val="top"/>
          </w:tcPr>
          <w:p>
            <w:pPr>
              <w:spacing w:after="20"/>
            </w:pPr>
            <w:r>
              <w:rPr>
                <w:rFonts w:ascii="Arial" w:hAnsi="Arial"/>
                <w:sz w:val="15"/>
              </w:rPr>
              <w:t>Provider assurance</w:t>
            </w:r>
          </w:p>
        </w:tc>
      </w:tr>
      <w:tr>
        <w:tc>
          <w:tcPr>
            <w:tcW w:type="dxa" w:w="5472"/>
            <w:vAlign w:val="top"/>
          </w:tcPr>
          <w:p>
            <w:pPr>
              <w:spacing w:after="20"/>
            </w:pPr>
            <w:r>
              <w:rPr>
                <w:rFonts w:ascii="Arial" w:hAnsi="Arial"/>
                <w:sz w:val="15"/>
              </w:rPr>
              <w:t>SOC 1 / SOC 2 or equivalent</w:t>
            </w:r>
          </w:p>
        </w:tc>
        <w:tc>
          <w:tcPr>
            <w:tcW w:type="dxa" w:w="2880"/>
            <w:vAlign w:val="top"/>
          </w:tcPr>
          <w:p>
            <w:pPr>
              <w:spacing w:after="20"/>
            </w:pPr>
            <w:r>
              <w:rPr>
                <w:rFonts w:ascii="Arial" w:hAnsi="Arial"/>
                <w:sz w:val="15"/>
              </w:rPr>
              <w:t>Annual</w:t>
            </w:r>
          </w:p>
        </w:tc>
        <w:tc>
          <w:tcPr>
            <w:tcW w:type="dxa" w:w="3168"/>
            <w:vAlign w:val="top"/>
          </w:tcPr>
          <w:p>
            <w:pPr>
              <w:spacing w:after="20"/>
            </w:pPr>
            <w:r>
              <w:rPr>
                <w:rFonts w:ascii="Arial" w:hAnsi="Arial"/>
                <w:sz w:val="15"/>
              </w:rPr>
              <w:t>Provider / independent auditor</w:t>
            </w:r>
          </w:p>
        </w:tc>
      </w:tr>
      <w:tr>
        <w:tc>
          <w:tcPr>
            <w:tcW w:type="dxa" w:w="5472"/>
            <w:vAlign w:val="top"/>
          </w:tcPr>
          <w:p>
            <w:pPr>
              <w:spacing w:after="20"/>
            </w:pPr>
            <w:r>
              <w:rPr>
                <w:rFonts w:ascii="Arial" w:hAnsi="Arial"/>
                <w:sz w:val="15"/>
              </w:rPr>
              <w:t>DR/BCP test evidence</w:t>
            </w:r>
          </w:p>
        </w:tc>
        <w:tc>
          <w:tcPr>
            <w:tcW w:type="dxa" w:w="2880"/>
            <w:vAlign w:val="top"/>
          </w:tcPr>
          <w:p>
            <w:pPr>
              <w:spacing w:after="20"/>
            </w:pPr>
            <w:r>
              <w:rPr>
                <w:rFonts w:ascii="Arial" w:hAnsi="Arial"/>
                <w:sz w:val="15"/>
              </w:rPr>
              <w:t>Annual</w:t>
            </w:r>
          </w:p>
        </w:tc>
        <w:tc>
          <w:tcPr>
            <w:tcW w:type="dxa" w:w="3168"/>
            <w:vAlign w:val="top"/>
          </w:tcPr>
          <w:p>
            <w:pPr>
              <w:spacing w:after="20"/>
            </w:pPr>
            <w:r>
              <w:rPr>
                <w:rFonts w:ascii="Arial" w:hAnsi="Arial"/>
                <w:sz w:val="15"/>
              </w:rPr>
              <w:t>Provider</w:t>
            </w:r>
          </w:p>
        </w:tc>
      </w:tr>
      <w:tr>
        <w:tc>
          <w:tcPr>
            <w:tcW w:type="dxa" w:w="5472"/>
            <w:vAlign w:val="top"/>
          </w:tcPr>
          <w:p>
            <w:pPr>
              <w:spacing w:after="20"/>
            </w:pPr>
            <w:r>
              <w:rPr>
                <w:rFonts w:ascii="Arial" w:hAnsi="Arial"/>
                <w:sz w:val="15"/>
              </w:rPr>
              <w:t>Pen-test / security assessment summary</w:t>
            </w:r>
          </w:p>
        </w:tc>
        <w:tc>
          <w:tcPr>
            <w:tcW w:type="dxa" w:w="2880"/>
            <w:vAlign w:val="top"/>
          </w:tcPr>
          <w:p>
            <w:pPr>
              <w:spacing w:after="20"/>
            </w:pPr>
            <w:r>
              <w:rPr>
                <w:rFonts w:ascii="Arial" w:hAnsi="Arial"/>
                <w:sz w:val="15"/>
              </w:rPr>
              <w:t>Annual / material release</w:t>
            </w:r>
          </w:p>
        </w:tc>
        <w:tc>
          <w:tcPr>
            <w:tcW w:type="dxa" w:w="3168"/>
            <w:vAlign w:val="top"/>
          </w:tcPr>
          <w:p>
            <w:pPr>
              <w:spacing w:after="20"/>
            </w:pPr>
            <w:r>
              <w:rPr>
                <w:rFonts w:ascii="Arial" w:hAnsi="Arial"/>
                <w:sz w:val="15"/>
              </w:rPr>
              <w:t>Provider</w:t>
            </w:r>
          </w:p>
        </w:tc>
      </w:tr>
      <w:tr>
        <w:tc>
          <w:tcPr>
            <w:tcW w:type="dxa" w:w="5472"/>
            <w:vAlign w:val="top"/>
          </w:tcPr>
          <w:p>
            <w:pPr>
              <w:spacing w:after="20"/>
            </w:pPr>
            <w:r>
              <w:rPr>
                <w:rFonts w:ascii="Arial" w:hAnsi="Arial"/>
                <w:sz w:val="15"/>
              </w:rPr>
              <w:t>Smart-contract assessment / code audit</w:t>
            </w:r>
          </w:p>
        </w:tc>
        <w:tc>
          <w:tcPr>
            <w:tcW w:type="dxa" w:w="2880"/>
            <w:vAlign w:val="top"/>
          </w:tcPr>
          <w:p>
            <w:pPr>
              <w:spacing w:after="20"/>
            </w:pPr>
            <w:r>
              <w:rPr>
                <w:rFonts w:ascii="Arial" w:hAnsi="Arial"/>
                <w:sz w:val="15"/>
              </w:rPr>
              <w:t>Release / annual as applicable</w:t>
            </w:r>
          </w:p>
        </w:tc>
        <w:tc>
          <w:tcPr>
            <w:tcW w:type="dxa" w:w="3168"/>
            <w:vAlign w:val="top"/>
          </w:tcPr>
          <w:p>
            <w:pPr>
              <w:spacing w:after="20"/>
            </w:pPr>
            <w:r>
              <w:rPr>
                <w:rFonts w:ascii="Arial" w:hAnsi="Arial"/>
                <w:sz w:val="15"/>
              </w:rPr>
              <w:t>Provider / independent assessor</w:t>
            </w:r>
          </w:p>
        </w:tc>
      </w:tr>
      <w:tr>
        <w:tc>
          <w:tcPr>
            <w:tcW w:type="dxa" w:w="5472"/>
            <w:vAlign w:val="top"/>
          </w:tcPr>
          <w:p>
            <w:pPr>
              <w:spacing w:after="20"/>
            </w:pPr>
            <w:r>
              <w:rPr>
                <w:rFonts w:ascii="Arial" w:hAnsi="Arial"/>
                <w:sz w:val="15"/>
              </w:rPr>
              <w:t>Blockchain / DLT due-diligence approval</w:t>
            </w:r>
          </w:p>
        </w:tc>
        <w:tc>
          <w:tcPr>
            <w:tcW w:type="dxa" w:w="2880"/>
            <w:vAlign w:val="top"/>
          </w:tcPr>
          <w:p>
            <w:pPr>
              <w:spacing w:after="20"/>
            </w:pPr>
            <w:r>
              <w:rPr>
                <w:rFonts w:ascii="Arial" w:hAnsi="Arial"/>
                <w:sz w:val="15"/>
              </w:rPr>
              <w:t>Initial / periodic / event-driven</w:t>
            </w:r>
          </w:p>
        </w:tc>
        <w:tc>
          <w:tcPr>
            <w:tcW w:type="dxa" w:w="3168"/>
            <w:vAlign w:val="top"/>
          </w:tcPr>
          <w:p>
            <w:pPr>
              <w:spacing w:after="20"/>
            </w:pPr>
            <w:r>
              <w:rPr>
                <w:rFonts w:ascii="Arial" w:hAnsi="Arial"/>
                <w:sz w:val="15"/>
              </w:rPr>
              <w:t>The-Bank</w:t>
            </w:r>
          </w:p>
        </w:tc>
      </w:tr>
      <w:tr>
        <w:tc>
          <w:tcPr>
            <w:tcW w:type="dxa" w:w="5472"/>
            <w:vAlign w:val="top"/>
          </w:tcPr>
          <w:p>
            <w:pPr>
              <w:spacing w:after="20"/>
            </w:pPr>
            <w:r>
              <w:rPr>
                <w:rFonts w:ascii="Arial" w:hAnsi="Arial"/>
                <w:sz w:val="15"/>
              </w:rPr>
              <w:t>Fourth-party inventory</w:t>
            </w:r>
          </w:p>
        </w:tc>
        <w:tc>
          <w:tcPr>
            <w:tcW w:type="dxa" w:w="2880"/>
            <w:vAlign w:val="top"/>
          </w:tcPr>
          <w:p>
            <w:pPr>
              <w:spacing w:after="20"/>
            </w:pPr>
            <w:r>
              <w:rPr>
                <w:rFonts w:ascii="Arial" w:hAnsi="Arial"/>
                <w:sz w:val="15"/>
              </w:rPr>
              <w:t>At least annual / on change</w:t>
            </w:r>
          </w:p>
        </w:tc>
        <w:tc>
          <w:tcPr>
            <w:tcW w:type="dxa" w:w="3168"/>
            <w:vAlign w:val="top"/>
          </w:tcPr>
          <w:p>
            <w:pPr>
              <w:spacing w:after="20"/>
            </w:pPr>
            <w:r>
              <w:rPr>
                <w:rFonts w:ascii="Arial" w:hAnsi="Arial"/>
                <w:sz w:val="15"/>
              </w:rPr>
              <w:t>Provider</w:t>
            </w:r>
          </w:p>
        </w:tc>
      </w:tr>
      <w:tr>
        <w:tc>
          <w:tcPr>
            <w:tcW w:type="dxa" w:w="5472"/>
            <w:vAlign w:val="top"/>
          </w:tcPr>
          <w:p>
            <w:pPr>
              <w:spacing w:after="20"/>
            </w:pPr>
            <w:r>
              <w:rPr>
                <w:rFonts w:ascii="Arial" w:hAnsi="Arial"/>
                <w:sz w:val="15"/>
              </w:rPr>
              <w:t>Regulatory status / attestations</w:t>
            </w:r>
          </w:p>
        </w:tc>
        <w:tc>
          <w:tcPr>
            <w:tcW w:type="dxa" w:w="2880"/>
            <w:vAlign w:val="top"/>
          </w:tcPr>
          <w:p>
            <w:pPr>
              <w:spacing w:after="20"/>
            </w:pPr>
            <w:r>
              <w:rPr>
                <w:rFonts w:ascii="Arial" w:hAnsi="Arial"/>
                <w:sz w:val="15"/>
              </w:rPr>
              <w:t>Annual / on change</w:t>
            </w:r>
          </w:p>
        </w:tc>
        <w:tc>
          <w:tcPr>
            <w:tcW w:type="dxa" w:w="3168"/>
            <w:vAlign w:val="top"/>
          </w:tcPr>
          <w:p>
            <w:pPr>
              <w:spacing w:after="20"/>
            </w:pPr>
            <w:r>
              <w:rPr>
                <w:rFonts w:ascii="Arial" w:hAnsi="Arial"/>
                <w:sz w:val="15"/>
              </w:rPr>
              <w:t>Provider</w:t>
            </w:r>
          </w:p>
        </w:tc>
      </w:tr>
      <w:tr>
        <w:tc>
          <w:tcPr>
            <w:tcW w:type="dxa" w:w="5472"/>
            <w:vAlign w:val="top"/>
          </w:tcPr>
          <w:p>
            <w:pPr>
              <w:spacing w:after="20"/>
            </w:pPr>
            <w:r>
              <w:rPr>
                <w:rFonts w:ascii="Arial" w:hAnsi="Arial"/>
                <w:sz w:val="15"/>
              </w:rPr>
              <w:t>Exit / data export test</w:t>
            </w:r>
          </w:p>
        </w:tc>
        <w:tc>
          <w:tcPr>
            <w:tcW w:type="dxa" w:w="2880"/>
            <w:vAlign w:val="top"/>
          </w:tcPr>
          <w:p>
            <w:pPr>
              <w:spacing w:after="20"/>
            </w:pPr>
            <w:r>
              <w:rPr>
                <w:rFonts w:ascii="Arial" w:hAnsi="Arial"/>
                <w:sz w:val="15"/>
              </w:rPr>
              <w:t>Periodic</w:t>
            </w:r>
          </w:p>
        </w:tc>
        <w:tc>
          <w:tcPr>
            <w:tcW w:type="dxa" w:w="3168"/>
            <w:vAlign w:val="top"/>
          </w:tcPr>
          <w:p>
            <w:pPr>
              <w:spacing w:after="20"/>
            </w:pPr>
            <w:r>
              <w:rPr>
                <w:rFonts w:ascii="Arial" w:hAnsi="Arial"/>
                <w:sz w:val="15"/>
              </w:rPr>
              <w:t>Provider + The-Bank</w:t>
            </w:r>
          </w:p>
        </w:tc>
      </w:tr>
    </w:tbl>
    <w:p/>
    <w:tbl>
      <w:tblPr>
        <w:tblStyle w:val="TableGrid"/>
        <w:tblW w:type="auto" w:w="0"/>
        <w:tblLook w:firstColumn="1" w:firstRow="1" w:lastColumn="0" w:lastRow="0" w:noHBand="0" w:noVBand="1" w:val="04A0"/>
      </w:tblPr>
      <w:tblGrid>
        <w:gridCol w:w="10166"/>
      </w:tblGrid>
      <w:tr>
        <w:tc>
          <w:tcPr>
            <w:tcW w:type="dxa" w:w="10166"/>
            <w:shd w:fill="FFF2F2"/>
          </w:tcPr>
          <w:p>
            <w:pPr>
              <w:pStyle w:val="Callout"/>
              <w:spacing w:after="40"/>
            </w:pPr>
            <w:r>
              <w:t>A material control failure, recurring exception, major incident, unassessed material change or significant assurance qualification must trigger documented reconsideration of control reliance and may require targeted independent testing or a compensating control.</w:t>
            </w:r>
          </w:p>
        </w:tc>
      </w:tr>
    </w:tbl>
    <w:p/>
    <w:p>
      <w:pPr>
        <w:pStyle w:val="Heading1"/>
      </w:pPr>
      <w:r>
        <w:t>20. Escalation and Risk Acceptance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584"/>
            <w:shd w:fill="C00000"/>
          </w:tcPr>
          <w:p>
            <w:r>
              <w:rPr>
                <w:rFonts w:ascii="Arial" w:hAnsi="Arial"/>
                <w:b/>
                <w:color w:val="FFFFFF"/>
                <w:sz w:val="16"/>
              </w:rPr>
              <w:t>Status</w:t>
            </w:r>
          </w:p>
        </w:tc>
        <w:tc>
          <w:tcPr>
            <w:tcW w:type="dxa" w:w="5328"/>
            <w:shd w:fill="C00000"/>
          </w:tcPr>
          <w:p>
            <w:r>
              <w:rPr>
                <w:rFonts w:ascii="Arial" w:hAnsi="Arial"/>
                <w:b/>
                <w:color w:val="FFFFFF"/>
                <w:sz w:val="16"/>
              </w:rPr>
              <w:t>Illustrative condition</w:t>
            </w:r>
          </w:p>
        </w:tc>
        <w:tc>
          <w:tcPr>
            <w:tcW w:type="dxa" w:w="6048"/>
            <w:shd w:fill="C00000"/>
          </w:tcPr>
          <w:p>
            <w:r>
              <w:rPr>
                <w:rFonts w:ascii="Arial" w:hAnsi="Arial"/>
                <w:b/>
                <w:color w:val="FFFFFF"/>
                <w:sz w:val="16"/>
              </w:rPr>
              <w:t>Required governance</w:t>
            </w:r>
          </w:p>
        </w:tc>
      </w:tr>
      <w:tr>
        <w:tc>
          <w:tcPr>
            <w:tcW w:type="dxa" w:w="1584"/>
            <w:vAlign w:val="top"/>
          </w:tcPr>
          <w:p>
            <w:pPr>
              <w:spacing w:after="20"/>
            </w:pPr>
            <w:r>
              <w:rPr>
                <w:rFonts w:ascii="Arial" w:hAnsi="Arial"/>
                <w:sz w:val="16"/>
              </w:rPr>
              <w:t>GREEN</w:t>
            </w:r>
          </w:p>
        </w:tc>
        <w:tc>
          <w:tcPr>
            <w:tcW w:type="dxa" w:w="5328"/>
            <w:vAlign w:val="top"/>
          </w:tcPr>
          <w:p>
            <w:pPr>
              <w:spacing w:after="20"/>
            </w:pPr>
            <w:r>
              <w:rPr>
                <w:rFonts w:ascii="Arial" w:hAnsi="Arial"/>
                <w:sz w:val="16"/>
              </w:rPr>
              <w:t>Service within approved performance/risk thresholds; no material integrity/control issues.</w:t>
            </w:r>
          </w:p>
        </w:tc>
        <w:tc>
          <w:tcPr>
            <w:tcW w:type="dxa" w:w="6048"/>
            <w:vAlign w:val="top"/>
          </w:tcPr>
          <w:p>
            <w:pPr>
              <w:spacing w:after="20"/>
            </w:pPr>
            <w:r>
              <w:rPr>
                <w:rFonts w:ascii="Arial" w:hAnsi="Arial"/>
                <w:sz w:val="16"/>
              </w:rPr>
              <w:t>Routine monthly governance.</w:t>
            </w:r>
          </w:p>
        </w:tc>
      </w:tr>
      <w:tr>
        <w:tc>
          <w:tcPr>
            <w:tcW w:type="dxa" w:w="1584"/>
            <w:vAlign w:val="top"/>
          </w:tcPr>
          <w:p>
            <w:pPr>
              <w:spacing w:after="20"/>
            </w:pPr>
            <w:r>
              <w:rPr>
                <w:rFonts w:ascii="Arial" w:hAnsi="Arial"/>
                <w:sz w:val="16"/>
              </w:rPr>
              <w:t>AMBER</w:t>
            </w:r>
          </w:p>
        </w:tc>
        <w:tc>
          <w:tcPr>
            <w:tcW w:type="dxa" w:w="5328"/>
            <w:vAlign w:val="top"/>
          </w:tcPr>
          <w:p>
            <w:pPr>
              <w:spacing w:after="20"/>
            </w:pPr>
            <w:r>
              <w:rPr>
                <w:rFonts w:ascii="Arial" w:hAnsi="Arial"/>
                <w:sz w:val="16"/>
              </w:rPr>
              <w:t>Adverse trend, repeated SLA issue, medium/high finding, unresolved non-material exception or material change requiring attention.</w:t>
            </w:r>
          </w:p>
        </w:tc>
        <w:tc>
          <w:tcPr>
            <w:tcW w:type="dxa" w:w="6048"/>
            <w:vAlign w:val="top"/>
          </w:tcPr>
          <w:p>
            <w:pPr>
              <w:spacing w:after="20"/>
            </w:pPr>
            <w:r>
              <w:rPr>
                <w:rFonts w:ascii="Arial" w:hAnsi="Arial"/>
                <w:sz w:val="16"/>
              </w:rPr>
              <w:t>Named remediation; enhanced monitoring; quarterly committee visibility.</w:t>
            </w:r>
          </w:p>
        </w:tc>
      </w:tr>
      <w:tr>
        <w:tc>
          <w:tcPr>
            <w:tcW w:type="dxa" w:w="1584"/>
            <w:vAlign w:val="top"/>
          </w:tcPr>
          <w:p>
            <w:pPr>
              <w:spacing w:after="20"/>
            </w:pPr>
            <w:r>
              <w:rPr>
                <w:rFonts w:ascii="Arial" w:hAnsi="Arial"/>
                <w:sz w:val="16"/>
              </w:rPr>
              <w:t>RED</w:t>
            </w:r>
          </w:p>
        </w:tc>
        <w:tc>
          <w:tcPr>
            <w:tcW w:type="dxa" w:w="5328"/>
            <w:vAlign w:val="top"/>
          </w:tcPr>
          <w:p>
            <w:pPr>
              <w:spacing w:after="20"/>
            </w:pPr>
            <w:r>
              <w:rPr>
                <w:rFonts w:ascii="Arial" w:hAnsi="Arial"/>
                <w:sz w:val="16"/>
              </w:rPr>
              <w:t>Unauthorized issuance/burn, material register/supply mismatch, key compromise, material regulatory issue, severe outage or repeated critical control failure.</w:t>
            </w:r>
          </w:p>
        </w:tc>
        <w:tc>
          <w:tcPr>
            <w:tcW w:type="dxa" w:w="6048"/>
            <w:vAlign w:val="top"/>
          </w:tcPr>
          <w:p>
            <w:pPr>
              <w:spacing w:after="20"/>
            </w:pPr>
            <w:r>
              <w:rPr>
                <w:rFonts w:ascii="Arial" w:hAnsi="Arial"/>
                <w:sz w:val="16"/>
              </w:rPr>
              <w:t>Immediate incident/escalation; senior management/control functions; assess suspension and regulatory/customer obligations.</w:t>
            </w:r>
          </w:p>
        </w:tc>
      </w:tr>
    </w:tbl>
    <w:p/>
    <w:p>
      <w:r>
        <w:t>Risk acceptance must follow The-Bank's formal risk-acceptance policy. A DTA Provider cannot unilaterally accept risk on behalf of The-Bank where residual risk is borne by The-Bank, its clients or its funds.</w:t>
      </w:r>
    </w:p>
    <w:p>
      <w:pPr>
        <w:pStyle w:val="Heading1"/>
      </w:pPr>
      <w:r>
        <w:t>21. Exit and Transition Readiness</w:t>
      </w:r>
    </w:p>
    <w:p>
      <w:r>
        <w:t>Exit must be credible before the service becomes critical and must cover planned and distressed/rapid exit scenarios.</w:t>
      </w:r>
    </w:p>
    <w:p>
      <w:pPr>
        <w:pStyle w:val="ListBullet"/>
        <w:spacing w:after="40"/>
      </w:pPr>
      <w:r>
        <w:t>Export complete shareholder/securityholder register data in an agreed, usable and testable format.</w:t>
      </w:r>
    </w:p>
    <w:p>
      <w:pPr>
        <w:pStyle w:val="ListBullet"/>
        <w:spacing w:after="40"/>
      </w:pPr>
      <w:r>
        <w:t>Preserve historical transaction, exception, control and audit evidence for required retention periods.</w:t>
      </w:r>
    </w:p>
    <w:p>
      <w:pPr>
        <w:pStyle w:val="ListBullet"/>
        <w:spacing w:after="40"/>
      </w:pPr>
      <w:r>
        <w:t>Transfer/re-establish smart-contract administrative rights where applicable and legally permitted.</w:t>
      </w:r>
    </w:p>
    <w:p>
      <w:pPr>
        <w:pStyle w:val="ListBullet"/>
        <w:spacing w:after="40"/>
      </w:pPr>
      <w:r>
        <w:t>Document treatment of token balances during transition.</w:t>
      </w:r>
    </w:p>
    <w:p>
      <w:pPr>
        <w:pStyle w:val="ListBullet"/>
        <w:spacing w:after="40"/>
      </w:pPr>
      <w:r>
        <w:t>Support migration to a replacement DTA and/or approved blockchain/network.</w:t>
      </w:r>
    </w:p>
    <w:p>
      <w:pPr>
        <w:pStyle w:val="ListBullet"/>
        <w:spacing w:after="40"/>
      </w:pPr>
      <w:r>
        <w:t>Continue critical investor servicing during the agreed transition period.</w:t>
      </w:r>
    </w:p>
    <w:p>
      <w:pPr>
        <w:pStyle w:val="ListBullet"/>
        <w:spacing w:after="40"/>
      </w:pPr>
      <w:r>
        <w:t>Reconcile final provider records to successor records.</w:t>
      </w:r>
    </w:p>
    <w:p>
      <w:pPr>
        <w:pStyle w:val="ListBullet"/>
        <w:spacing w:after="40"/>
      </w:pPr>
      <w:r>
        <w:t>Revoke provider access and privileged rights at transition completion.</w:t>
      </w:r>
    </w:p>
    <w:p>
      <w:pPr>
        <w:pStyle w:val="ListBullet"/>
        <w:spacing w:after="40"/>
      </w:pPr>
      <w:r>
        <w:t>Obtain retention/deletion certification after transition, subject to legal/regulatory retention duties.</w:t>
      </w:r>
    </w:p>
    <w:p>
      <w:pPr>
        <w:pStyle w:val="ListBullet"/>
        <w:spacing w:after="40"/>
      </w:pPr>
      <w:r>
        <w:t>Perform periodic tabletop or data-export testing.</w:t>
      </w:r>
    </w:p>
    <w:p>
      <w:pPr>
        <w:pStyle w:val="Heading1"/>
      </w:pPr>
      <w:r>
        <w:t>22. Management Reporting Standard</w:t>
      </w:r>
    </w:p>
    <w:p>
      <w:pPr>
        <w:pStyle w:val="Heading2"/>
      </w:pPr>
      <w:r>
        <w:t>22.1 Monthly executive oversight pack</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C00000"/>
          </w:tcPr>
          <w:p>
            <w:r>
              <w:rPr>
                <w:rFonts w:ascii="Arial" w:hAnsi="Arial"/>
                <w:b/>
                <w:color w:val="FFFFFF"/>
                <w:sz w:val="16"/>
              </w:rPr>
              <w:t>Section</w:t>
            </w:r>
          </w:p>
        </w:tc>
        <w:tc>
          <w:tcPr>
            <w:tcW w:type="dxa" w:w="8640"/>
            <w:shd w:fill="C00000"/>
          </w:tcPr>
          <w:p>
            <w:r>
              <w:rPr>
                <w:rFonts w:ascii="Arial" w:hAnsi="Arial"/>
                <w:b/>
                <w:color w:val="FFFFFF"/>
                <w:sz w:val="16"/>
              </w:rPr>
              <w:t>Minimum content</w:t>
            </w:r>
          </w:p>
        </w:tc>
      </w:tr>
      <w:tr>
        <w:tc>
          <w:tcPr>
            <w:tcW w:type="dxa" w:w="2880"/>
            <w:vAlign w:val="top"/>
          </w:tcPr>
          <w:p>
            <w:pPr>
              <w:spacing w:after="20"/>
            </w:pPr>
            <w:r>
              <w:rPr>
                <w:rFonts w:ascii="Arial" w:hAnsi="Arial"/>
                <w:sz w:val="16"/>
              </w:rPr>
              <w:t>Overall status</w:t>
            </w:r>
          </w:p>
        </w:tc>
        <w:tc>
          <w:tcPr>
            <w:tcW w:type="dxa" w:w="8640"/>
            <w:vAlign w:val="top"/>
          </w:tcPr>
          <w:p>
            <w:pPr>
              <w:spacing w:after="20"/>
            </w:pPr>
            <w:r>
              <w:rPr>
                <w:rFonts w:ascii="Arial" w:hAnsi="Arial"/>
                <w:sz w:val="16"/>
              </w:rPr>
              <w:t>Green / Amber / Red and concise rationale.</w:t>
            </w:r>
          </w:p>
        </w:tc>
      </w:tr>
      <w:tr>
        <w:tc>
          <w:tcPr>
            <w:tcW w:type="dxa" w:w="2880"/>
            <w:vAlign w:val="top"/>
          </w:tcPr>
          <w:p>
            <w:pPr>
              <w:spacing w:after="20"/>
            </w:pPr>
            <w:r>
              <w:rPr>
                <w:rFonts w:ascii="Arial" w:hAnsi="Arial"/>
                <w:sz w:val="16"/>
              </w:rPr>
              <w:t>Register integrity</w:t>
            </w:r>
          </w:p>
        </w:tc>
        <w:tc>
          <w:tcPr>
            <w:tcW w:type="dxa" w:w="8640"/>
            <w:vAlign w:val="top"/>
          </w:tcPr>
          <w:p>
            <w:pPr>
              <w:spacing w:after="20"/>
            </w:pPr>
            <w:r>
              <w:rPr>
                <w:rFonts w:ascii="Arial" w:hAnsi="Arial"/>
                <w:sz w:val="16"/>
              </w:rPr>
              <w:t>Provider reconciliation breaks, independent supply/ownership verification, unauthorized activity.</w:t>
            </w:r>
          </w:p>
        </w:tc>
      </w:tr>
      <w:tr>
        <w:tc>
          <w:tcPr>
            <w:tcW w:type="dxa" w:w="2880"/>
            <w:vAlign w:val="top"/>
          </w:tcPr>
          <w:p>
            <w:pPr>
              <w:spacing w:after="20"/>
            </w:pPr>
            <w:r>
              <w:rPr>
                <w:rFonts w:ascii="Arial" w:hAnsi="Arial"/>
                <w:sz w:val="16"/>
              </w:rPr>
              <w:t>Transactions</w:t>
            </w:r>
          </w:p>
        </w:tc>
        <w:tc>
          <w:tcPr>
            <w:tcW w:type="dxa" w:w="8640"/>
            <w:vAlign w:val="top"/>
          </w:tcPr>
          <w:p>
            <w:pPr>
              <w:spacing w:after="20"/>
            </w:pPr>
            <w:r>
              <w:rPr>
                <w:rFonts w:ascii="Arial" w:hAnsi="Arial"/>
                <w:sz w:val="16"/>
              </w:rPr>
              <w:t>Volume, STP, failures, aged exceptions, subscription/redemption/transfer SLA.</w:t>
            </w:r>
          </w:p>
        </w:tc>
      </w:tr>
      <w:tr>
        <w:tc>
          <w:tcPr>
            <w:tcW w:type="dxa" w:w="2880"/>
            <w:vAlign w:val="top"/>
          </w:tcPr>
          <w:p>
            <w:pPr>
              <w:spacing w:after="20"/>
            </w:pPr>
            <w:r>
              <w:rPr>
                <w:rFonts w:ascii="Arial" w:hAnsi="Arial"/>
                <w:sz w:val="16"/>
              </w:rPr>
              <w:t>Service</w:t>
            </w:r>
          </w:p>
        </w:tc>
        <w:tc>
          <w:tcPr>
            <w:tcW w:type="dxa" w:w="8640"/>
            <w:vAlign w:val="top"/>
          </w:tcPr>
          <w:p>
            <w:pPr>
              <w:spacing w:after="20"/>
            </w:pPr>
            <w:r>
              <w:rPr>
                <w:rFonts w:ascii="Arial" w:hAnsi="Arial"/>
                <w:sz w:val="16"/>
              </w:rPr>
              <w:t>Availability, critical SLA breaches and material outages.</w:t>
            </w:r>
          </w:p>
        </w:tc>
      </w:tr>
      <w:tr>
        <w:tc>
          <w:tcPr>
            <w:tcW w:type="dxa" w:w="2880"/>
            <w:vAlign w:val="top"/>
          </w:tcPr>
          <w:p>
            <w:pPr>
              <w:spacing w:after="20"/>
            </w:pPr>
            <w:r>
              <w:rPr>
                <w:rFonts w:ascii="Arial" w:hAnsi="Arial"/>
                <w:sz w:val="16"/>
              </w:rPr>
              <w:t>Risk &amp; controls</w:t>
            </w:r>
          </w:p>
        </w:tc>
        <w:tc>
          <w:tcPr>
            <w:tcW w:type="dxa" w:w="8640"/>
            <w:vAlign w:val="top"/>
          </w:tcPr>
          <w:p>
            <w:pPr>
              <w:spacing w:after="20"/>
            </w:pPr>
            <w:r>
              <w:rPr>
                <w:rFonts w:ascii="Arial" w:hAnsi="Arial"/>
                <w:sz w:val="16"/>
              </w:rPr>
              <w:t>Incidents, cyber events, control/audit findings, regulatory issues and control reliance changes.</w:t>
            </w:r>
          </w:p>
        </w:tc>
      </w:tr>
      <w:tr>
        <w:tc>
          <w:tcPr>
            <w:tcW w:type="dxa" w:w="2880"/>
            <w:vAlign w:val="top"/>
          </w:tcPr>
          <w:p>
            <w:pPr>
              <w:spacing w:after="20"/>
            </w:pPr>
            <w:r>
              <w:rPr>
                <w:rFonts w:ascii="Arial" w:hAnsi="Arial"/>
                <w:sz w:val="16"/>
              </w:rPr>
              <w:t>DLT / Technology</w:t>
            </w:r>
          </w:p>
        </w:tc>
        <w:tc>
          <w:tcPr>
            <w:tcW w:type="dxa" w:w="8640"/>
            <w:vAlign w:val="top"/>
          </w:tcPr>
          <w:p>
            <w:pPr>
              <w:spacing w:after="20"/>
            </w:pPr>
            <w:r>
              <w:rPr>
                <w:rFonts w:ascii="Arial" w:hAnsi="Arial"/>
                <w:sz w:val="16"/>
              </w:rPr>
              <w:t>Network health, material smart-contract/key-management changes and DLT risk items.</w:t>
            </w:r>
          </w:p>
        </w:tc>
      </w:tr>
      <w:tr>
        <w:tc>
          <w:tcPr>
            <w:tcW w:type="dxa" w:w="2880"/>
            <w:vAlign w:val="top"/>
          </w:tcPr>
          <w:p>
            <w:pPr>
              <w:spacing w:after="20"/>
            </w:pPr>
            <w:r>
              <w:rPr>
                <w:rFonts w:ascii="Arial" w:hAnsi="Arial"/>
                <w:sz w:val="16"/>
              </w:rPr>
              <w:t>Changes</w:t>
            </w:r>
          </w:p>
        </w:tc>
        <w:tc>
          <w:tcPr>
            <w:tcW w:type="dxa" w:w="8640"/>
            <w:vAlign w:val="top"/>
          </w:tcPr>
          <w:p>
            <w:pPr>
              <w:spacing w:after="20"/>
            </w:pPr>
            <w:r>
              <w:rPr>
                <w:rFonts w:ascii="Arial" w:hAnsi="Arial"/>
                <w:sz w:val="16"/>
              </w:rPr>
              <w:t>Material provider/network/contract/third-party changes completed or planned.</w:t>
            </w:r>
          </w:p>
        </w:tc>
      </w:tr>
      <w:tr>
        <w:tc>
          <w:tcPr>
            <w:tcW w:type="dxa" w:w="2880"/>
            <w:vAlign w:val="top"/>
          </w:tcPr>
          <w:p>
            <w:pPr>
              <w:spacing w:after="20"/>
            </w:pPr>
            <w:r>
              <w:rPr>
                <w:rFonts w:ascii="Arial" w:hAnsi="Arial"/>
                <w:sz w:val="16"/>
              </w:rPr>
              <w:t>Actions</w:t>
            </w:r>
          </w:p>
        </w:tc>
        <w:tc>
          <w:tcPr>
            <w:tcW w:type="dxa" w:w="8640"/>
            <w:vAlign w:val="top"/>
          </w:tcPr>
          <w:p>
            <w:pPr>
              <w:spacing w:after="20"/>
            </w:pPr>
            <w:r>
              <w:rPr>
                <w:rFonts w:ascii="Arial" w:hAnsi="Arial"/>
                <w:sz w:val="16"/>
              </w:rPr>
              <w:t>Top remediation items, owners, due dates and overdue actions.</w:t>
            </w:r>
          </w:p>
        </w:tc>
      </w:tr>
      <w:tr>
        <w:tc>
          <w:tcPr>
            <w:tcW w:type="dxa" w:w="2880"/>
            <w:vAlign w:val="top"/>
          </w:tcPr>
          <w:p>
            <w:pPr>
              <w:spacing w:after="20"/>
            </w:pPr>
            <w:r>
              <w:rPr>
                <w:rFonts w:ascii="Arial" w:hAnsi="Arial"/>
                <w:sz w:val="16"/>
              </w:rPr>
              <w:t>Forward look</w:t>
            </w:r>
          </w:p>
        </w:tc>
        <w:tc>
          <w:tcPr>
            <w:tcW w:type="dxa" w:w="8640"/>
            <w:vAlign w:val="top"/>
          </w:tcPr>
          <w:p>
            <w:pPr>
              <w:spacing w:after="20"/>
            </w:pPr>
            <w:r>
              <w:rPr>
                <w:rFonts w:ascii="Arial" w:hAnsi="Arial"/>
                <w:sz w:val="16"/>
              </w:rPr>
              <w:t>Upcoming releases, DR tests, regulatory changes, product launches or concentration concerns.</w:t>
            </w:r>
          </w:p>
        </w:tc>
      </w:tr>
    </w:tbl>
    <w:p/>
    <w:p>
      <w:pPr>
        <w:pStyle w:val="Heading2"/>
      </w:pPr>
      <w:r>
        <w:t>22.2 Standard monthly agenda</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12"/>
            <w:shd w:fill="C00000"/>
          </w:tcPr>
          <w:p>
            <w:r>
              <w:rPr>
                <w:rFonts w:ascii="Arial" w:hAnsi="Arial"/>
                <w:b/>
                <w:color w:val="FFFFFF"/>
                <w:sz w:val="16"/>
              </w:rPr>
              <w:t>Agenda</w:t>
            </w:r>
          </w:p>
        </w:tc>
        <w:tc>
          <w:tcPr>
            <w:tcW w:type="dxa" w:w="1584"/>
            <w:shd w:fill="C00000"/>
          </w:tcPr>
          <w:p>
            <w:r>
              <w:rPr>
                <w:rFonts w:ascii="Arial" w:hAnsi="Arial"/>
                <w:b/>
                <w:color w:val="FFFFFF"/>
                <w:sz w:val="16"/>
              </w:rPr>
              <w:t>Indicative time</w:t>
            </w:r>
          </w:p>
        </w:tc>
        <w:tc>
          <w:tcPr>
            <w:tcW w:type="dxa" w:w="6624"/>
            <w:shd w:fill="C00000"/>
          </w:tcPr>
          <w:p>
            <w:r>
              <w:rPr>
                <w:rFonts w:ascii="Arial" w:hAnsi="Arial"/>
                <w:b/>
                <w:color w:val="FFFFFF"/>
                <w:sz w:val="16"/>
              </w:rPr>
              <w:t>Focus</w:t>
            </w:r>
          </w:p>
        </w:tc>
      </w:tr>
      <w:tr>
        <w:tc>
          <w:tcPr>
            <w:tcW w:type="dxa" w:w="3312"/>
            <w:vAlign w:val="top"/>
          </w:tcPr>
          <w:p>
            <w:pPr>
              <w:spacing w:after="20"/>
            </w:pPr>
            <w:r>
              <w:rPr>
                <w:rFonts w:ascii="Arial" w:hAnsi="Arial"/>
                <w:sz w:val="16"/>
              </w:rPr>
              <w:t>Volumes and trends</w:t>
            </w:r>
          </w:p>
        </w:tc>
        <w:tc>
          <w:tcPr>
            <w:tcW w:type="dxa" w:w="1584"/>
            <w:vAlign w:val="top"/>
          </w:tcPr>
          <w:p>
            <w:pPr>
              <w:spacing w:after="20"/>
            </w:pPr>
            <w:r>
              <w:rPr>
                <w:rFonts w:ascii="Arial" w:hAnsi="Arial"/>
                <w:sz w:val="16"/>
              </w:rPr>
              <w:t>5 min</w:t>
            </w:r>
          </w:p>
        </w:tc>
        <w:tc>
          <w:tcPr>
            <w:tcW w:type="dxa" w:w="6624"/>
            <w:vAlign w:val="top"/>
          </w:tcPr>
          <w:p>
            <w:pPr>
              <w:spacing w:after="20"/>
            </w:pPr>
            <w:r>
              <w:rPr>
                <w:rFonts w:ascii="Arial" w:hAnsi="Arial"/>
                <w:sz w:val="16"/>
              </w:rPr>
              <w:t>Unexpected volume/profile changes only.</w:t>
            </w:r>
          </w:p>
        </w:tc>
      </w:tr>
      <w:tr>
        <w:tc>
          <w:tcPr>
            <w:tcW w:type="dxa" w:w="3312"/>
            <w:vAlign w:val="top"/>
          </w:tcPr>
          <w:p>
            <w:pPr>
              <w:spacing w:after="20"/>
            </w:pPr>
            <w:r>
              <w:rPr>
                <w:rFonts w:ascii="Arial" w:hAnsi="Arial"/>
                <w:sz w:val="16"/>
              </w:rPr>
              <w:t>Operational performance</w:t>
            </w:r>
          </w:p>
        </w:tc>
        <w:tc>
          <w:tcPr>
            <w:tcW w:type="dxa" w:w="1584"/>
            <w:vAlign w:val="top"/>
          </w:tcPr>
          <w:p>
            <w:pPr>
              <w:spacing w:after="20"/>
            </w:pPr>
            <w:r>
              <w:rPr>
                <w:rFonts w:ascii="Arial" w:hAnsi="Arial"/>
                <w:sz w:val="16"/>
              </w:rPr>
              <w:t>10 min</w:t>
            </w:r>
          </w:p>
        </w:tc>
        <w:tc>
          <w:tcPr>
            <w:tcW w:type="dxa" w:w="6624"/>
            <w:vAlign w:val="top"/>
          </w:tcPr>
          <w:p>
            <w:pPr>
              <w:spacing w:after="20"/>
            </w:pPr>
            <w:r>
              <w:rPr>
                <w:rFonts w:ascii="Arial" w:hAnsi="Arial"/>
                <w:sz w:val="16"/>
              </w:rPr>
              <w:t>STP, failures/aged transactions, SLA, provider primary reconciliation.</w:t>
            </w:r>
          </w:p>
        </w:tc>
      </w:tr>
      <w:tr>
        <w:tc>
          <w:tcPr>
            <w:tcW w:type="dxa" w:w="3312"/>
            <w:vAlign w:val="top"/>
          </w:tcPr>
          <w:p>
            <w:pPr>
              <w:spacing w:after="20"/>
            </w:pPr>
            <w:r>
              <w:rPr>
                <w:rFonts w:ascii="Arial" w:hAnsi="Arial"/>
                <w:sz w:val="16"/>
              </w:rPr>
              <w:t>Controls and integrity</w:t>
            </w:r>
          </w:p>
        </w:tc>
        <w:tc>
          <w:tcPr>
            <w:tcW w:type="dxa" w:w="1584"/>
            <w:vAlign w:val="top"/>
          </w:tcPr>
          <w:p>
            <w:pPr>
              <w:spacing w:after="20"/>
            </w:pPr>
            <w:r>
              <w:rPr>
                <w:rFonts w:ascii="Arial" w:hAnsi="Arial"/>
                <w:sz w:val="16"/>
              </w:rPr>
              <w:t>15 min</w:t>
            </w:r>
          </w:p>
        </w:tc>
        <w:tc>
          <w:tcPr>
            <w:tcW w:type="dxa" w:w="6624"/>
            <w:vAlign w:val="top"/>
          </w:tcPr>
          <w:p>
            <w:pPr>
              <w:spacing w:after="20"/>
            </w:pPr>
            <w:r>
              <w:rPr>
                <w:rFonts w:ascii="Arial" w:hAnsi="Arial"/>
                <w:sz w:val="16"/>
              </w:rPr>
              <w:t>Independent verification, unauthorized activity, supply/register integrity, manual interventions and control failures.</w:t>
            </w:r>
          </w:p>
        </w:tc>
      </w:tr>
      <w:tr>
        <w:tc>
          <w:tcPr>
            <w:tcW w:type="dxa" w:w="3312"/>
            <w:vAlign w:val="top"/>
          </w:tcPr>
          <w:p>
            <w:pPr>
              <w:spacing w:after="20"/>
            </w:pPr>
            <w:r>
              <w:rPr>
                <w:rFonts w:ascii="Arial" w:hAnsi="Arial"/>
                <w:sz w:val="16"/>
              </w:rPr>
              <w:t>Technology / DLT and changes</w:t>
            </w:r>
          </w:p>
        </w:tc>
        <w:tc>
          <w:tcPr>
            <w:tcW w:type="dxa" w:w="1584"/>
            <w:vAlign w:val="top"/>
          </w:tcPr>
          <w:p>
            <w:pPr>
              <w:spacing w:after="20"/>
            </w:pPr>
            <w:r>
              <w:rPr>
                <w:rFonts w:ascii="Arial" w:hAnsi="Arial"/>
                <w:sz w:val="16"/>
              </w:rPr>
              <w:t>10 min</w:t>
            </w:r>
          </w:p>
        </w:tc>
        <w:tc>
          <w:tcPr>
            <w:tcW w:type="dxa" w:w="6624"/>
            <w:vAlign w:val="top"/>
          </w:tcPr>
          <w:p>
            <w:pPr>
              <w:spacing w:after="20"/>
            </w:pPr>
            <w:r>
              <w:rPr>
                <w:rFonts w:ascii="Arial" w:hAnsi="Arial"/>
                <w:sz w:val="16"/>
              </w:rPr>
              <w:t>Availability, incidents, vulnerabilities, smart-contract/network/key-management changes.</w:t>
            </w:r>
          </w:p>
        </w:tc>
      </w:tr>
      <w:tr>
        <w:tc>
          <w:tcPr>
            <w:tcW w:type="dxa" w:w="3312"/>
            <w:vAlign w:val="top"/>
          </w:tcPr>
          <w:p>
            <w:pPr>
              <w:spacing w:after="20"/>
            </w:pPr>
            <w:r>
              <w:rPr>
                <w:rFonts w:ascii="Arial" w:hAnsi="Arial"/>
                <w:sz w:val="16"/>
              </w:rPr>
              <w:t>Risk / Compliance</w:t>
            </w:r>
          </w:p>
        </w:tc>
        <w:tc>
          <w:tcPr>
            <w:tcW w:type="dxa" w:w="1584"/>
            <w:vAlign w:val="top"/>
          </w:tcPr>
          <w:p>
            <w:pPr>
              <w:spacing w:after="20"/>
            </w:pPr>
            <w:r>
              <w:rPr>
                <w:rFonts w:ascii="Arial" w:hAnsi="Arial"/>
                <w:sz w:val="16"/>
              </w:rPr>
              <w:t>10 min</w:t>
            </w:r>
          </w:p>
        </w:tc>
        <w:tc>
          <w:tcPr>
            <w:tcW w:type="dxa" w:w="6624"/>
            <w:vAlign w:val="top"/>
          </w:tcPr>
          <w:p>
            <w:pPr>
              <w:spacing w:after="20"/>
            </w:pPr>
            <w:r>
              <w:rPr>
                <w:rFonts w:ascii="Arial" w:hAnsi="Arial"/>
                <w:sz w:val="16"/>
              </w:rPr>
              <w:t>Regulatory issues, findings, complaints and material compliance exceptions.</w:t>
            </w:r>
          </w:p>
        </w:tc>
      </w:tr>
      <w:tr>
        <w:tc>
          <w:tcPr>
            <w:tcW w:type="dxa" w:w="3312"/>
            <w:vAlign w:val="top"/>
          </w:tcPr>
          <w:p>
            <w:pPr>
              <w:spacing w:after="20"/>
            </w:pPr>
            <w:r>
              <w:rPr>
                <w:rFonts w:ascii="Arial" w:hAnsi="Arial"/>
                <w:sz w:val="16"/>
              </w:rPr>
              <w:t>Actions and forward look</w:t>
            </w:r>
          </w:p>
        </w:tc>
        <w:tc>
          <w:tcPr>
            <w:tcW w:type="dxa" w:w="1584"/>
            <w:vAlign w:val="top"/>
          </w:tcPr>
          <w:p>
            <w:pPr>
              <w:spacing w:after="20"/>
            </w:pPr>
            <w:r>
              <w:rPr>
                <w:rFonts w:ascii="Arial" w:hAnsi="Arial"/>
                <w:sz w:val="16"/>
              </w:rPr>
              <w:t>10 min</w:t>
            </w:r>
          </w:p>
        </w:tc>
        <w:tc>
          <w:tcPr>
            <w:tcW w:type="dxa" w:w="6624"/>
            <w:vAlign w:val="top"/>
          </w:tcPr>
          <w:p>
            <w:pPr>
              <w:spacing w:after="20"/>
            </w:pPr>
            <w:r>
              <w:rPr>
                <w:rFonts w:ascii="Arial" w:hAnsi="Arial"/>
                <w:sz w:val="16"/>
              </w:rPr>
              <w:t>Overdue actions, upcoming changes, resilience tests and required decisions.</w:t>
            </w:r>
          </w:p>
        </w:tc>
      </w:tr>
    </w:tbl>
    <w:p/>
    <w:p>
      <w:pPr>
        <w:pStyle w:val="Heading1"/>
      </w:pPr>
      <w:r>
        <w:t>23. Securitize Implementation Profile - Validation Requirements</w:t>
      </w:r>
    </w:p>
    <w:p>
      <w:r>
        <w:t>This profile applies the vendor-neutral standard to Securitize. It is not a substitute for contract, legal or regulatory analysis. All items must be validated against the executed agreement and actual service/API capabilities.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456"/>
            <w:shd w:fill="C00000"/>
          </w:tcPr>
          <w:p>
            <w:r>
              <w:rPr>
                <w:rFonts w:ascii="Arial" w:hAnsi="Arial"/>
                <w:b/>
                <w:color w:val="FFFFFF"/>
                <w:sz w:val="16"/>
              </w:rPr>
              <w:t>Topic</w:t>
            </w:r>
          </w:p>
        </w:tc>
        <w:tc>
          <w:tcPr>
            <w:tcW w:type="dxa" w:w="8064"/>
            <w:shd w:fill="C00000"/>
          </w:tcPr>
          <w:p>
            <w:r>
              <w:rPr>
                <w:rFonts w:ascii="Arial" w:hAnsi="Arial"/>
                <w:b/>
                <w:color w:val="FFFFFF"/>
                <w:sz w:val="16"/>
              </w:rPr>
              <w:t>The-Bank validation required</w:t>
            </w:r>
          </w:p>
        </w:tc>
      </w:tr>
      <w:tr>
        <w:tc>
          <w:tcPr>
            <w:tcW w:type="dxa" w:w="3456"/>
            <w:vAlign w:val="top"/>
          </w:tcPr>
          <w:p>
            <w:pPr>
              <w:spacing w:after="20"/>
            </w:pPr>
            <w:r>
              <w:rPr>
                <w:rFonts w:ascii="Arial" w:hAnsi="Arial"/>
                <w:sz w:val="16"/>
              </w:rPr>
              <w:t>Contracted DTA scope</w:t>
            </w:r>
          </w:p>
        </w:tc>
        <w:tc>
          <w:tcPr>
            <w:tcW w:type="dxa" w:w="8064"/>
            <w:vAlign w:val="top"/>
          </w:tcPr>
          <w:p>
            <w:pPr>
              <w:spacing w:after="20"/>
            </w:pPr>
            <w:r>
              <w:rPr>
                <w:rFonts w:ascii="Arial" w:hAnsi="Arial"/>
                <w:sz w:val="16"/>
              </w:rPr>
              <w:t>Exact services, legal entity, responsibilities, SLAs and regulatory duties.</w:t>
            </w:r>
          </w:p>
        </w:tc>
      </w:tr>
      <w:tr>
        <w:tc>
          <w:tcPr>
            <w:tcW w:type="dxa" w:w="3456"/>
            <w:vAlign w:val="top"/>
          </w:tcPr>
          <w:p>
            <w:pPr>
              <w:spacing w:after="20"/>
            </w:pPr>
            <w:r>
              <w:rPr>
                <w:rFonts w:ascii="Arial" w:hAnsi="Arial"/>
                <w:sz w:val="16"/>
              </w:rPr>
              <w:t>Authoritative Record Model</w:t>
            </w:r>
          </w:p>
        </w:tc>
        <w:tc>
          <w:tcPr>
            <w:tcW w:type="dxa" w:w="8064"/>
            <w:vAlign w:val="top"/>
          </w:tcPr>
          <w:p>
            <w:pPr>
              <w:spacing w:after="20"/>
            </w:pPr>
            <w:r>
              <w:rPr>
                <w:rFonts w:ascii="Arial" w:hAnsi="Arial"/>
                <w:sz w:val="16"/>
              </w:rPr>
              <w:t>Exact legal record model, identity linkage, conflict and technical-failure rules.</w:t>
            </w:r>
          </w:p>
        </w:tc>
      </w:tr>
      <w:tr>
        <w:tc>
          <w:tcPr>
            <w:tcW w:type="dxa" w:w="3456"/>
            <w:vAlign w:val="top"/>
          </w:tcPr>
          <w:p>
            <w:pPr>
              <w:spacing w:after="20"/>
            </w:pPr>
            <w:r>
              <w:rPr>
                <w:rFonts w:ascii="Arial" w:hAnsi="Arial"/>
                <w:sz w:val="16"/>
              </w:rPr>
              <w:t>Primary reconciliation</w:t>
            </w:r>
          </w:p>
        </w:tc>
        <w:tc>
          <w:tcPr>
            <w:tcW w:type="dxa" w:w="8064"/>
            <w:vAlign w:val="top"/>
          </w:tcPr>
          <w:p>
            <w:pPr>
              <w:spacing w:after="20"/>
            </w:pPr>
            <w:r>
              <w:rPr>
                <w:rFonts w:ascii="Arial" w:hAnsi="Arial"/>
                <w:sz w:val="16"/>
              </w:rPr>
              <w:t>Frequency, scope, evidence, unresolved-break handling and ownership.</w:t>
            </w:r>
          </w:p>
        </w:tc>
      </w:tr>
      <w:tr>
        <w:tc>
          <w:tcPr>
            <w:tcW w:type="dxa" w:w="3456"/>
            <w:vAlign w:val="top"/>
          </w:tcPr>
          <w:p>
            <w:pPr>
              <w:spacing w:after="20"/>
            </w:pPr>
            <w:r>
              <w:rPr>
                <w:rFonts w:ascii="Arial" w:hAnsi="Arial"/>
                <w:sz w:val="16"/>
              </w:rPr>
              <w:t>Data interfaces</w:t>
            </w:r>
          </w:p>
        </w:tc>
        <w:tc>
          <w:tcPr>
            <w:tcW w:type="dxa" w:w="8064"/>
            <w:vAlign w:val="top"/>
          </w:tcPr>
          <w:p>
            <w:pPr>
              <w:spacing w:after="20"/>
            </w:pPr>
            <w:r>
              <w:rPr>
                <w:rFonts w:ascii="Arial" w:hAnsi="Arial"/>
                <w:sz w:val="16"/>
              </w:rPr>
              <w:t>Available APIs, secure files, webhooks, register snapshots, transaction data and blockchain references.</w:t>
            </w:r>
          </w:p>
        </w:tc>
      </w:tr>
      <w:tr>
        <w:tc>
          <w:tcPr>
            <w:tcW w:type="dxa" w:w="3456"/>
            <w:vAlign w:val="top"/>
          </w:tcPr>
          <w:p>
            <w:pPr>
              <w:spacing w:after="20"/>
            </w:pPr>
            <w:r>
              <w:rPr>
                <w:rFonts w:ascii="Arial" w:hAnsi="Arial"/>
                <w:sz w:val="16"/>
              </w:rPr>
              <w:t>Incident reporting</w:t>
            </w:r>
          </w:p>
        </w:tc>
        <w:tc>
          <w:tcPr>
            <w:tcW w:type="dxa" w:w="8064"/>
            <w:vAlign w:val="top"/>
          </w:tcPr>
          <w:p>
            <w:pPr>
              <w:spacing w:after="20"/>
            </w:pPr>
            <w:r>
              <w:rPr>
                <w:rFonts w:ascii="Arial" w:hAnsi="Arial"/>
                <w:sz w:val="16"/>
              </w:rPr>
              <w:t>Severity mapping, notification channels, contractual timing and joint response procedures.</w:t>
            </w:r>
          </w:p>
        </w:tc>
      </w:tr>
      <w:tr>
        <w:tc>
          <w:tcPr>
            <w:tcW w:type="dxa" w:w="3456"/>
            <w:vAlign w:val="top"/>
          </w:tcPr>
          <w:p>
            <w:pPr>
              <w:spacing w:after="20"/>
            </w:pPr>
            <w:r>
              <w:rPr>
                <w:rFonts w:ascii="Arial" w:hAnsi="Arial"/>
                <w:sz w:val="16"/>
              </w:rPr>
              <w:t>Change governance</w:t>
            </w:r>
          </w:p>
        </w:tc>
        <w:tc>
          <w:tcPr>
            <w:tcW w:type="dxa" w:w="8064"/>
            <w:vAlign w:val="top"/>
          </w:tcPr>
          <w:p>
            <w:pPr>
              <w:spacing w:after="20"/>
            </w:pPr>
            <w:r>
              <w:rPr>
                <w:rFonts w:ascii="Arial" w:hAnsi="Arial"/>
                <w:sz w:val="16"/>
              </w:rPr>
              <w:t>Notice/approval rights for network, smart contract, key-management/custody and critical-subcontractor changes.</w:t>
            </w:r>
          </w:p>
        </w:tc>
      </w:tr>
      <w:tr>
        <w:tc>
          <w:tcPr>
            <w:tcW w:type="dxa" w:w="3456"/>
            <w:vAlign w:val="top"/>
          </w:tcPr>
          <w:p>
            <w:pPr>
              <w:spacing w:after="20"/>
            </w:pPr>
            <w:r>
              <w:rPr>
                <w:rFonts w:ascii="Arial" w:hAnsi="Arial"/>
                <w:sz w:val="16"/>
              </w:rPr>
              <w:t>Assurance</w:t>
            </w:r>
          </w:p>
        </w:tc>
        <w:tc>
          <w:tcPr>
            <w:tcW w:type="dxa" w:w="8064"/>
            <w:vAlign w:val="top"/>
          </w:tcPr>
          <w:p>
            <w:pPr>
              <w:spacing w:after="20"/>
            </w:pPr>
            <w:r>
              <w:rPr>
                <w:rFonts w:ascii="Arial" w:hAnsi="Arial"/>
                <w:sz w:val="16"/>
              </w:rPr>
              <w:t>SOC/security assessments, DR evidence, regulatory attestations and smart-contract review.</w:t>
            </w:r>
          </w:p>
        </w:tc>
      </w:tr>
      <w:tr>
        <w:tc>
          <w:tcPr>
            <w:tcW w:type="dxa" w:w="3456"/>
            <w:vAlign w:val="top"/>
          </w:tcPr>
          <w:p>
            <w:pPr>
              <w:spacing w:after="20"/>
            </w:pPr>
            <w:r>
              <w:rPr>
                <w:rFonts w:ascii="Arial" w:hAnsi="Arial"/>
                <w:sz w:val="16"/>
              </w:rPr>
              <w:t>Fourth parties</w:t>
            </w:r>
          </w:p>
        </w:tc>
        <w:tc>
          <w:tcPr>
            <w:tcW w:type="dxa" w:w="8064"/>
            <w:vAlign w:val="top"/>
          </w:tcPr>
          <w:p>
            <w:pPr>
              <w:spacing w:after="20"/>
            </w:pPr>
            <w:r>
              <w:rPr>
                <w:rFonts w:ascii="Arial" w:hAnsi="Arial"/>
                <w:sz w:val="16"/>
              </w:rPr>
              <w:t>Critical dependency list, concentration and change notification.</w:t>
            </w:r>
          </w:p>
        </w:tc>
      </w:tr>
      <w:tr>
        <w:tc>
          <w:tcPr>
            <w:tcW w:type="dxa" w:w="3456"/>
            <w:vAlign w:val="top"/>
          </w:tcPr>
          <w:p>
            <w:pPr>
              <w:spacing w:after="20"/>
            </w:pPr>
            <w:r>
              <w:rPr>
                <w:rFonts w:ascii="Arial" w:hAnsi="Arial"/>
                <w:sz w:val="16"/>
              </w:rPr>
              <w:t>Exit</w:t>
            </w:r>
          </w:p>
        </w:tc>
        <w:tc>
          <w:tcPr>
            <w:tcW w:type="dxa" w:w="8064"/>
            <w:vAlign w:val="top"/>
          </w:tcPr>
          <w:p>
            <w:pPr>
              <w:spacing w:after="20"/>
            </w:pPr>
            <w:r>
              <w:rPr>
                <w:rFonts w:ascii="Arial" w:hAnsi="Arial"/>
                <w:sz w:val="16"/>
              </w:rPr>
              <w:t>Data portability, transition assistance, admin rights, register export and token treatment.</w:t>
            </w:r>
          </w:p>
        </w:tc>
      </w:tr>
    </w:tbl>
    <w:p/>
    <w:p>
      <w:r>
        <w:t>Detailed provider questions and response tracking are maintained in the Securitize Provider Information Request artifact.</w:t>
      </w:r>
    </w:p>
    <w:p>
      <w:pPr>
        <w:pStyle w:val="Heading1"/>
      </w:pPr>
      <w:r>
        <w:t>24. Decisions Required Before Production Approval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7632"/>
            <w:shd w:fill="C00000"/>
          </w:tcPr>
          <w:p>
            <w:r>
              <w:rPr>
                <w:rFonts w:ascii="Arial" w:hAnsi="Arial"/>
                <w:b/>
                <w:color w:val="FFFFFF"/>
                <w:sz w:val="16"/>
              </w:rPr>
              <w:t>Decision</w:t>
            </w:r>
          </w:p>
        </w:tc>
        <w:tc>
          <w:tcPr>
            <w:tcW w:type="dxa" w:w="3888"/>
            <w:shd w:fill="C00000"/>
          </w:tcPr>
          <w:p>
            <w:r>
              <w:rPr>
                <w:rFonts w:ascii="Arial" w:hAnsi="Arial"/>
                <w:b/>
                <w:color w:val="FFFFFF"/>
                <w:sz w:val="16"/>
              </w:rPr>
              <w:t>Required owners</w:t>
            </w:r>
          </w:p>
        </w:tc>
      </w:tr>
      <w:tr>
        <w:tc>
          <w:tcPr>
            <w:tcW w:type="dxa" w:w="7632"/>
            <w:vAlign w:val="top"/>
          </w:tcPr>
          <w:p>
            <w:pPr>
              <w:spacing w:after="20"/>
            </w:pPr>
            <w:r>
              <w:rPr>
                <w:rFonts w:ascii="Arial" w:hAnsi="Arial"/>
                <w:sz w:val="16"/>
              </w:rPr>
              <w:t>Approve Authoritative Record Model and legal interpretation</w:t>
            </w:r>
          </w:p>
        </w:tc>
        <w:tc>
          <w:tcPr>
            <w:tcW w:type="dxa" w:w="3888"/>
            <w:vAlign w:val="top"/>
          </w:tcPr>
          <w:p>
            <w:pPr>
              <w:spacing w:after="20"/>
            </w:pPr>
            <w:r>
              <w:rPr>
                <w:rFonts w:ascii="Arial" w:hAnsi="Arial"/>
                <w:sz w:val="16"/>
              </w:rPr>
              <w:t>Legal, Fund/Operations, DTA Service Owner</w:t>
            </w:r>
          </w:p>
        </w:tc>
      </w:tr>
      <w:tr>
        <w:tc>
          <w:tcPr>
            <w:tcW w:type="dxa" w:w="7632"/>
            <w:vAlign w:val="top"/>
          </w:tcPr>
          <w:p>
            <w:pPr>
              <w:spacing w:after="20"/>
            </w:pPr>
            <w:r>
              <w:rPr>
                <w:rFonts w:ascii="Arial" w:hAnsi="Arial"/>
                <w:sz w:val="16"/>
              </w:rPr>
              <w:t>Approve service criticality and risk appetite</w:t>
            </w:r>
          </w:p>
        </w:tc>
        <w:tc>
          <w:tcPr>
            <w:tcW w:type="dxa" w:w="3888"/>
            <w:vAlign w:val="top"/>
          </w:tcPr>
          <w:p>
            <w:pPr>
              <w:spacing w:after="20"/>
            </w:pPr>
            <w:r>
              <w:rPr>
                <w:rFonts w:ascii="Arial" w:hAnsi="Arial"/>
                <w:sz w:val="16"/>
              </w:rPr>
              <w:t>Operational Risk / TPRM / Business Owner</w:t>
            </w:r>
          </w:p>
        </w:tc>
      </w:tr>
      <w:tr>
        <w:tc>
          <w:tcPr>
            <w:tcW w:type="dxa" w:w="7632"/>
            <w:vAlign w:val="top"/>
          </w:tcPr>
          <w:p>
            <w:pPr>
              <w:spacing w:after="20"/>
            </w:pPr>
            <w:r>
              <w:rPr>
                <w:rFonts w:ascii="Arial" w:hAnsi="Arial"/>
                <w:sz w:val="16"/>
              </w:rPr>
              <w:t>Approve provider responsibility split and residual risks</w:t>
            </w:r>
          </w:p>
        </w:tc>
        <w:tc>
          <w:tcPr>
            <w:tcW w:type="dxa" w:w="3888"/>
            <w:vAlign w:val="top"/>
          </w:tcPr>
          <w:p>
            <w:pPr>
              <w:spacing w:after="20"/>
            </w:pPr>
            <w:r>
              <w:rPr>
                <w:rFonts w:ascii="Arial" w:hAnsi="Arial"/>
                <w:sz w:val="16"/>
              </w:rPr>
              <w:t>DTA Service Owner, Risk, Compliance</w:t>
            </w:r>
          </w:p>
        </w:tc>
      </w:tr>
      <w:tr>
        <w:tc>
          <w:tcPr>
            <w:tcW w:type="dxa" w:w="7632"/>
            <w:vAlign w:val="top"/>
          </w:tcPr>
          <w:p>
            <w:pPr>
              <w:spacing w:after="20"/>
            </w:pPr>
            <w:r>
              <w:rPr>
                <w:rFonts w:ascii="Arial" w:hAnsi="Arial"/>
                <w:sz w:val="16"/>
              </w:rPr>
              <w:t>Approve independent verification control set and frequencies</w:t>
            </w:r>
          </w:p>
        </w:tc>
        <w:tc>
          <w:tcPr>
            <w:tcW w:type="dxa" w:w="3888"/>
            <w:vAlign w:val="top"/>
          </w:tcPr>
          <w:p>
            <w:pPr>
              <w:spacing w:after="20"/>
            </w:pPr>
            <w:r>
              <w:rPr>
                <w:rFonts w:ascii="Arial" w:hAnsi="Arial"/>
                <w:sz w:val="16"/>
              </w:rPr>
              <w:t>Operations, Technology/DLT, Risk</w:t>
            </w:r>
          </w:p>
        </w:tc>
      </w:tr>
      <w:tr>
        <w:tc>
          <w:tcPr>
            <w:tcW w:type="dxa" w:w="7632"/>
            <w:vAlign w:val="top"/>
          </w:tcPr>
          <w:p>
            <w:pPr>
              <w:spacing w:after="20"/>
            </w:pPr>
            <w:r>
              <w:rPr>
                <w:rFonts w:ascii="Arial" w:hAnsi="Arial"/>
                <w:sz w:val="16"/>
              </w:rPr>
              <w:t>Approve blockchain/network due diligence and current network(s)</w:t>
            </w:r>
          </w:p>
        </w:tc>
        <w:tc>
          <w:tcPr>
            <w:tcW w:type="dxa" w:w="3888"/>
            <w:vAlign w:val="top"/>
          </w:tcPr>
          <w:p>
            <w:pPr>
              <w:spacing w:after="20"/>
            </w:pPr>
            <w:r>
              <w:rPr>
                <w:rFonts w:ascii="Arial" w:hAnsi="Arial"/>
                <w:sz w:val="16"/>
              </w:rPr>
              <w:t>Technology/Architecture, Risk, Compliance, Legal</w:t>
            </w:r>
          </w:p>
        </w:tc>
      </w:tr>
      <w:tr>
        <w:tc>
          <w:tcPr>
            <w:tcW w:type="dxa" w:w="7632"/>
            <w:vAlign w:val="top"/>
          </w:tcPr>
          <w:p>
            <w:pPr>
              <w:spacing w:after="20"/>
            </w:pPr>
            <w:r>
              <w:rPr>
                <w:rFonts w:ascii="Arial" w:hAnsi="Arial"/>
                <w:sz w:val="16"/>
              </w:rPr>
              <w:t>Approve incident notification and material-change contractual requirements</w:t>
            </w:r>
          </w:p>
        </w:tc>
        <w:tc>
          <w:tcPr>
            <w:tcW w:type="dxa" w:w="3888"/>
            <w:vAlign w:val="top"/>
          </w:tcPr>
          <w:p>
            <w:pPr>
              <w:spacing w:after="20"/>
            </w:pPr>
            <w:r>
              <w:rPr>
                <w:rFonts w:ascii="Arial" w:hAnsi="Arial"/>
                <w:sz w:val="16"/>
              </w:rPr>
              <w:t>Service Owner, Legal, Risk</w:t>
            </w:r>
          </w:p>
        </w:tc>
      </w:tr>
      <w:tr>
        <w:tc>
          <w:tcPr>
            <w:tcW w:type="dxa" w:w="7632"/>
            <w:vAlign w:val="top"/>
          </w:tcPr>
          <w:p>
            <w:pPr>
              <w:spacing w:after="20"/>
            </w:pPr>
            <w:r>
              <w:rPr>
                <w:rFonts w:ascii="Arial" w:hAnsi="Arial"/>
                <w:sz w:val="16"/>
              </w:rPr>
              <w:t>Approve assurance evidence and Control Reliance Strategy</w:t>
            </w:r>
          </w:p>
        </w:tc>
        <w:tc>
          <w:tcPr>
            <w:tcW w:type="dxa" w:w="3888"/>
            <w:vAlign w:val="top"/>
          </w:tcPr>
          <w:p>
            <w:pPr>
              <w:spacing w:after="20"/>
            </w:pPr>
            <w:r>
              <w:rPr>
                <w:rFonts w:ascii="Arial" w:hAnsi="Arial"/>
                <w:sz w:val="16"/>
              </w:rPr>
              <w:t>Risk, Internal Audit/Assurance as applicable</w:t>
            </w:r>
          </w:p>
        </w:tc>
      </w:tr>
      <w:tr>
        <w:tc>
          <w:tcPr>
            <w:tcW w:type="dxa" w:w="7632"/>
            <w:vAlign w:val="top"/>
          </w:tcPr>
          <w:p>
            <w:pPr>
              <w:spacing w:after="20"/>
            </w:pPr>
            <w:r>
              <w:rPr>
                <w:rFonts w:ascii="Arial" w:hAnsi="Arial"/>
                <w:sz w:val="16"/>
              </w:rPr>
              <w:t>Approve resilience, fallback and exit strategy</w:t>
            </w:r>
          </w:p>
        </w:tc>
        <w:tc>
          <w:tcPr>
            <w:tcW w:type="dxa" w:w="3888"/>
            <w:vAlign w:val="top"/>
          </w:tcPr>
          <w:p>
            <w:pPr>
              <w:spacing w:after="20"/>
            </w:pPr>
            <w:r>
              <w:rPr>
                <w:rFonts w:ascii="Arial" w:hAnsi="Arial"/>
                <w:sz w:val="16"/>
              </w:rPr>
              <w:t>Service Owner, Operations, Technology, Risk</w:t>
            </w:r>
          </w:p>
        </w:tc>
      </w:tr>
    </w:tbl>
    <w:p/>
    <w:p>
      <w:r>
        <w:br w:type="page"/>
      </w:r>
    </w:p>
    <w:p>
      <w:pPr>
        <w:pStyle w:val="Heading1"/>
      </w:pPr>
      <w:r>
        <w:t>Appendix A - Material Event Taxonomy Quick Reference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440"/>
            <w:shd w:fill="C00000"/>
          </w:tcPr>
          <w:p>
            <w:r>
              <w:rPr>
                <w:rFonts w:ascii="Arial" w:hAnsi="Arial"/>
                <w:b/>
                <w:color w:val="FFFFFF"/>
                <w:sz w:val="16"/>
              </w:rPr>
              <w:t>Event ID</w:t>
            </w:r>
          </w:p>
        </w:tc>
        <w:tc>
          <w:tcPr>
            <w:tcW w:type="dxa" w:w="7200"/>
            <w:shd w:fill="C00000"/>
          </w:tcPr>
          <w:p>
            <w:r>
              <w:rPr>
                <w:rFonts w:ascii="Arial" w:hAnsi="Arial"/>
                <w:b/>
                <w:color w:val="FFFFFF"/>
                <w:sz w:val="16"/>
              </w:rPr>
              <w:t>Event</w:t>
            </w:r>
          </w:p>
        </w:tc>
        <w:tc>
          <w:tcPr>
            <w:tcW w:type="dxa" w:w="2880"/>
            <w:shd w:fill="C00000"/>
          </w:tcPr>
          <w:p>
            <w:r>
              <w:rPr>
                <w:rFonts w:ascii="Arial" w:hAnsi="Arial"/>
                <w:b/>
                <w:color w:val="FFFFFF"/>
                <w:sz w:val="16"/>
              </w:rPr>
              <w:t>Treatment</w:t>
            </w:r>
          </w:p>
        </w:tc>
      </w:tr>
      <w:tr>
        <w:tc>
          <w:tcPr>
            <w:tcW w:type="dxa" w:w="1440"/>
            <w:vAlign w:val="top"/>
          </w:tcPr>
          <w:p>
            <w:pPr>
              <w:spacing w:after="20"/>
            </w:pPr>
            <w:r>
              <w:rPr>
                <w:rFonts w:ascii="Arial" w:hAnsi="Arial"/>
                <w:sz w:val="16"/>
              </w:rPr>
              <w:t>EVT-01</w:t>
            </w:r>
          </w:p>
        </w:tc>
        <w:tc>
          <w:tcPr>
            <w:tcW w:type="dxa" w:w="7200"/>
            <w:vAlign w:val="top"/>
          </w:tcPr>
          <w:p>
            <w:pPr>
              <w:spacing w:after="20"/>
            </w:pPr>
            <w:r>
              <w:rPr>
                <w:rFonts w:ascii="Arial" w:hAnsi="Arial"/>
                <w:sz w:val="16"/>
              </w:rPr>
              <w:t>Unauthorized issuance / mint</w:t>
            </w:r>
          </w:p>
        </w:tc>
        <w:tc>
          <w:tcPr>
            <w:tcW w:type="dxa" w:w="2880"/>
            <w:vAlign w:val="top"/>
          </w:tcPr>
          <w:p>
            <w:pPr>
              <w:spacing w:after="20"/>
            </w:pPr>
            <w:r>
              <w:rPr>
                <w:rFonts w:ascii="Arial" w:hAnsi="Arial"/>
                <w:sz w:val="16"/>
              </w:rPr>
              <w:t>Critical / zero tolerance</w:t>
            </w:r>
          </w:p>
        </w:tc>
      </w:tr>
      <w:tr>
        <w:tc>
          <w:tcPr>
            <w:tcW w:type="dxa" w:w="1440"/>
            <w:vAlign w:val="top"/>
          </w:tcPr>
          <w:p>
            <w:pPr>
              <w:spacing w:after="20"/>
            </w:pPr>
            <w:r>
              <w:rPr>
                <w:rFonts w:ascii="Arial" w:hAnsi="Arial"/>
                <w:sz w:val="16"/>
              </w:rPr>
              <w:t>EVT-02</w:t>
            </w:r>
          </w:p>
        </w:tc>
        <w:tc>
          <w:tcPr>
            <w:tcW w:type="dxa" w:w="7200"/>
            <w:vAlign w:val="top"/>
          </w:tcPr>
          <w:p>
            <w:pPr>
              <w:spacing w:after="20"/>
            </w:pPr>
            <w:r>
              <w:rPr>
                <w:rFonts w:ascii="Arial" w:hAnsi="Arial"/>
                <w:sz w:val="16"/>
              </w:rPr>
              <w:t>Unauthorized burn / cancellation</w:t>
            </w:r>
          </w:p>
        </w:tc>
        <w:tc>
          <w:tcPr>
            <w:tcW w:type="dxa" w:w="2880"/>
            <w:vAlign w:val="top"/>
          </w:tcPr>
          <w:p>
            <w:pPr>
              <w:spacing w:after="20"/>
            </w:pPr>
            <w:r>
              <w:rPr>
                <w:rFonts w:ascii="Arial" w:hAnsi="Arial"/>
                <w:sz w:val="16"/>
              </w:rPr>
              <w:t>Critical / zero tolerance</w:t>
            </w:r>
          </w:p>
        </w:tc>
      </w:tr>
      <w:tr>
        <w:tc>
          <w:tcPr>
            <w:tcW w:type="dxa" w:w="1440"/>
            <w:vAlign w:val="top"/>
          </w:tcPr>
          <w:p>
            <w:pPr>
              <w:spacing w:after="20"/>
            </w:pPr>
            <w:r>
              <w:rPr>
                <w:rFonts w:ascii="Arial" w:hAnsi="Arial"/>
                <w:sz w:val="16"/>
              </w:rPr>
              <w:t>EVT-03</w:t>
            </w:r>
          </w:p>
        </w:tc>
        <w:tc>
          <w:tcPr>
            <w:tcW w:type="dxa" w:w="7200"/>
            <w:vAlign w:val="top"/>
          </w:tcPr>
          <w:p>
            <w:pPr>
              <w:spacing w:after="20"/>
            </w:pPr>
            <w:r>
              <w:rPr>
                <w:rFonts w:ascii="Arial" w:hAnsi="Arial"/>
                <w:sz w:val="16"/>
              </w:rPr>
              <w:t>Authoritative-register / ownership mismatch</w:t>
            </w:r>
          </w:p>
        </w:tc>
        <w:tc>
          <w:tcPr>
            <w:tcW w:type="dxa" w:w="2880"/>
            <w:vAlign w:val="top"/>
          </w:tcPr>
          <w:p>
            <w:pPr>
              <w:spacing w:after="20"/>
            </w:pPr>
            <w:r>
              <w:rPr>
                <w:rFonts w:ascii="Arial" w:hAnsi="Arial"/>
                <w:sz w:val="16"/>
              </w:rPr>
              <w:t>Critical if unexplained/material</w:t>
            </w:r>
          </w:p>
        </w:tc>
      </w:tr>
      <w:tr>
        <w:tc>
          <w:tcPr>
            <w:tcW w:type="dxa" w:w="1440"/>
            <w:vAlign w:val="top"/>
          </w:tcPr>
          <w:p>
            <w:pPr>
              <w:spacing w:after="20"/>
            </w:pPr>
            <w:r>
              <w:rPr>
                <w:rFonts w:ascii="Arial" w:hAnsi="Arial"/>
                <w:sz w:val="16"/>
              </w:rPr>
              <w:t>EVT-04</w:t>
            </w:r>
          </w:p>
        </w:tc>
        <w:tc>
          <w:tcPr>
            <w:tcW w:type="dxa" w:w="7200"/>
            <w:vAlign w:val="top"/>
          </w:tcPr>
          <w:p>
            <w:pPr>
              <w:spacing w:after="20"/>
            </w:pPr>
            <w:r>
              <w:rPr>
                <w:rFonts w:ascii="Arial" w:hAnsi="Arial"/>
                <w:sz w:val="16"/>
              </w:rPr>
              <w:t>Token supply mismatch</w:t>
            </w:r>
          </w:p>
        </w:tc>
        <w:tc>
          <w:tcPr>
            <w:tcW w:type="dxa" w:w="2880"/>
            <w:vAlign w:val="top"/>
          </w:tcPr>
          <w:p>
            <w:pPr>
              <w:spacing w:after="20"/>
            </w:pPr>
            <w:r>
              <w:rPr>
                <w:rFonts w:ascii="Arial" w:hAnsi="Arial"/>
                <w:sz w:val="16"/>
              </w:rPr>
              <w:t>Critical / zero tolerance</w:t>
            </w:r>
          </w:p>
        </w:tc>
      </w:tr>
      <w:tr>
        <w:tc>
          <w:tcPr>
            <w:tcW w:type="dxa" w:w="1440"/>
            <w:vAlign w:val="top"/>
          </w:tcPr>
          <w:p>
            <w:pPr>
              <w:spacing w:after="20"/>
            </w:pPr>
            <w:r>
              <w:rPr>
                <w:rFonts w:ascii="Arial" w:hAnsi="Arial"/>
                <w:sz w:val="16"/>
              </w:rPr>
              <w:t>EVT-05</w:t>
            </w:r>
          </w:p>
        </w:tc>
        <w:tc>
          <w:tcPr>
            <w:tcW w:type="dxa" w:w="7200"/>
            <w:vAlign w:val="top"/>
          </w:tcPr>
          <w:p>
            <w:pPr>
              <w:spacing w:after="20"/>
            </w:pPr>
            <w:r>
              <w:rPr>
                <w:rFonts w:ascii="Arial" w:hAnsi="Arial"/>
                <w:sz w:val="16"/>
              </w:rPr>
              <w:t>Compromise of privileged credentials, signing keys or administrative control</w:t>
            </w:r>
          </w:p>
        </w:tc>
        <w:tc>
          <w:tcPr>
            <w:tcW w:type="dxa" w:w="2880"/>
            <w:vAlign w:val="top"/>
          </w:tcPr>
          <w:p>
            <w:pPr>
              <w:spacing w:after="20"/>
            </w:pPr>
            <w:r>
              <w:rPr>
                <w:rFonts w:ascii="Arial" w:hAnsi="Arial"/>
                <w:sz w:val="16"/>
              </w:rPr>
              <w:t>Critical</w:t>
            </w:r>
          </w:p>
        </w:tc>
      </w:tr>
      <w:tr>
        <w:tc>
          <w:tcPr>
            <w:tcW w:type="dxa" w:w="1440"/>
            <w:vAlign w:val="top"/>
          </w:tcPr>
          <w:p>
            <w:pPr>
              <w:spacing w:after="20"/>
            </w:pPr>
            <w:r>
              <w:rPr>
                <w:rFonts w:ascii="Arial" w:hAnsi="Arial"/>
                <w:sz w:val="16"/>
              </w:rPr>
              <w:t>EVT-06</w:t>
            </w:r>
          </w:p>
        </w:tc>
        <w:tc>
          <w:tcPr>
            <w:tcW w:type="dxa" w:w="7200"/>
            <w:vAlign w:val="top"/>
          </w:tcPr>
          <w:p>
            <w:pPr>
              <w:spacing w:after="20"/>
            </w:pPr>
            <w:r>
              <w:rPr>
                <w:rFonts w:ascii="Arial" w:hAnsi="Arial"/>
                <w:sz w:val="16"/>
              </w:rPr>
              <w:t>Smart-contract exploit, material vulnerability or unauthorized upgrade</w:t>
            </w:r>
          </w:p>
        </w:tc>
        <w:tc>
          <w:tcPr>
            <w:tcW w:type="dxa" w:w="2880"/>
            <w:vAlign w:val="top"/>
          </w:tcPr>
          <w:p>
            <w:pPr>
              <w:spacing w:after="20"/>
            </w:pPr>
            <w:r>
              <w:rPr>
                <w:rFonts w:ascii="Arial" w:hAnsi="Arial"/>
                <w:sz w:val="16"/>
              </w:rPr>
              <w:t>Critical</w:t>
            </w:r>
          </w:p>
        </w:tc>
      </w:tr>
      <w:tr>
        <w:tc>
          <w:tcPr>
            <w:tcW w:type="dxa" w:w="1440"/>
            <w:vAlign w:val="top"/>
          </w:tcPr>
          <w:p>
            <w:pPr>
              <w:spacing w:after="20"/>
            </w:pPr>
            <w:r>
              <w:rPr>
                <w:rFonts w:ascii="Arial" w:hAnsi="Arial"/>
                <w:sz w:val="16"/>
              </w:rPr>
              <w:t>EVT-07</w:t>
            </w:r>
          </w:p>
        </w:tc>
        <w:tc>
          <w:tcPr>
            <w:tcW w:type="dxa" w:w="7200"/>
            <w:vAlign w:val="top"/>
          </w:tcPr>
          <w:p>
            <w:pPr>
              <w:spacing w:after="20"/>
            </w:pPr>
            <w:r>
              <w:rPr>
                <w:rFonts w:ascii="Arial" w:hAnsi="Arial"/>
                <w:sz w:val="16"/>
              </w:rPr>
              <w:t>Material DLT/network or platform outage / finality issue</w:t>
            </w:r>
          </w:p>
        </w:tc>
        <w:tc>
          <w:tcPr>
            <w:tcW w:type="dxa" w:w="2880"/>
            <w:vAlign w:val="top"/>
          </w:tcPr>
          <w:p>
            <w:pPr>
              <w:spacing w:after="20"/>
            </w:pPr>
            <w:r>
              <w:rPr>
                <w:rFonts w:ascii="Arial" w:hAnsi="Arial"/>
                <w:sz w:val="16"/>
              </w:rPr>
              <w:t>High/Critical based on impact</w:t>
            </w:r>
          </w:p>
        </w:tc>
      </w:tr>
      <w:tr>
        <w:tc>
          <w:tcPr>
            <w:tcW w:type="dxa" w:w="1440"/>
            <w:vAlign w:val="top"/>
          </w:tcPr>
          <w:p>
            <w:pPr>
              <w:spacing w:after="20"/>
            </w:pPr>
            <w:r>
              <w:rPr>
                <w:rFonts w:ascii="Arial" w:hAnsi="Arial"/>
                <w:sz w:val="16"/>
              </w:rPr>
              <w:t>EVT-08</w:t>
            </w:r>
          </w:p>
        </w:tc>
        <w:tc>
          <w:tcPr>
            <w:tcW w:type="dxa" w:w="7200"/>
            <w:vAlign w:val="top"/>
          </w:tcPr>
          <w:p>
            <w:pPr>
              <w:spacing w:after="20"/>
            </w:pPr>
            <w:r>
              <w:rPr>
                <w:rFonts w:ascii="Arial" w:hAnsi="Arial"/>
                <w:sz w:val="16"/>
              </w:rPr>
              <w:t>Material regulatory investigation/finding or loss/change of required authorization</w:t>
            </w:r>
          </w:p>
        </w:tc>
        <w:tc>
          <w:tcPr>
            <w:tcW w:type="dxa" w:w="2880"/>
            <w:vAlign w:val="top"/>
          </w:tcPr>
          <w:p>
            <w:pPr>
              <w:spacing w:after="20"/>
            </w:pPr>
            <w:r>
              <w:rPr>
                <w:rFonts w:ascii="Arial" w:hAnsi="Arial"/>
                <w:sz w:val="16"/>
              </w:rPr>
              <w:t>Critical governance event</w:t>
            </w:r>
          </w:p>
        </w:tc>
      </w:tr>
      <w:tr>
        <w:tc>
          <w:tcPr>
            <w:tcW w:type="dxa" w:w="1440"/>
            <w:vAlign w:val="top"/>
          </w:tcPr>
          <w:p>
            <w:pPr>
              <w:spacing w:after="20"/>
            </w:pPr>
            <w:r>
              <w:rPr>
                <w:rFonts w:ascii="Arial" w:hAnsi="Arial"/>
                <w:sz w:val="16"/>
              </w:rPr>
              <w:t>EVT-09</w:t>
            </w:r>
          </w:p>
        </w:tc>
        <w:tc>
          <w:tcPr>
            <w:tcW w:type="dxa" w:w="7200"/>
            <w:vAlign w:val="top"/>
          </w:tcPr>
          <w:p>
            <w:pPr>
              <w:spacing w:after="20"/>
            </w:pPr>
            <w:r>
              <w:rPr>
                <w:rFonts w:ascii="Arial" w:hAnsi="Arial"/>
                <w:sz w:val="16"/>
              </w:rPr>
              <w:t>Material privacy/cyber breach affecting DTA service</w:t>
            </w:r>
          </w:p>
        </w:tc>
        <w:tc>
          <w:tcPr>
            <w:tcW w:type="dxa" w:w="2880"/>
            <w:vAlign w:val="top"/>
          </w:tcPr>
          <w:p>
            <w:pPr>
              <w:spacing w:after="20"/>
            </w:pPr>
            <w:r>
              <w:rPr>
                <w:rFonts w:ascii="Arial" w:hAnsi="Arial"/>
                <w:sz w:val="16"/>
              </w:rPr>
              <w:t>Critical/High</w:t>
            </w:r>
          </w:p>
        </w:tc>
      </w:tr>
      <w:tr>
        <w:tc>
          <w:tcPr>
            <w:tcW w:type="dxa" w:w="1440"/>
            <w:vAlign w:val="top"/>
          </w:tcPr>
          <w:p>
            <w:pPr>
              <w:spacing w:after="20"/>
            </w:pPr>
            <w:r>
              <w:rPr>
                <w:rFonts w:ascii="Arial" w:hAnsi="Arial"/>
                <w:sz w:val="16"/>
              </w:rPr>
              <w:t>EVT-10</w:t>
            </w:r>
          </w:p>
        </w:tc>
        <w:tc>
          <w:tcPr>
            <w:tcW w:type="dxa" w:w="7200"/>
            <w:vAlign w:val="top"/>
          </w:tcPr>
          <w:p>
            <w:pPr>
              <w:spacing w:after="20"/>
            </w:pPr>
            <w:r>
              <w:rPr>
                <w:rFonts w:ascii="Arial" w:hAnsi="Arial"/>
                <w:sz w:val="16"/>
              </w:rPr>
              <w:t>Critical provider or fourth-party failure / insolvency risk</w:t>
            </w:r>
          </w:p>
        </w:tc>
        <w:tc>
          <w:tcPr>
            <w:tcW w:type="dxa" w:w="2880"/>
            <w:vAlign w:val="top"/>
          </w:tcPr>
          <w:p>
            <w:pPr>
              <w:spacing w:after="20"/>
            </w:pPr>
            <w:r>
              <w:rPr>
                <w:rFonts w:ascii="Arial" w:hAnsi="Arial"/>
                <w:sz w:val="16"/>
              </w:rPr>
              <w:t>High/Critical</w:t>
            </w:r>
          </w:p>
        </w:tc>
      </w:tr>
      <w:tr>
        <w:tc>
          <w:tcPr>
            <w:tcW w:type="dxa" w:w="1440"/>
            <w:vAlign w:val="top"/>
          </w:tcPr>
          <w:p>
            <w:pPr>
              <w:spacing w:after="20"/>
            </w:pPr>
            <w:r>
              <w:rPr>
                <w:rFonts w:ascii="Arial" w:hAnsi="Arial"/>
                <w:sz w:val="16"/>
              </w:rPr>
              <w:t>EVT-11</w:t>
            </w:r>
          </w:p>
        </w:tc>
        <w:tc>
          <w:tcPr>
            <w:tcW w:type="dxa" w:w="7200"/>
            <w:vAlign w:val="top"/>
          </w:tcPr>
          <w:p>
            <w:pPr>
              <w:spacing w:after="20"/>
            </w:pPr>
            <w:r>
              <w:rPr>
                <w:rFonts w:ascii="Arial" w:hAnsi="Arial"/>
                <w:sz w:val="16"/>
              </w:rPr>
              <w:t>Material unapproved change to DTA service / controls / key-management / critical dependency</w:t>
            </w:r>
          </w:p>
        </w:tc>
        <w:tc>
          <w:tcPr>
            <w:tcW w:type="dxa" w:w="2880"/>
            <w:vAlign w:val="top"/>
          </w:tcPr>
          <w:p>
            <w:pPr>
              <w:spacing w:after="20"/>
            </w:pPr>
            <w:r>
              <w:rPr>
                <w:rFonts w:ascii="Arial" w:hAnsi="Arial"/>
                <w:sz w:val="16"/>
              </w:rPr>
              <w:t>Critical if control/integrity impact</w:t>
            </w:r>
          </w:p>
        </w:tc>
      </w:tr>
      <w:tr>
        <w:tc>
          <w:tcPr>
            <w:tcW w:type="dxa" w:w="1440"/>
            <w:vAlign w:val="top"/>
          </w:tcPr>
          <w:p>
            <w:pPr>
              <w:spacing w:after="20"/>
            </w:pPr>
            <w:r>
              <w:rPr>
                <w:rFonts w:ascii="Arial" w:hAnsi="Arial"/>
                <w:sz w:val="16"/>
              </w:rPr>
              <w:t>EVT-12</w:t>
            </w:r>
          </w:p>
        </w:tc>
        <w:tc>
          <w:tcPr>
            <w:tcW w:type="dxa" w:w="7200"/>
            <w:vAlign w:val="top"/>
          </w:tcPr>
          <w:p>
            <w:pPr>
              <w:spacing w:after="20"/>
            </w:pPr>
            <w:r>
              <w:rPr>
                <w:rFonts w:ascii="Arial" w:hAnsi="Arial"/>
                <w:sz w:val="16"/>
              </w:rPr>
              <w:t>Material change to Authoritative Record Model</w:t>
            </w:r>
          </w:p>
        </w:tc>
        <w:tc>
          <w:tcPr>
            <w:tcW w:type="dxa" w:w="2880"/>
            <w:vAlign w:val="top"/>
          </w:tcPr>
          <w:p>
            <w:pPr>
              <w:spacing w:after="20"/>
            </w:pPr>
            <w:r>
              <w:rPr>
                <w:rFonts w:ascii="Arial" w:hAnsi="Arial"/>
                <w:sz w:val="16"/>
              </w:rPr>
              <w:t>Pre-approval required / Critical design change</w:t>
            </w:r>
          </w:p>
        </w:tc>
      </w:tr>
    </w:tbl>
    <w:p/>
    <w:p>
      <w:pPr>
        <w:pStyle w:val="Heading1"/>
      </w:pPr>
      <w:r>
        <w:t>Appendix B - Business-to-Solution Traceability Model</w:t>
      </w:r>
    </w:p>
    <w:p>
      <w:r>
        <w:t>The future DTA Oversight Solution Design &amp; Technical Specification should implement this standard through explicit traceability. The following structure is mandatory for critical controls/events.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024"/>
            <w:shd w:fill="C00000"/>
          </w:tcPr>
          <w:p>
            <w:r>
              <w:rPr>
                <w:rFonts w:ascii="Arial" w:hAnsi="Arial"/>
                <w:b/>
                <w:color w:val="FFFFFF"/>
                <w:sz w:val="16"/>
              </w:rPr>
              <w:t>Business object</w:t>
            </w:r>
          </w:p>
        </w:tc>
        <w:tc>
          <w:tcPr>
            <w:tcW w:type="dxa" w:w="4320"/>
            <w:shd w:fill="C00000"/>
          </w:tcPr>
          <w:p>
            <w:r>
              <w:rPr>
                <w:rFonts w:ascii="Arial" w:hAnsi="Arial"/>
                <w:b/>
                <w:color w:val="FFFFFF"/>
                <w:sz w:val="16"/>
              </w:rPr>
              <w:t>Defined here</w:t>
            </w:r>
          </w:p>
        </w:tc>
        <w:tc>
          <w:tcPr>
            <w:tcW w:type="dxa" w:w="4320"/>
            <w:shd w:fill="C00000"/>
          </w:tcPr>
          <w:p>
            <w:r>
              <w:rPr>
                <w:rFonts w:ascii="Arial" w:hAnsi="Arial"/>
                <w:b/>
                <w:color w:val="FFFFFF"/>
                <w:sz w:val="16"/>
              </w:rPr>
              <w:t>Implemented in Solution Design</w:t>
            </w:r>
          </w:p>
        </w:tc>
      </w:tr>
      <w:tr>
        <w:tc>
          <w:tcPr>
            <w:tcW w:type="dxa" w:w="3024"/>
            <w:vAlign w:val="top"/>
          </w:tcPr>
          <w:p>
            <w:pPr>
              <w:spacing w:after="20"/>
            </w:pPr>
            <w:r>
              <w:rPr>
                <w:rFonts w:ascii="Arial" w:hAnsi="Arial"/>
                <w:sz w:val="16"/>
              </w:rPr>
              <w:t>Event taxonomy (EVT-xx)</w:t>
            </w:r>
          </w:p>
        </w:tc>
        <w:tc>
          <w:tcPr>
            <w:tcW w:type="dxa" w:w="4320"/>
            <w:vAlign w:val="top"/>
          </w:tcPr>
          <w:p>
            <w:pPr>
              <w:spacing w:after="20"/>
            </w:pPr>
            <w:r>
              <w:rPr>
                <w:rFonts w:ascii="Arial" w:hAnsi="Arial"/>
                <w:sz w:val="16"/>
              </w:rPr>
              <w:t>Event meaning, severity, governance and treatment.</w:t>
            </w:r>
          </w:p>
        </w:tc>
        <w:tc>
          <w:tcPr>
            <w:tcW w:type="dxa" w:w="4320"/>
            <w:vAlign w:val="top"/>
          </w:tcPr>
          <w:p>
            <w:pPr>
              <w:spacing w:after="20"/>
            </w:pPr>
            <w:r>
              <w:rPr>
                <w:rFonts w:ascii="Arial" w:hAnsi="Arial"/>
                <w:sz w:val="16"/>
              </w:rPr>
              <w:t>Detection sources, rules, correlation, alerts, workflow and evidence.</w:t>
            </w:r>
          </w:p>
        </w:tc>
      </w:tr>
      <w:tr>
        <w:tc>
          <w:tcPr>
            <w:tcW w:type="dxa" w:w="3024"/>
            <w:vAlign w:val="top"/>
          </w:tcPr>
          <w:p>
            <w:pPr>
              <w:spacing w:after="20"/>
            </w:pPr>
            <w:r>
              <w:rPr>
                <w:rFonts w:ascii="Arial" w:hAnsi="Arial"/>
                <w:sz w:val="16"/>
              </w:rPr>
              <w:t>Independent verification (IV-xxx)</w:t>
            </w:r>
          </w:p>
        </w:tc>
        <w:tc>
          <w:tcPr>
            <w:tcW w:type="dxa" w:w="4320"/>
            <w:vAlign w:val="top"/>
          </w:tcPr>
          <w:p>
            <w:pPr>
              <w:spacing w:after="20"/>
            </w:pPr>
            <w:r>
              <w:rPr>
                <w:rFonts w:ascii="Arial" w:hAnsi="Arial"/>
                <w:sz w:val="16"/>
              </w:rPr>
              <w:t>Control objective, criticality and expected outcome.</w:t>
            </w:r>
          </w:p>
        </w:tc>
        <w:tc>
          <w:tcPr>
            <w:tcW w:type="dxa" w:w="4320"/>
            <w:vAlign w:val="top"/>
          </w:tcPr>
          <w:p>
            <w:pPr>
              <w:spacing w:after="20"/>
            </w:pPr>
            <w:r>
              <w:rPr>
                <w:rFonts w:ascii="Arial" w:hAnsi="Arial"/>
                <w:sz w:val="16"/>
              </w:rPr>
              <w:t>Data inputs, rule logic, execution frequency, exception creation and evidence linkage.</w:t>
            </w:r>
          </w:p>
        </w:tc>
      </w:tr>
      <w:tr>
        <w:tc>
          <w:tcPr>
            <w:tcW w:type="dxa" w:w="3024"/>
            <w:vAlign w:val="top"/>
          </w:tcPr>
          <w:p>
            <w:pPr>
              <w:spacing w:after="20"/>
            </w:pPr>
            <w:r>
              <w:rPr>
                <w:rFonts w:ascii="Arial" w:hAnsi="Arial"/>
                <w:sz w:val="16"/>
              </w:rPr>
              <w:t>KPI/KRI</w:t>
            </w:r>
          </w:p>
        </w:tc>
        <w:tc>
          <w:tcPr>
            <w:tcW w:type="dxa" w:w="4320"/>
            <w:vAlign w:val="top"/>
          </w:tcPr>
          <w:p>
            <w:pPr>
              <w:spacing w:after="20"/>
            </w:pPr>
            <w:r>
              <w:rPr>
                <w:rFonts w:ascii="Arial" w:hAnsi="Arial"/>
                <w:sz w:val="16"/>
              </w:rPr>
              <w:t>Metric meaning and risk treatment.</w:t>
            </w:r>
          </w:p>
        </w:tc>
        <w:tc>
          <w:tcPr>
            <w:tcW w:type="dxa" w:w="4320"/>
            <w:vAlign w:val="top"/>
          </w:tcPr>
          <w:p>
            <w:pPr>
              <w:spacing w:after="20"/>
            </w:pPr>
            <w:r>
              <w:rPr>
                <w:rFonts w:ascii="Arial" w:hAnsi="Arial"/>
                <w:sz w:val="16"/>
              </w:rPr>
              <w:t>Calculation logic, source fields, thresholds once approved, dashboard representation.</w:t>
            </w:r>
          </w:p>
        </w:tc>
      </w:tr>
      <w:tr>
        <w:tc>
          <w:tcPr>
            <w:tcW w:type="dxa" w:w="3024"/>
            <w:vAlign w:val="top"/>
          </w:tcPr>
          <w:p>
            <w:pPr>
              <w:spacing w:after="20"/>
            </w:pPr>
            <w:r>
              <w:rPr>
                <w:rFonts w:ascii="Arial" w:hAnsi="Arial"/>
                <w:sz w:val="16"/>
              </w:rPr>
              <w:t>ARM</w:t>
            </w:r>
          </w:p>
        </w:tc>
        <w:tc>
          <w:tcPr>
            <w:tcW w:type="dxa" w:w="4320"/>
            <w:vAlign w:val="top"/>
          </w:tcPr>
          <w:p>
            <w:pPr>
              <w:spacing w:after="20"/>
            </w:pPr>
            <w:r>
              <w:rPr>
                <w:rFonts w:ascii="Arial" w:hAnsi="Arial"/>
                <w:sz w:val="16"/>
              </w:rPr>
              <w:t>Legal/business record hierarchy and conflict rules.</w:t>
            </w:r>
          </w:p>
        </w:tc>
        <w:tc>
          <w:tcPr>
            <w:tcW w:type="dxa" w:w="4320"/>
            <w:vAlign w:val="top"/>
          </w:tcPr>
          <w:p>
            <w:pPr>
              <w:spacing w:after="20"/>
            </w:pPr>
            <w:r>
              <w:rPr>
                <w:rFonts w:ascii="Arial" w:hAnsi="Arial"/>
                <w:sz w:val="16"/>
              </w:rPr>
              <w:t>Data mapping, reconciliation inputs and exception handling consistent with approved ARM.</w:t>
            </w:r>
          </w:p>
        </w:tc>
      </w:tr>
      <w:tr>
        <w:tc>
          <w:tcPr>
            <w:tcW w:type="dxa" w:w="3024"/>
            <w:vAlign w:val="top"/>
          </w:tcPr>
          <w:p>
            <w:pPr>
              <w:spacing w:after="20"/>
            </w:pPr>
            <w:r>
              <w:rPr>
                <w:rFonts w:ascii="Arial" w:hAnsi="Arial"/>
                <w:sz w:val="16"/>
              </w:rPr>
              <w:t>Material change categories</w:t>
            </w:r>
          </w:p>
        </w:tc>
        <w:tc>
          <w:tcPr>
            <w:tcW w:type="dxa" w:w="4320"/>
            <w:vAlign w:val="top"/>
          </w:tcPr>
          <w:p>
            <w:pPr>
              <w:spacing w:after="20"/>
            </w:pPr>
            <w:r>
              <w:rPr>
                <w:rFonts w:ascii="Arial" w:hAnsi="Arial"/>
                <w:sz w:val="16"/>
              </w:rPr>
              <w:t>Business classification and approval requirements.</w:t>
            </w:r>
          </w:p>
        </w:tc>
        <w:tc>
          <w:tcPr>
            <w:tcW w:type="dxa" w:w="4320"/>
            <w:vAlign w:val="top"/>
          </w:tcPr>
          <w:p>
            <w:pPr>
              <w:spacing w:after="20"/>
            </w:pPr>
            <w:r>
              <w:rPr>
                <w:rFonts w:ascii="Arial" w:hAnsi="Arial"/>
                <w:sz w:val="16"/>
              </w:rPr>
              <w:t>Change-detection feeds, technical assessment workflow and release evidence.</w:t>
            </w:r>
          </w:p>
        </w:tc>
      </w:tr>
      <w:tr>
        <w:tc>
          <w:tcPr>
            <w:tcW w:type="dxa" w:w="3024"/>
            <w:vAlign w:val="top"/>
          </w:tcPr>
          <w:p>
            <w:pPr>
              <w:spacing w:after="20"/>
            </w:pPr>
            <w:r>
              <w:rPr>
                <w:rFonts w:ascii="Arial" w:hAnsi="Arial"/>
                <w:sz w:val="16"/>
              </w:rPr>
              <w:t>Evidence requirements</w:t>
            </w:r>
          </w:p>
        </w:tc>
        <w:tc>
          <w:tcPr>
            <w:tcW w:type="dxa" w:w="4320"/>
            <w:vAlign w:val="top"/>
          </w:tcPr>
          <w:p>
            <w:pPr>
              <w:spacing w:after="20"/>
            </w:pPr>
            <w:r>
              <w:rPr>
                <w:rFonts w:ascii="Arial" w:hAnsi="Arial"/>
                <w:sz w:val="16"/>
              </w:rPr>
              <w:t>What evidence must exist and be reviewable.</w:t>
            </w:r>
          </w:p>
        </w:tc>
        <w:tc>
          <w:tcPr>
            <w:tcW w:type="dxa" w:w="4320"/>
            <w:vAlign w:val="top"/>
          </w:tcPr>
          <w:p>
            <w:pPr>
              <w:spacing w:after="20"/>
            </w:pPr>
            <w:r>
              <w:rPr>
                <w:rFonts w:ascii="Arial" w:hAnsi="Arial"/>
                <w:sz w:val="16"/>
              </w:rPr>
              <w:t>Storage, immutable/hash/reference, retention, access control and audit trail.</w:t>
            </w:r>
          </w:p>
        </w:tc>
      </w:tr>
    </w:tbl>
    <w:p/>
    <w:p>
      <w:pPr>
        <w:pStyle w:val="Heading1"/>
      </w:pPr>
      <w:r>
        <w:t>Appendix C - Reference Sources</w:t>
      </w:r>
    </w:p>
    <w:tbl>
      <w:tblPr>
        <w:tblStyle w:val="TableGrid"/>
        <w:tblW w:type="auto" w:w="0"/>
        <w:jc w:val="center"/>
        <w:tblLook w:firstColumn="1" w:firstRow="1" w:lastColumn="0" w:lastRow="0" w:noHBand="0" w:noVBand="1" w:val="04A0"/>
      </w:tblPr>
      <w:tblGrid>
        <w:gridCol w:w="5083"/>
        <w:gridCol w:w="5083"/>
      </w:tblGrid>
      <w:tr>
        <w:tc>
          <w:tcPr>
            <w:tcW w:type="dxa" w:w="5083"/>
            <w:shd w:fill="C00000"/>
          </w:tcPr>
          <w:p>
            <w:r>
              <w:rPr>
                <w:rFonts w:ascii="Arial" w:hAnsi="Arial"/>
                <w:b/>
                <w:color w:val="FFFFFF"/>
                <w:sz w:val="16"/>
              </w:rPr>
              <w:t>Source</w:t>
            </w:r>
          </w:p>
        </w:tc>
        <w:tc>
          <w:tcPr>
            <w:tcW w:type="dxa" w:w="5083"/>
            <w:shd w:fill="C00000"/>
          </w:tcPr>
          <w:p>
            <w:r>
              <w:rPr>
                <w:rFonts w:ascii="Arial" w:hAnsi="Arial"/>
                <w:b/>
                <w:color w:val="FFFFFF"/>
                <w:sz w:val="16"/>
              </w:rPr>
              <w:t>Link</w:t>
            </w:r>
          </w:p>
        </w:tc>
      </w:tr>
      <w:tr>
        <w:tc>
          <w:tcPr>
            <w:tcW w:type="dxa" w:w="5083"/>
          </w:tcPr>
          <w:p>
            <w:r>
              <w:rPr>
                <w:rFonts w:ascii="Arial" w:hAnsi="Arial"/>
                <w:b w:val="0"/>
                <w:sz w:val="16"/>
              </w:rPr>
              <w:t>Basel Committee on Banking Supervision - Principles for the Sound Management of Third-Party Risk (2025)</w:t>
            </w:r>
          </w:p>
        </w:tc>
        <w:tc>
          <w:tcPr>
            <w:tcW w:type="dxa" w:w="5083"/>
          </w:tcPr>
          <w:p>
            <w:hyperlink r:id="rId11">
              <w:r>
                <w:rPr>
                  <w:color w:val="0563C1"/>
                  <w:u w:val="single"/>
                </w:rPr>
                <w:t>https://www.bis.org/bcbs/publ/d605.htm</w:t>
              </w:r>
            </w:hyperlink>
          </w:p>
        </w:tc>
      </w:tr>
      <w:tr>
        <w:tc>
          <w:tcPr>
            <w:tcW w:type="dxa" w:w="5083"/>
          </w:tcPr>
          <w:p>
            <w:r>
              <w:rPr>
                <w:rFonts w:ascii="Arial" w:hAnsi="Arial"/>
                <w:b w:val="0"/>
                <w:sz w:val="16"/>
              </w:rPr>
              <w:t>U.S. SEC - Transfer Agents overview</w:t>
            </w:r>
          </w:p>
        </w:tc>
        <w:tc>
          <w:tcPr>
            <w:tcW w:type="dxa" w:w="5083"/>
          </w:tcPr>
          <w:p>
            <w:hyperlink r:id="rId12">
              <w:r>
                <w:rPr>
                  <w:color w:val="0563C1"/>
                  <w:u w:val="single"/>
                </w:rPr>
                <w:t>https://www.sec.gov/about/divisions-offices/division-trading-markets/transfer-agents</w:t>
              </w:r>
            </w:hyperlink>
          </w:p>
        </w:tc>
      </w:tr>
      <w:tr>
        <w:tc>
          <w:tcPr>
            <w:tcW w:type="dxa" w:w="5083"/>
          </w:tcPr>
          <w:p>
            <w:r>
              <w:rPr>
                <w:rFonts w:ascii="Arial" w:hAnsi="Arial"/>
                <w:b w:val="0"/>
                <w:sz w:val="16"/>
              </w:rPr>
              <w:t>U.S. SEC - Recordkeeping Requirements for Transfer Agents (Rules 17Ad-6 and 17Ad-7)</w:t>
            </w:r>
          </w:p>
        </w:tc>
        <w:tc>
          <w:tcPr>
            <w:tcW w:type="dxa" w:w="5083"/>
          </w:tcPr>
          <w:p>
            <w:hyperlink r:id="rId13">
              <w:r>
                <w:rPr>
                  <w:color w:val="0563C1"/>
                  <w:u w:val="single"/>
                </w:rPr>
                <w:t>https://www.sec.gov/rules-regulations/2001/04/recordkeeping-requirements-transfer-agents</w:t>
              </w:r>
            </w:hyperlink>
          </w:p>
        </w:tc>
      </w:tr>
      <w:tr>
        <w:tc>
          <w:tcPr>
            <w:tcW w:type="dxa" w:w="5083"/>
          </w:tcPr>
          <w:p>
            <w:r>
              <w:rPr>
                <w:rFonts w:ascii="Arial" w:hAnsi="Arial"/>
                <w:b w:val="0"/>
                <w:sz w:val="16"/>
              </w:rPr>
              <w:t>FINRA Regulatory Notice 21-29 - Supervisory Obligations Related to Outsourcing to Third-Party Vendors</w:t>
            </w:r>
          </w:p>
        </w:tc>
        <w:tc>
          <w:tcPr>
            <w:tcW w:type="dxa" w:w="5083"/>
          </w:tcPr>
          <w:p>
            <w:hyperlink r:id="rId14">
              <w:r>
                <w:rPr>
                  <w:color w:val="0563C1"/>
                  <w:u w:val="single"/>
                </w:rPr>
                <w:t>https://www.finra.org/rules-guidance/notices/21-29</w:t>
              </w:r>
            </w:hyperlink>
          </w:p>
        </w:tc>
      </w:tr>
      <w:tr>
        <w:tc>
          <w:tcPr>
            <w:tcW w:type="dxa" w:w="5083"/>
          </w:tcPr>
          <w:p>
            <w:r>
              <w:rPr>
                <w:rFonts w:ascii="Arial" w:hAnsi="Arial"/>
                <w:b w:val="0"/>
                <w:sz w:val="16"/>
              </w:rPr>
              <w:t>IOSCO - Tokenization of Financial Assets, Final Report (2025)</w:t>
            </w:r>
          </w:p>
        </w:tc>
        <w:tc>
          <w:tcPr>
            <w:tcW w:type="dxa" w:w="5083"/>
          </w:tcPr>
          <w:p>
            <w:hyperlink r:id="rId15">
              <w:r>
                <w:rPr>
                  <w:color w:val="0563C1"/>
                  <w:u w:val="single"/>
                </w:rPr>
                <w:t>https://www.iosco.org/library/pubdocs/pdf/IOSCOPD809.pdf</w:t>
              </w:r>
            </w:hyperlink>
          </w:p>
        </w:tc>
      </w:tr>
    </w:tbl>
    <w:p/>
    <w:p>
      <w:pPr>
        <w:pStyle w:val="SmallNote"/>
      </w:pPr>
      <w:r>
        <w:t>Qualification: this standard is an operating/control design standard, not legal advice. Legal, Compliance, Risk and the relevant regulated entities must validate final applicability, contractual duties, authoritative-record position and approved thresholds for the specific product and jurisdiction.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B7280"/>
        <w:sz w:val="16"/>
      </w:rPr>
      <w:t>Internal working standard | Version 1.0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B7280"/>
        <w:sz w:val="16"/>
      </w:rPr>
      <w:t>The-Bank | Digital Transfer Agent Third-Party Oversight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C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C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rial" w:hAnsi="Arial"/>
      <w:color w:val="6B7280"/>
      <w:sz w:val="17"/>
    </w:rPr>
  </w:style>
  <w:style w:type="paragraph" w:customStyle="1" w:styleId="Callout">
    <w:name w:val="Callout"/>
    <w:rPr>
      <w:rFonts w:ascii="Arial" w:hAnsi="Arial"/>
      <w:b/>
      <w:color w:val="1F2937"/>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is.org/bcbs/publ/d605.htm" TargetMode="External"/><Relationship Id="rId12" Type="http://schemas.openxmlformats.org/officeDocument/2006/relationships/hyperlink" Target="https://www.sec.gov/about/divisions-offices/division-trading-markets/transfer-agents" TargetMode="External"/><Relationship Id="rId13" Type="http://schemas.openxmlformats.org/officeDocument/2006/relationships/hyperlink" Target="https://www.sec.gov/rules-regulations/2001/04/recordkeeping-requirements-transfer-agents" TargetMode="External"/><Relationship Id="rId14" Type="http://schemas.openxmlformats.org/officeDocument/2006/relationships/hyperlink" Target="https://www.finra.org/rules-guidance/notices/21-29" TargetMode="External"/><Relationship Id="rId15" Type="http://schemas.openxmlformats.org/officeDocument/2006/relationships/hyperlink" Target="https://www.iosco.org/library/pubdocs/pdf/IOSCOPD80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