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5544C767" w:rsidR="002F036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IATF 16949:2016</w:t>
      </w:r>
      <w:r>
        <w:rPr>
          <w:rFonts w:ascii="Google Sans Text" w:eastAsia="Google Sans Text" w:hAnsi="Google Sans Text" w:cs="Google Sans Text"/>
          <w:color w:val="1F1F1F"/>
        </w:rPr>
        <w:t xml:space="preserve"> con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100 domande consecutive</w:t>
      </w:r>
      <w:r>
        <w:rPr>
          <w:rFonts w:ascii="Google Sans Text" w:eastAsia="Google Sans Text" w:hAnsi="Google Sans Text" w:cs="Google Sans Text"/>
          <w:color w:val="1F1F1F"/>
        </w:rPr>
        <w:t xml:space="preserve"> basate esclusivamente sul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testo principale della norma</w:t>
      </w:r>
      <w:r>
        <w:rPr>
          <w:rFonts w:ascii="Google Sans Text" w:eastAsia="Google Sans Text" w:hAnsi="Google Sans Text" w:cs="Google Sans Text"/>
          <w:color w:val="1F1F1F"/>
        </w:rPr>
        <w:t xml:space="preserve"> (Clausole 4-10), includendo i riferimenti specifici tra parentesi.</w:t>
      </w:r>
    </w:p>
    <w:p w14:paraId="00000003" w14:textId="77777777" w:rsidR="002F0366" w:rsidRDefault="00000000">
      <w:pPr>
        <w:pStyle w:val="Tito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4EEAE22F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Checklist Gap Analysis IATF 16949:2016 (Testo Principale)</w:t>
      </w:r>
    </w:p>
    <w:p w14:paraId="00000004" w14:textId="77777777" w:rsidR="002F0366" w:rsidRDefault="00000000">
      <w:pPr>
        <w:pStyle w:val="Tito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Metodologia per la </w:t>
      </w:r>
      <w:proofErr w:type="spellStart"/>
      <w:r>
        <w:rPr>
          <w:rFonts w:ascii="Google Sans" w:eastAsia="Google Sans" w:hAnsi="Google Sans" w:cs="Google Sans"/>
          <w:color w:val="1F1F1F"/>
        </w:rPr>
        <w:t>Webapp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00000005" w14:textId="77777777" w:rsidR="002F03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Risposte:</w:t>
      </w:r>
      <w:r>
        <w:rPr>
          <w:rFonts w:ascii="Google Sans Text" w:eastAsia="Google Sans Text" w:hAnsi="Google Sans Text" w:cs="Google Sans Text"/>
          <w:color w:val="1F1F1F"/>
        </w:rPr>
        <w:t xml:space="preserve"> Conforme | Parzialmente Conforme | Non Conforme | Non Applicabile.</w:t>
      </w:r>
    </w:p>
    <w:p w14:paraId="00000006" w14:textId="77777777" w:rsidR="002F03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Campo Note:</w:t>
      </w:r>
      <w:r>
        <w:rPr>
          <w:rFonts w:ascii="Google Sans Text" w:eastAsia="Google Sans Text" w:hAnsi="Google Sans Text" w:cs="Google Sans Text"/>
          <w:color w:val="1F1F1F"/>
        </w:rPr>
        <w:t xml:space="preserve"> Obbligatorio (evidenze oggettive).</w:t>
      </w:r>
    </w:p>
    <w:p w14:paraId="00000007" w14:textId="77777777" w:rsidR="002F03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Campo Allegato:</w:t>
      </w:r>
      <w:r>
        <w:rPr>
          <w:rFonts w:ascii="Google Sans Text" w:eastAsia="Google Sans Text" w:hAnsi="Google Sans Text" w:cs="Google Sans Text"/>
          <w:color w:val="1F1F1F"/>
        </w:rPr>
        <w:t xml:space="preserve"> Funzionalità upload documenti.</w:t>
      </w:r>
    </w:p>
    <w:p w14:paraId="00000008" w14:textId="77777777" w:rsidR="002F0366" w:rsidRDefault="00000000">
      <w:pPr>
        <w:pStyle w:val="Tito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76E6717A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Sezione 4: Contesto dell'organizzazione</w:t>
      </w:r>
    </w:p>
    <w:p w14:paraId="00000009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funzioni di supporto, sul sito o remote, sono incluse nel campo di applicazione del sistema? (4.3.1)</w:t>
      </w:r>
      <w:r>
        <w:rPr>
          <w:color w:val="000000"/>
        </w:rPr>
        <w:br/>
      </w:r>
    </w:p>
    <w:p w14:paraId="0000000A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esclusioni sono limitate esclusivamente ai requisiti della progettazione prodotto (Sez. 8.3)? (4.3.1)</w:t>
      </w:r>
      <w:r>
        <w:rPr>
          <w:color w:val="000000"/>
        </w:rPr>
        <w:br/>
      </w:r>
    </w:p>
    <w:p w14:paraId="0000000B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garantito che la progettazione del processo produttivo non sia mai esclusa dal SGQ? (4.3.1)</w:t>
      </w:r>
      <w:r>
        <w:rPr>
          <w:color w:val="000000"/>
        </w:rPr>
        <w:br/>
      </w:r>
    </w:p>
    <w:p w14:paraId="0000000C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Requisiti Specifici del Cliente (CSR) sono stati valutati e inclusi nel campo di applicazione? (4.3.2)</w:t>
      </w:r>
      <w:r>
        <w:rPr>
          <w:color w:val="000000"/>
        </w:rPr>
        <w:br/>
      </w:r>
    </w:p>
    <w:p w14:paraId="0000000D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assicura la conformità di tutti i prodotti e processi, inclusi quelli in outsourcing? (4.4.1.1)</w:t>
      </w:r>
      <w:r>
        <w:rPr>
          <w:color w:val="000000"/>
        </w:rPr>
        <w:br/>
      </w:r>
    </w:p>
    <w:p w14:paraId="0000000E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processi documentati per la gestione dei prodotti legati alla sicurezza? (4.4.1.2)</w:t>
      </w:r>
      <w:r>
        <w:rPr>
          <w:color w:val="000000"/>
        </w:rPr>
        <w:br/>
      </w:r>
    </w:p>
    <w:p w14:paraId="0000000F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identificati formalmente i requisiti cogenti sulla sicurezza del prodotto? (4.4.1.2 a)</w:t>
      </w:r>
      <w:r>
        <w:rPr>
          <w:color w:val="000000"/>
        </w:rPr>
        <w:br/>
      </w:r>
    </w:p>
    <w:p w14:paraId="00000010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ottenute approvazioni speciali per la FMEA di progetto relativa alla sicurezza? (4.4.1.2 c)</w:t>
      </w:r>
      <w:r>
        <w:rPr>
          <w:color w:val="000000"/>
        </w:rPr>
        <w:br/>
      </w:r>
    </w:p>
    <w:p w14:paraId="00000011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identificate le caratteristiche specifiche di sicurezza del prodotto? (4.4.1.2 d)</w:t>
      </w:r>
      <w:r>
        <w:rPr>
          <w:color w:val="000000"/>
        </w:rPr>
        <w:br/>
      </w:r>
    </w:p>
    <w:p w14:paraId="00000012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Esiste un'approvazione speciale per i piani di controllo e la FMEA di processo legata alla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sicurezza? (4.4.1.2 f)</w:t>
      </w:r>
      <w:r>
        <w:rPr>
          <w:color w:val="000000"/>
        </w:rPr>
        <w:br/>
      </w:r>
    </w:p>
    <w:p w14:paraId="00000013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definito un processo di escalation e flusso di informazioni sulla sicurezza prodotto? (4.4.1.2 h)</w:t>
      </w:r>
      <w:r>
        <w:rPr>
          <w:color w:val="000000"/>
        </w:rPr>
        <w:br/>
      </w:r>
    </w:p>
    <w:p w14:paraId="00000014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addestramento specifico per il personale coinvolto nei prodotti di sicurezza? (4.4.1.2 i)</w:t>
      </w:r>
      <w:r>
        <w:rPr>
          <w:color w:val="000000"/>
        </w:rPr>
        <w:br/>
      </w:r>
    </w:p>
    <w:p w14:paraId="00000015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modifiche al prodotto o processo sono approvate prima dell'attuazione per gli effetti sulla sicurezza? (4.4.1.2 j)</w:t>
      </w:r>
      <w:r>
        <w:rPr>
          <w:color w:val="000000"/>
        </w:rPr>
        <w:br/>
      </w:r>
    </w:p>
    <w:p w14:paraId="00000016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requisiti di sicurezza sono trasferiti correttamente lungo tutta la catena di fornitura? (4.4.1.2 k)</w:t>
      </w:r>
      <w:r>
        <w:rPr>
          <w:color w:val="000000"/>
        </w:rPr>
        <w:br/>
      </w:r>
    </w:p>
    <w:p w14:paraId="00000017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rintracciabilità del prodotto è garantita almeno per lotto attraverso la catena di fornitura? (4.4.1.2 l)</w:t>
      </w:r>
      <w:r>
        <w:rPr>
          <w:color w:val="000000"/>
        </w:rPr>
        <w:br/>
      </w:r>
    </w:p>
    <w:p w14:paraId="00000018" w14:textId="77777777" w:rsidR="002F03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applicate le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lesson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learned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 per l'introduzione di nuovi prodotti legati alla sicurezza? (4.4.1.2 m)</w:t>
      </w:r>
      <w:r>
        <w:rPr>
          <w:color w:val="000000"/>
        </w:rPr>
        <w:br/>
      </w:r>
    </w:p>
    <w:p w14:paraId="00000019" w14:textId="77777777" w:rsidR="002F0366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Sezione 5: Leadership</w:t>
      </w:r>
    </w:p>
    <w:p w14:paraId="0000001A" w14:textId="77777777" w:rsidR="002F03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L'alta direzione ha definito politiche di responsabilità sociale (anticorruzione, codice condotta)? (5.1.1.1)</w:t>
      </w:r>
      <w:r>
        <w:rPr>
          <w:color w:val="000000"/>
        </w:rPr>
        <w:br/>
      </w:r>
    </w:p>
    <w:p w14:paraId="0000001B" w14:textId="77777777" w:rsidR="002F03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una politica etica di escalation (politica di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whistle-blowing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")? (5.1.1.1)</w:t>
      </w:r>
      <w:r>
        <w:rPr>
          <w:color w:val="000000"/>
        </w:rPr>
        <w:br/>
      </w:r>
    </w:p>
    <w:p w14:paraId="0000001C" w14:textId="77777777" w:rsidR="002F03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L'alta direzione riesamina i processi di realizzazione per valutarne efficacia ed efficienza? (5.1.1.2)</w:t>
      </w:r>
      <w:r>
        <w:rPr>
          <w:color w:val="000000"/>
        </w:rPr>
        <w:br/>
      </w:r>
    </w:p>
    <w:p w14:paraId="0000001D" w14:textId="77777777" w:rsidR="002F03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risultati del riesame dei processi sono inclusi come input al riesame di direzione? (5.1.1.2)</w:t>
      </w:r>
      <w:r>
        <w:rPr>
          <w:color w:val="000000"/>
        </w:rPr>
        <w:br/>
      </w:r>
    </w:p>
    <w:p w14:paraId="0000001E" w14:textId="77777777" w:rsidR="002F03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identificati i "Process Owner" responsabili della gestione dei processi? (5.1.1.3)</w:t>
      </w:r>
      <w:r>
        <w:rPr>
          <w:color w:val="000000"/>
        </w:rPr>
        <w:br/>
      </w:r>
    </w:p>
    <w:p w14:paraId="0000001F" w14:textId="77777777" w:rsidR="002F03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stato incaricato personale documentato per assicurare il rispetto dei requisiti del cliente? (5.3.1)</w:t>
      </w:r>
      <w:r>
        <w:rPr>
          <w:color w:val="000000"/>
        </w:rPr>
        <w:br/>
      </w:r>
    </w:p>
    <w:p w14:paraId="00000020" w14:textId="77777777" w:rsidR="002F03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personale responsabile della conformità ha l'autorità di fermare la produzione per problemi di qualità? (5.3.2 a)</w:t>
      </w:r>
      <w:r>
        <w:rPr>
          <w:color w:val="000000"/>
        </w:rPr>
        <w:br/>
      </w:r>
    </w:p>
    <w:p w14:paraId="00000021" w14:textId="77777777" w:rsidR="002F03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In caso di fermo produzione non immediato, i lotti interessati vengono isolati e bloccati? (5.3.2 a - Nota)</w:t>
      </w:r>
      <w:r>
        <w:rPr>
          <w:color w:val="000000"/>
        </w:rPr>
        <w:br/>
      </w:r>
    </w:p>
    <w:p w14:paraId="00000022" w14:textId="77777777" w:rsidR="002F03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personale con autorità per le azioni correttive è prontamente informato dei prodotti non conformi? (5.3.2 b)</w:t>
      </w:r>
      <w:r>
        <w:rPr>
          <w:color w:val="000000"/>
        </w:rPr>
        <w:br/>
      </w:r>
    </w:p>
    <w:p w14:paraId="00000023" w14:textId="77777777" w:rsidR="002F03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Tutti i turni produttivi sono dotati di personale incaricato di assicurare la conformità del prodotto? (5.3.2 c)</w:t>
      </w:r>
      <w:r>
        <w:rPr>
          <w:color w:val="000000"/>
        </w:rPr>
        <w:br/>
      </w:r>
    </w:p>
    <w:p w14:paraId="00000024" w14:textId="77777777" w:rsidR="002F0366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Sezione 6: Pianificazione</w:t>
      </w:r>
    </w:p>
    <w:p w14:paraId="00000025" w14:textId="77777777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L'analisi del rischio include le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lesson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learned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 da richiami, audit e ritorni dal campo? (6.1.2.1)</w:t>
      </w:r>
      <w:r>
        <w:rPr>
          <w:color w:val="000000"/>
        </w:rPr>
        <w:br/>
      </w:r>
    </w:p>
    <w:p w14:paraId="00000026" w14:textId="77777777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evidenza documentata dei risultati dell'analisi del rischio condotta? (6.1.2.1)</w:t>
      </w:r>
      <w:r>
        <w:rPr>
          <w:color w:val="000000"/>
        </w:rPr>
        <w:br/>
      </w:r>
    </w:p>
    <w:p w14:paraId="00000027" w14:textId="2699B90A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attivo un processo per determinare azioni preventive atte a eliminare potenziali non conformità? (6.1.2.2)</w:t>
      </w:r>
      <w:r>
        <w:rPr>
          <w:color w:val="000000"/>
        </w:rPr>
        <w:br/>
      </w:r>
    </w:p>
    <w:p w14:paraId="00000028" w14:textId="77777777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azioni preventive sono appropriate alla gravità dei potenziali problemi? (6.1.2.2)</w:t>
      </w:r>
      <w:r>
        <w:rPr>
          <w:color w:val="000000"/>
        </w:rPr>
        <w:br/>
      </w:r>
    </w:p>
    <w:p w14:paraId="00000029" w14:textId="77777777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utilizzate le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lesson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learned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 per prevenire la ripetizione di rischi in processi simili? (6.1.2.2 f)</w:t>
      </w:r>
      <w:r>
        <w:rPr>
          <w:color w:val="000000"/>
        </w:rPr>
        <w:br/>
      </w:r>
    </w:p>
    <w:p w14:paraId="0000002A" w14:textId="77777777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identificati i rischi interni ed esterni per tutti i processi produttivi e infrastrutture? (6.1.2.3 a)</w:t>
      </w:r>
      <w:r>
        <w:rPr>
          <w:color w:val="000000"/>
        </w:rPr>
        <w:br/>
      </w:r>
    </w:p>
    <w:p w14:paraId="0000002B" w14:textId="77777777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definiti piani di emergenza in base al rischio e all'impatto sul cliente? (6.1.2.3 b)</w:t>
      </w:r>
      <w:r>
        <w:rPr>
          <w:color w:val="000000"/>
        </w:rPr>
        <w:br/>
      </w:r>
    </w:p>
    <w:p w14:paraId="0000002C" w14:textId="77777777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piani di emergenza per guasti ad apparecchiature chiave o interruzioni di fornitura? (6.1.2.3 c)</w:t>
      </w:r>
      <w:r>
        <w:rPr>
          <w:color w:val="000000"/>
        </w:rPr>
        <w:br/>
      </w:r>
    </w:p>
    <w:p w14:paraId="0000002D" w14:textId="77777777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piano di emergenza include un processo di notifica tempestiva al cliente e parti interessate? (6.1.2.3 d)</w:t>
      </w:r>
      <w:r>
        <w:rPr>
          <w:color w:val="000000"/>
        </w:rPr>
        <w:br/>
      </w:r>
    </w:p>
    <w:p w14:paraId="0000002E" w14:textId="77777777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L'efficacia dei piani di emergenza viene testata periodicamente (es. simulazioni)? (6.1.2.3 e)</w:t>
      </w:r>
      <w:r>
        <w:rPr>
          <w:color w:val="000000"/>
        </w:rPr>
        <w:br/>
      </w:r>
    </w:p>
    <w:p w14:paraId="0000002F" w14:textId="77777777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I piani di emergenza vengono riesaminati annualmente da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un team multidisciplinare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? (6.1.2.3 f)</w:t>
      </w:r>
      <w:r>
        <w:rPr>
          <w:color w:val="000000"/>
        </w:rPr>
        <w:br/>
      </w:r>
    </w:p>
    <w:p w14:paraId="00000030" w14:textId="77777777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validato che il prodotto rispetti le specifiche dopo la ripartenza da un'emergenza? (6.1.2.3)</w:t>
      </w:r>
      <w:r>
        <w:rPr>
          <w:color w:val="000000"/>
        </w:rPr>
        <w:br/>
      </w:r>
    </w:p>
    <w:p w14:paraId="00000031" w14:textId="5E7FC146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obiettivi per la qualità sono definiti per le relative funzioni e livelli? (6.2.2.1)</w:t>
      </w:r>
      <w:r>
        <w:rPr>
          <w:color w:val="000000"/>
        </w:rPr>
        <w:br/>
      </w:r>
    </w:p>
    <w:p w14:paraId="00000032" w14:textId="77777777" w:rsidR="002F03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Gli obiettivi di prestazione (interna ed esterna) sono stabiliti almeno annualmente? (6.2.2.1)</w:t>
      </w:r>
      <w:r>
        <w:rPr>
          <w:color w:val="000000"/>
        </w:rPr>
        <w:br/>
      </w:r>
    </w:p>
    <w:p w14:paraId="00000033" w14:textId="77777777" w:rsidR="002F0366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Sezione 7: Supporto</w:t>
      </w:r>
    </w:p>
    <w:p w14:paraId="00000034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utilizza un approccio multidisciplinare per la pianificazione dello stabilimento? (7.1.3.1)</w:t>
      </w:r>
      <w:r>
        <w:rPr>
          <w:color w:val="000000"/>
        </w:rPr>
        <w:br/>
      </w:r>
    </w:p>
    <w:p w14:paraId="00000035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layout dello stabilimento ottimizza il flusso e la movimentazione dei materiali? (7.1.3.1 a)</w:t>
      </w:r>
      <w:r>
        <w:rPr>
          <w:color w:val="000000"/>
        </w:rPr>
        <w:br/>
      </w:r>
    </w:p>
    <w:p w14:paraId="00000036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valutata periodicamente l'efficienza dei processi e rivalutato il rischio delle operazioni? (7.1.3.1)</w:t>
      </w:r>
      <w:r>
        <w:rPr>
          <w:color w:val="000000"/>
        </w:rPr>
        <w:br/>
      </w:r>
    </w:p>
    <w:p w14:paraId="00000037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valutazione della fattibilità e della capacità produttiva è un input al riesame di direzione? (7.1.3.1)</w:t>
      </w:r>
      <w:r>
        <w:rPr>
          <w:color w:val="000000"/>
        </w:rPr>
        <w:br/>
      </w:r>
    </w:p>
    <w:p w14:paraId="00000038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locali sono mantenuti in uno stato di ordine e pulizia coerente con le necessità del prodotto? (7.1.4.1)</w:t>
      </w:r>
      <w:r>
        <w:rPr>
          <w:color w:val="000000"/>
        </w:rPr>
        <w:br/>
      </w:r>
    </w:p>
    <w:p w14:paraId="00000039" w14:textId="25DE0F09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eseguiti studi statistici (MSA) per analizzare la variazione nei sistemi di misura? (7.1.5.1.1)</w:t>
      </w:r>
      <w:r>
        <w:rPr>
          <w:color w:val="000000"/>
        </w:rPr>
        <w:br/>
      </w:r>
    </w:p>
    <w:p w14:paraId="0000003A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documentato per gestire le registrazioni delle tarature e verifiche? (7.1.5.2.1)</w:t>
      </w:r>
      <w:r>
        <w:rPr>
          <w:color w:val="000000"/>
        </w:rPr>
        <w:br/>
      </w:r>
    </w:p>
    <w:p w14:paraId="0000003B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registrazioni di taratura includono calibri di proprietà personale o del cliente sul sito? (7.1.5.2.1)</w:t>
      </w:r>
      <w:r>
        <w:rPr>
          <w:color w:val="000000"/>
        </w:rPr>
        <w:br/>
      </w:r>
    </w:p>
    <w:p w14:paraId="0000003C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effettuata una valutazione del rischio sulla conformità se uno strumento è fuori taratura? (7.1.5.2.1 c)</w:t>
      </w:r>
      <w:r>
        <w:rPr>
          <w:color w:val="000000"/>
        </w:rPr>
        <w:br/>
      </w:r>
    </w:p>
    <w:p w14:paraId="0000003D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versione del software usato per il controllo prodotto/processo viene verificata e registrata? (7.1.5.2.1 g)</w:t>
      </w:r>
      <w:r>
        <w:rPr>
          <w:color w:val="000000"/>
        </w:rPr>
        <w:br/>
      </w:r>
    </w:p>
    <w:p w14:paraId="0000003E" w14:textId="2CA5EABA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Il laboratorio interno ha un campo di attività definito e incluso nella documentazione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QMS? (7.1.5.3.1)</w:t>
      </w:r>
      <w:r>
        <w:rPr>
          <w:color w:val="000000"/>
        </w:rPr>
        <w:br/>
      </w:r>
    </w:p>
    <w:p w14:paraId="0000003F" w14:textId="0A0D07B8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laboratori esterni sono accreditati ISO/IEC 17025 (o equivalente accettabile)? (7.1.5.3.2)</w:t>
      </w:r>
      <w:r>
        <w:rPr>
          <w:color w:val="000000"/>
        </w:rPr>
        <w:br/>
      </w:r>
    </w:p>
    <w:p w14:paraId="00000040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documentato per individuare le esigenze di addestramento? (7.2.1)</w:t>
      </w:r>
      <w:r>
        <w:rPr>
          <w:color w:val="000000"/>
        </w:rPr>
        <w:br/>
      </w:r>
    </w:p>
    <w:p w14:paraId="00000041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fornito addestramento sul posto di lavoro (OJT) per ogni nuova attività o modifica? (7.2.2)</w:t>
      </w:r>
      <w:r>
        <w:rPr>
          <w:color w:val="000000"/>
        </w:rPr>
        <w:br/>
      </w:r>
    </w:p>
    <w:p w14:paraId="00000042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personale a contratto o da agenzie riceve formazione-addestramento sul posto di lavoro? (7.2.2)</w:t>
      </w:r>
      <w:r>
        <w:rPr>
          <w:color w:val="000000"/>
        </w:rPr>
        <w:br/>
      </w:r>
    </w:p>
    <w:p w14:paraId="00000043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personale è informato sulle conseguenze delle NC rispetto ai requisiti cliente? (7.2.2)</w:t>
      </w:r>
      <w:r>
        <w:rPr>
          <w:color w:val="000000"/>
        </w:rPr>
        <w:br/>
      </w:r>
    </w:p>
    <w:p w14:paraId="00000044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documentato per verificare la competenza degli auditor interni? (7.2.3)</w:t>
      </w:r>
      <w:r>
        <w:rPr>
          <w:color w:val="000000"/>
        </w:rPr>
        <w:br/>
      </w:r>
    </w:p>
    <w:p w14:paraId="00000045" w14:textId="4BE2A4AC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auditor interni dimostrano comprensione dell'approccio per processi e dei "core tools"? (7.2.3 a-d)</w:t>
      </w:r>
      <w:r>
        <w:rPr>
          <w:color w:val="000000"/>
        </w:rPr>
        <w:br/>
      </w:r>
    </w:p>
    <w:p w14:paraId="00000046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mantenuta informazione documentata sulla competenza dei formatori degli auditor? (7.2.3)</w:t>
      </w:r>
      <w:r>
        <w:rPr>
          <w:color w:val="000000"/>
        </w:rPr>
        <w:br/>
      </w:r>
    </w:p>
    <w:p w14:paraId="00000047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mantiene una lista di auditor interni qualificati? (7.2.3)</w:t>
      </w:r>
      <w:r>
        <w:rPr>
          <w:color w:val="000000"/>
        </w:rPr>
        <w:br/>
      </w:r>
    </w:p>
    <w:p w14:paraId="00000048" w14:textId="6D176219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auditor di parte seconda rispettano i requisiti del cliente per la loro qualifica? (7.2.4)</w:t>
      </w:r>
      <w:r>
        <w:rPr>
          <w:color w:val="000000"/>
        </w:rPr>
        <w:br/>
      </w:r>
    </w:p>
    <w:p w14:paraId="00000049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mantenuto un processo documentato per motivare i dipendenti agli obiettivi qualità? (7.3.2)</w:t>
      </w:r>
      <w:r>
        <w:rPr>
          <w:color w:val="000000"/>
        </w:rPr>
        <w:br/>
      </w:r>
    </w:p>
    <w:p w14:paraId="0000004A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SGQ è documentato e include un manuale della qualità (cartaceo o elettronico)? (7.5.1.1)</w:t>
      </w:r>
      <w:r>
        <w:rPr>
          <w:color w:val="000000"/>
        </w:rPr>
        <w:br/>
      </w:r>
    </w:p>
    <w:p w14:paraId="0000004B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manuale della qualità include una descrizione delle interazioni tra i processi? (7.5.1.1 c)</w:t>
      </w:r>
      <w:r>
        <w:rPr>
          <w:color w:val="000000"/>
        </w:rPr>
        <w:br/>
      </w:r>
    </w:p>
    <w:p w14:paraId="0000004C" w14:textId="7B9FDE33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documento (matrice) che indichi dove sono gestiti i CSR? (7.5.1.1 d)</w:t>
      </w:r>
      <w:r>
        <w:rPr>
          <w:color w:val="000000"/>
        </w:rPr>
        <w:br/>
      </w:r>
    </w:p>
    <w:p w14:paraId="0000004D" w14:textId="03EEA650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politica di conservazione delle registrazioni soddisfa i requisiti cogenti e del cliente? (7.5.3.2.1)</w:t>
      </w:r>
      <w:r>
        <w:rPr>
          <w:color w:val="000000"/>
        </w:rPr>
        <w:br/>
      </w:r>
    </w:p>
    <w:p w14:paraId="0000004E" w14:textId="718238F1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Le specifiche tecniche del cliente vengono riesaminate entro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10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giorni lavorativi? (7.5.3.2.2)</w:t>
      </w:r>
      <w:r>
        <w:rPr>
          <w:color w:val="000000"/>
        </w:rPr>
        <w:br/>
      </w:r>
    </w:p>
    <w:p w14:paraId="0000004F" w14:textId="77777777" w:rsidR="002F03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Viene conservata la registrazione della data in cui ogni modifica entra in produzione? (7.5.3.2.2)</w:t>
      </w:r>
      <w:r>
        <w:rPr>
          <w:color w:val="000000"/>
        </w:rPr>
        <w:br/>
      </w:r>
    </w:p>
    <w:p w14:paraId="00000050" w14:textId="77777777" w:rsidR="002F0366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Sezione 8: Attività Operative</w:t>
      </w:r>
    </w:p>
    <w:p w14:paraId="00000051" w14:textId="77777777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pianificazione operativa include requisiti logistici e fattibilità produttiva? (8.1.1 b-c)</w:t>
      </w:r>
      <w:r>
        <w:rPr>
          <w:color w:val="000000"/>
        </w:rPr>
        <w:br/>
      </w:r>
    </w:p>
    <w:p w14:paraId="00000052" w14:textId="77777777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assicura la confidenzialità dei prodotti e progetti sotto contratto? (8.1.2)</w:t>
      </w:r>
      <w:r>
        <w:rPr>
          <w:color w:val="000000"/>
        </w:rPr>
        <w:br/>
      </w:r>
    </w:p>
    <w:p w14:paraId="00000053" w14:textId="77777777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comunicazioni con il cliente (verbali o scritte) avvengono nella lingua concordata? (8.2.1.1)</w:t>
      </w:r>
      <w:r>
        <w:rPr>
          <w:color w:val="000000"/>
        </w:rPr>
        <w:br/>
      </w:r>
    </w:p>
    <w:p w14:paraId="00000054" w14:textId="0647CFB0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determinazione dei requisiti include riciclaggio, impatto ambientale e normativa governativa? (8.2.2.1)</w:t>
      </w:r>
      <w:r>
        <w:rPr>
          <w:color w:val="000000"/>
        </w:rPr>
        <w:br/>
      </w:r>
    </w:p>
    <w:p w14:paraId="00000055" w14:textId="748272D3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conservata evidenza di deroghe autorizzate dal cliente per il riesame dei requisiti? (8.2.3.1.1)</w:t>
      </w:r>
      <w:r>
        <w:rPr>
          <w:color w:val="000000"/>
        </w:rPr>
        <w:br/>
      </w:r>
    </w:p>
    <w:p w14:paraId="00000056" w14:textId="77777777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rispetta i requisiti cliente per la documentazione delle caratteristiche speciali? (8.2.3.1.2)</w:t>
      </w:r>
      <w:r>
        <w:rPr>
          <w:color w:val="000000"/>
        </w:rPr>
        <w:br/>
      </w:r>
    </w:p>
    <w:p w14:paraId="00000057" w14:textId="7E2D0818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condotta un'analisi di fattibilità per ogni nuova tecnologia o modifica? (8.2.3.1.3)</w:t>
      </w:r>
      <w:r>
        <w:rPr>
          <w:color w:val="000000"/>
        </w:rPr>
        <w:br/>
      </w:r>
    </w:p>
    <w:p w14:paraId="00000058" w14:textId="77777777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pianificazione dello sviluppo coinvolge tutte le funzioni interne e la catena di fornitura? (8.3.2.1)</w:t>
      </w:r>
      <w:r>
        <w:rPr>
          <w:color w:val="000000"/>
        </w:rPr>
        <w:br/>
      </w:r>
    </w:p>
    <w:p w14:paraId="00000059" w14:textId="77777777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personale responsabile della progettazione ha competenza sugli strumenti applicabili? (8.3.2.2)</w:t>
      </w:r>
      <w:r>
        <w:rPr>
          <w:color w:val="000000"/>
        </w:rPr>
        <w:br/>
      </w:r>
    </w:p>
    <w:p w14:paraId="0000005A" w14:textId="77777777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per assicurare la qualità del software sviluppato internamente? (8.3.2.3)</w:t>
      </w:r>
      <w:r>
        <w:rPr>
          <w:color w:val="000000"/>
        </w:rPr>
        <w:br/>
      </w:r>
    </w:p>
    <w:p w14:paraId="0000005B" w14:textId="77777777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eseguite autovalutazioni della capacità di sviluppo software basate sul rischio? (8.3.2.3)</w:t>
      </w:r>
      <w:r>
        <w:rPr>
          <w:color w:val="000000"/>
        </w:rPr>
        <w:br/>
      </w:r>
    </w:p>
    <w:p w14:paraId="0000005C" w14:textId="5BF8B389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input alla progettazione prodotto includono le potenziali conseguenze dell'obsolescenza? (8.3.3.1)</w:t>
      </w:r>
      <w:r>
        <w:rPr>
          <w:color w:val="000000"/>
        </w:rPr>
        <w:br/>
      </w:r>
    </w:p>
    <w:p w14:paraId="0000005D" w14:textId="500BA5D4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progettazione del processo include l'uso di metodologie a prova di errore? (8.3.3.2)</w:t>
      </w:r>
      <w:r>
        <w:rPr>
          <w:color w:val="000000"/>
        </w:rPr>
        <w:br/>
      </w:r>
    </w:p>
    <w:p w14:paraId="0000005E" w14:textId="744B061D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piani di prova identificano chiaramente l'elemento di prova e i criteri di accettazione? (8.3.4.1)</w:t>
      </w:r>
      <w:r>
        <w:rPr>
          <w:color w:val="000000"/>
        </w:rPr>
        <w:br/>
      </w:r>
    </w:p>
    <w:p w14:paraId="0000005F" w14:textId="546F9FA6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attività di verifica e validazione dello sviluppo sono allineate alla tempistica cliente? (8.3.4.2)</w:t>
      </w:r>
      <w:r>
        <w:rPr>
          <w:color w:val="000000"/>
        </w:rPr>
        <w:br/>
      </w:r>
    </w:p>
    <w:p w14:paraId="00000060" w14:textId="3402DFEA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documentato per la selezione dei fornitori basato sul rischio? (8.4.1.2)</w:t>
      </w:r>
      <w:r>
        <w:rPr>
          <w:color w:val="000000"/>
        </w:rPr>
        <w:br/>
      </w:r>
    </w:p>
    <w:p w14:paraId="00000061" w14:textId="77777777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richiede ai fornitori di sviluppare un SGQ certificato ISO 9001? (8.4.2.3)</w:t>
      </w:r>
      <w:r>
        <w:rPr>
          <w:color w:val="000000"/>
        </w:rPr>
        <w:br/>
      </w:r>
    </w:p>
    <w:p w14:paraId="00000062" w14:textId="77777777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documentato e criteri per valutare periodicamente le prestazioni dei fornitori? (8.4.2.4)</w:t>
      </w:r>
      <w:r>
        <w:rPr>
          <w:color w:val="000000"/>
        </w:rPr>
        <w:br/>
      </w:r>
    </w:p>
    <w:p w14:paraId="00000063" w14:textId="77777777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monitorati i fermi piazzale e i blocchi spedizioni causati dai fornitori? (8.4.2.4 b)</w:t>
      </w:r>
      <w:r>
        <w:rPr>
          <w:color w:val="000000"/>
        </w:rPr>
        <w:br/>
      </w:r>
    </w:p>
    <w:p w14:paraId="00000064" w14:textId="77777777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requisiti speciali e cogenti sono trasmessi correttamente lungo tutta la catena di fornitura? (8.4.3.1)</w:t>
      </w:r>
      <w:r>
        <w:rPr>
          <w:color w:val="000000"/>
        </w:rPr>
        <w:br/>
      </w:r>
    </w:p>
    <w:p w14:paraId="00000065" w14:textId="37315C43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istruzioni per l'operatore sono leggibili e accessibili nelle aree di lavoro? (8.5.1.2)</w:t>
      </w:r>
      <w:r>
        <w:rPr>
          <w:color w:val="000000"/>
        </w:rPr>
        <w:br/>
      </w:r>
    </w:p>
    <w:p w14:paraId="00000066" w14:textId="6027B00E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attività di set-up sono verificate tramite metodi statistici o validazione primo pezzo? (8.5.1.3)</w:t>
      </w:r>
      <w:r>
        <w:rPr>
          <w:color w:val="000000"/>
        </w:rPr>
        <w:br/>
      </w:r>
    </w:p>
    <w:p w14:paraId="00000067" w14:textId="77777777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sistema documentato di manutenzione produttiva totale (TPM)? (8.5.1.5)</w:t>
      </w:r>
      <w:r>
        <w:rPr>
          <w:color w:val="000000"/>
        </w:rPr>
        <w:br/>
      </w:r>
    </w:p>
    <w:p w14:paraId="00000068" w14:textId="7BCA61BB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criteri di accettazione per i campionamenti per attributi sono "zero difetti"? (8.6.6)</w:t>
      </w:r>
      <w:r>
        <w:rPr>
          <w:color w:val="000000"/>
        </w:rPr>
        <w:br/>
      </w:r>
    </w:p>
    <w:p w14:paraId="00000069" w14:textId="3544A365" w:rsidR="002F03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I prodotti scartati sono resi fisicamente inutilizzabili prima della loro eliminazione? (8.7.1.7)</w:t>
      </w:r>
      <w:r>
        <w:rPr>
          <w:color w:val="000000"/>
        </w:rPr>
        <w:br/>
      </w:r>
    </w:p>
    <w:p w14:paraId="0000006A" w14:textId="77777777" w:rsidR="002F0366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Sezione 9: Valutazione delle prestazioni</w:t>
      </w:r>
    </w:p>
    <w:p w14:paraId="0000006B" w14:textId="52A4BC1F" w:rsidR="002F036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realizzati studi di processo per verificare la capacità dei nuovi processi? (9.1.1.1)</w:t>
      </w:r>
      <w:r>
        <w:rPr>
          <w:color w:val="000000"/>
        </w:rPr>
        <w:br/>
      </w:r>
    </w:p>
    <w:p w14:paraId="0000006C" w14:textId="77777777" w:rsidR="002F036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eventi significativi (cambio attrezzatura, riparazioni) sono registrati e conservati? (9.1.1.1)</w:t>
      </w:r>
      <w:r>
        <w:rPr>
          <w:color w:val="000000"/>
        </w:rPr>
        <w:br/>
      </w:r>
    </w:p>
    <w:p w14:paraId="0000006D" w14:textId="33537897" w:rsidR="002F036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dipendenti coinvolti comprendono i concetti di variabilità e stabilità statistica? (9.1.1.3)</w:t>
      </w:r>
      <w:r>
        <w:rPr>
          <w:color w:val="000000"/>
        </w:rPr>
        <w:br/>
      </w:r>
    </w:p>
    <w:p w14:paraId="0000006E" w14:textId="1D260B11" w:rsidR="002F036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soddisfazione del cliente è monitorata tramite ritorni dal campo e scorecard? (9.1.2.1)</w:t>
      </w:r>
      <w:r>
        <w:rPr>
          <w:color w:val="000000"/>
        </w:rPr>
        <w:br/>
      </w:r>
    </w:p>
    <w:p w14:paraId="0000006F" w14:textId="7A377C24" w:rsidR="002F036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Il programma di audit interno include la valutazione della capacità di sviluppo software? (9.2.2.1)</w:t>
      </w:r>
      <w:r>
        <w:rPr>
          <w:color w:val="000000"/>
        </w:rPr>
        <w:br/>
      </w:r>
    </w:p>
    <w:p w14:paraId="00000070" w14:textId="77777777" w:rsidR="002F0366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Sezione 10: Miglioramento</w:t>
      </w:r>
    </w:p>
    <w:p w14:paraId="00000071" w14:textId="77777777" w:rsidR="002F036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Esiste un processo documentato di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problem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solving per ogni tipo di problema? (10.2.3)</w:t>
      </w:r>
      <w:r>
        <w:rPr>
          <w:color w:val="000000"/>
        </w:rPr>
        <w:br/>
      </w:r>
    </w:p>
    <w:p w14:paraId="00000072" w14:textId="5BE118ED" w:rsidR="002F036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eseguite prove o simulazioni dei guasti per i dispositivi a prova di errore? (10.2.4)</w:t>
      </w:r>
      <w:r>
        <w:rPr>
          <w:color w:val="000000"/>
        </w:rPr>
        <w:br/>
      </w:r>
    </w:p>
    <w:sectPr w:rsidR="002F036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3C58863-86EF-45A7-9102-56587686D950}"/>
  </w:font>
  <w:font w:name="Google Sans Text">
    <w:charset w:val="00"/>
    <w:family w:val="auto"/>
    <w:pitch w:val="default"/>
    <w:embedRegular r:id="rId2" w:fontKey="{7A7BD5D5-403F-47E7-8B15-8BA3FEBDB7A5}"/>
    <w:embedBold r:id="rId3" w:fontKey="{62A65B29-92D1-4FFA-820F-FD332A64EF9A}"/>
  </w:font>
  <w:font w:name="Google Sans">
    <w:charset w:val="00"/>
    <w:family w:val="auto"/>
    <w:pitch w:val="default"/>
    <w:embedBold r:id="rId4" w:fontKey="{DB9DD088-2AF1-4C24-9046-A3C739075B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EE7DD9F-FA3D-4059-B8B7-AE2757D239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CA8478B-00C2-492C-B045-9F7DDD6712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5244F"/>
    <w:multiLevelType w:val="multilevel"/>
    <w:tmpl w:val="3F7CCFD8"/>
    <w:lvl w:ilvl="0">
      <w:start w:val="4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973557E"/>
    <w:multiLevelType w:val="multilevel"/>
    <w:tmpl w:val="004828E4"/>
    <w:lvl w:ilvl="0">
      <w:start w:val="9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B2019AA"/>
    <w:multiLevelType w:val="multilevel"/>
    <w:tmpl w:val="950A3E26"/>
    <w:lvl w:ilvl="0">
      <w:start w:val="17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6F72514"/>
    <w:multiLevelType w:val="multilevel"/>
    <w:tmpl w:val="559C9E88"/>
    <w:lvl w:ilvl="0">
      <w:start w:val="6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ABD6628"/>
    <w:multiLevelType w:val="multilevel"/>
    <w:tmpl w:val="9070B476"/>
    <w:lvl w:ilvl="0">
      <w:start w:val="9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E780515"/>
    <w:multiLevelType w:val="multilevel"/>
    <w:tmpl w:val="33CA27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1FA1969"/>
    <w:multiLevelType w:val="multilevel"/>
    <w:tmpl w:val="FDCADFF0"/>
    <w:lvl w:ilvl="0">
      <w:start w:val="27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E0E7FB9"/>
    <w:multiLevelType w:val="multilevel"/>
    <w:tmpl w:val="64E881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51130294">
    <w:abstractNumId w:val="5"/>
  </w:num>
  <w:num w:numId="2" w16cid:durableId="976568868">
    <w:abstractNumId w:val="7"/>
  </w:num>
  <w:num w:numId="3" w16cid:durableId="1305237395">
    <w:abstractNumId w:val="2"/>
  </w:num>
  <w:num w:numId="4" w16cid:durableId="880284402">
    <w:abstractNumId w:val="6"/>
  </w:num>
  <w:num w:numId="5" w16cid:durableId="1926304580">
    <w:abstractNumId w:val="0"/>
  </w:num>
  <w:num w:numId="6" w16cid:durableId="1169561654">
    <w:abstractNumId w:val="3"/>
  </w:num>
  <w:num w:numId="7" w16cid:durableId="1317222369">
    <w:abstractNumId w:val="1"/>
  </w:num>
  <w:num w:numId="8" w16cid:durableId="1295214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366"/>
    <w:rsid w:val="000A6C23"/>
    <w:rsid w:val="002F0366"/>
    <w:rsid w:val="009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2A318"/>
  <w15:docId w15:val="{8E458ED4-DFBA-43EE-B7CD-50D49A7E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1591</Words>
  <Characters>9075</Characters>
  <Application>Microsoft Office Word</Application>
  <DocSecurity>0</DocSecurity>
  <Lines>75</Lines>
  <Paragraphs>21</Paragraphs>
  <ScaleCrop>false</ScaleCrop>
  <Company/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vincenzo panariello</dc:creator>
  <cp:lastModifiedBy>vincenzo panariello</cp:lastModifiedBy>
  <cp:revision>2</cp:revision>
  <dcterms:created xsi:type="dcterms:W3CDTF">2026-02-06T14:50:00Z</dcterms:created>
  <dcterms:modified xsi:type="dcterms:W3CDTF">2026-02-06T14:50:00Z</dcterms:modified>
</cp:coreProperties>
</file>