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AD06" w14:textId="328F79F6" w:rsidR="007E6F05" w:rsidRPr="00AC2877" w:rsidRDefault="008322A2" w:rsidP="007E6F05">
      <w:pPr>
        <w:jc w:val="center"/>
        <w:rPr>
          <w:rFonts w:ascii="Garamond" w:hAnsi="Garamond"/>
          <w:sz w:val="22"/>
          <w:szCs w:val="22"/>
        </w:rPr>
      </w:pPr>
      <w:r w:rsidRPr="00AC2877">
        <w:rPr>
          <w:rFonts w:ascii="Garamond" w:hAnsi="Garamond"/>
          <w:b/>
          <w:bCs/>
          <w:sz w:val="22"/>
          <w:szCs w:val="22"/>
        </w:rPr>
        <w:t>SIMULATION</w:t>
      </w:r>
      <w:r w:rsidR="00555DDE" w:rsidRPr="00AC2877">
        <w:rPr>
          <w:rFonts w:ascii="Garamond" w:hAnsi="Garamond"/>
          <w:b/>
          <w:bCs/>
          <w:sz w:val="22"/>
          <w:szCs w:val="22"/>
        </w:rPr>
        <w:t xml:space="preserve"> COMMERCIAL BANK</w:t>
      </w:r>
      <w:r w:rsidR="007E6F05" w:rsidRPr="00AC2877">
        <w:rPr>
          <w:rFonts w:ascii="Garamond" w:hAnsi="Garamond"/>
          <w:b/>
          <w:bCs/>
          <w:sz w:val="22"/>
          <w:szCs w:val="22"/>
        </w:rPr>
        <w:t xml:space="preserve"> </w:t>
      </w:r>
      <w:r w:rsidR="00173FB7" w:rsidRPr="00AC2877">
        <w:rPr>
          <w:rFonts w:ascii="Garamond" w:hAnsi="Garamond"/>
          <w:b/>
          <w:bCs/>
          <w:sz w:val="22"/>
          <w:szCs w:val="22"/>
        </w:rPr>
        <w:t>|</w:t>
      </w:r>
      <w:r w:rsidR="007E6F05" w:rsidRPr="00AC2877">
        <w:rPr>
          <w:rFonts w:ascii="Garamond" w:hAnsi="Garamond"/>
          <w:b/>
          <w:bCs/>
          <w:sz w:val="22"/>
          <w:szCs w:val="22"/>
        </w:rPr>
        <w:t xml:space="preserve"> </w:t>
      </w:r>
      <w:r w:rsidR="00E85113" w:rsidRPr="00AC2877">
        <w:rPr>
          <w:rFonts w:ascii="Garamond" w:hAnsi="Garamond"/>
          <w:b/>
          <w:bCs/>
          <w:sz w:val="22"/>
          <w:szCs w:val="22"/>
        </w:rPr>
        <w:t>QUANTITATIVE RISK MANAGEMENT</w:t>
      </w:r>
    </w:p>
    <w:p w14:paraId="59927674" w14:textId="77777777" w:rsidR="007E6F05" w:rsidRPr="00AC2877" w:rsidRDefault="007E6F05" w:rsidP="007E6F05">
      <w:pPr>
        <w:jc w:val="center"/>
        <w:rPr>
          <w:rFonts w:ascii="Garamond" w:hAnsi="Garamond"/>
          <w:b/>
          <w:bCs/>
          <w:sz w:val="22"/>
          <w:szCs w:val="22"/>
        </w:rPr>
      </w:pPr>
      <w:r w:rsidRPr="00AC2877">
        <w:rPr>
          <w:rFonts w:ascii="Garamond" w:hAnsi="Garamond"/>
          <w:b/>
          <w:bCs/>
          <w:sz w:val="22"/>
          <w:szCs w:val="22"/>
        </w:rPr>
        <w:t>FORMAL MODEL VALIDATION REPORT</w:t>
      </w:r>
    </w:p>
    <w:p w14:paraId="62D721FF" w14:textId="77777777" w:rsidR="007E6F05" w:rsidRPr="00AC2877" w:rsidRDefault="007E6F05" w:rsidP="007E6F05">
      <w:pPr>
        <w:jc w:val="center"/>
        <w:rPr>
          <w:rFonts w:ascii="Garamond" w:hAnsi="Garamond"/>
          <w:b/>
          <w:bCs/>
          <w:sz w:val="22"/>
          <w:szCs w:val="22"/>
        </w:rPr>
      </w:pPr>
      <w:r w:rsidRPr="00AC2877">
        <w:rPr>
          <w:rFonts w:ascii="Garamond" w:hAnsi="Garamond"/>
          <w:b/>
          <w:bCs/>
          <w:sz w:val="22"/>
          <w:szCs w:val="22"/>
        </w:rPr>
        <w:t>Interest Rate Risk in the Banking Book (IRRBB) &amp; ALM Sensitivity Model</w:t>
      </w:r>
    </w:p>
    <w:p w14:paraId="72401604" w14:textId="77777777" w:rsidR="007E6F05" w:rsidRPr="00AC2877" w:rsidRDefault="007E6F05" w:rsidP="007E6F05">
      <w:pPr>
        <w:jc w:val="center"/>
        <w:rPr>
          <w:rFonts w:ascii="Garamond" w:hAnsi="Garamond"/>
          <w:sz w:val="22"/>
          <w:szCs w:val="22"/>
        </w:rPr>
      </w:pPr>
      <w:r w:rsidRPr="00AC2877">
        <w:rPr>
          <w:rFonts w:ascii="Garamond" w:hAnsi="Garamond"/>
          <w:b/>
          <w:bCs/>
          <w:sz w:val="22"/>
          <w:szCs w:val="22"/>
        </w:rPr>
        <w:t>Compliance Framework:</w:t>
      </w:r>
      <w:r w:rsidRPr="00AC2877">
        <w:rPr>
          <w:rFonts w:ascii="Garamond" w:hAnsi="Garamond"/>
          <w:sz w:val="22"/>
          <w:szCs w:val="22"/>
        </w:rPr>
        <w:t xml:space="preserve"> Federal Reserve SR 11-7 (Model Risk Management)</w:t>
      </w:r>
    </w:p>
    <w:p w14:paraId="1F998440" w14:textId="77777777" w:rsidR="007E6F05" w:rsidRPr="00AC2877" w:rsidRDefault="007E6F05" w:rsidP="007E6F05">
      <w:pPr>
        <w:jc w:val="center"/>
        <w:rPr>
          <w:rFonts w:ascii="Garamond" w:hAnsi="Garamond"/>
          <w:sz w:val="22"/>
          <w:szCs w:val="22"/>
        </w:rPr>
      </w:pPr>
      <w:r w:rsidRPr="00AC2877">
        <w:rPr>
          <w:rFonts w:ascii="Garamond" w:hAnsi="Garamond"/>
          <w:b/>
          <w:bCs/>
          <w:sz w:val="22"/>
          <w:szCs w:val="22"/>
        </w:rPr>
        <w:t>Model Risk Tier:</w:t>
      </w:r>
      <w:r w:rsidRPr="00AC2877">
        <w:rPr>
          <w:rFonts w:ascii="Garamond" w:hAnsi="Garamond"/>
          <w:sz w:val="22"/>
          <w:szCs w:val="22"/>
        </w:rPr>
        <w:t xml:space="preserve"> High</w:t>
      </w:r>
    </w:p>
    <w:p w14:paraId="5F735B32" w14:textId="77777777" w:rsidR="007E6F05" w:rsidRPr="00AC2877" w:rsidRDefault="007E6F05" w:rsidP="007E6F05">
      <w:pPr>
        <w:jc w:val="center"/>
        <w:rPr>
          <w:rFonts w:ascii="Garamond" w:hAnsi="Garamond"/>
          <w:sz w:val="22"/>
          <w:szCs w:val="22"/>
        </w:rPr>
      </w:pPr>
      <w:r w:rsidRPr="00AC2877">
        <w:rPr>
          <w:rFonts w:ascii="Garamond" w:hAnsi="Garamond"/>
          <w:b/>
          <w:bCs/>
          <w:sz w:val="22"/>
          <w:szCs w:val="22"/>
        </w:rPr>
        <w:t>Date of Validation:</w:t>
      </w:r>
      <w:r w:rsidRPr="00AC2877">
        <w:rPr>
          <w:rFonts w:ascii="Garamond" w:hAnsi="Garamond"/>
          <w:sz w:val="22"/>
          <w:szCs w:val="22"/>
        </w:rPr>
        <w:t xml:space="preserve"> July 2026</w:t>
      </w:r>
    </w:p>
    <w:p w14:paraId="677E8619" w14:textId="77777777" w:rsidR="007E6F05" w:rsidRPr="00AC2877" w:rsidRDefault="007E6F05" w:rsidP="007E6F05">
      <w:pPr>
        <w:jc w:val="center"/>
        <w:rPr>
          <w:rFonts w:ascii="Garamond" w:hAnsi="Garamond"/>
          <w:sz w:val="22"/>
          <w:szCs w:val="22"/>
        </w:rPr>
      </w:pPr>
      <w:r w:rsidRPr="00AC2877">
        <w:rPr>
          <w:rFonts w:ascii="Garamond" w:hAnsi="Garamond"/>
          <w:b/>
          <w:bCs/>
          <w:sz w:val="22"/>
          <w:szCs w:val="22"/>
        </w:rPr>
        <w:t>Prepared By:</w:t>
      </w:r>
    </w:p>
    <w:p w14:paraId="7BEB4D5D" w14:textId="1108F02D" w:rsidR="007E6F05" w:rsidRPr="00AC2877" w:rsidRDefault="007E6F05" w:rsidP="007E6F05">
      <w:pPr>
        <w:jc w:val="center"/>
        <w:rPr>
          <w:rFonts w:ascii="Garamond" w:hAnsi="Garamond"/>
          <w:sz w:val="22"/>
          <w:szCs w:val="22"/>
        </w:rPr>
      </w:pPr>
      <w:r w:rsidRPr="00AC2877">
        <w:rPr>
          <w:rFonts w:ascii="Garamond" w:hAnsi="Garamond"/>
          <w:sz w:val="22"/>
          <w:szCs w:val="22"/>
        </w:rPr>
        <w:t>Nicolas Lucero</w:t>
      </w:r>
    </w:p>
    <w:p w14:paraId="0D03D24A" w14:textId="77777777" w:rsidR="007E6F05" w:rsidRPr="00AC2877" w:rsidRDefault="007E6F05" w:rsidP="007E6F05">
      <w:pPr>
        <w:jc w:val="center"/>
        <w:rPr>
          <w:rFonts w:ascii="Garamond" w:hAnsi="Garamond"/>
          <w:sz w:val="22"/>
          <w:szCs w:val="22"/>
        </w:rPr>
      </w:pPr>
      <w:r w:rsidRPr="00AC2877">
        <w:rPr>
          <w:rFonts w:ascii="Garamond" w:hAnsi="Garamond"/>
          <w:sz w:val="22"/>
          <w:szCs w:val="22"/>
        </w:rPr>
        <w:t>Independent Quantitative Analyst</w:t>
      </w:r>
    </w:p>
    <w:p w14:paraId="4C646CAD" w14:textId="77777777" w:rsidR="007E6F05" w:rsidRPr="00AC2877" w:rsidRDefault="007E6F05" w:rsidP="007E6F05">
      <w:pPr>
        <w:jc w:val="center"/>
        <w:rPr>
          <w:rFonts w:ascii="Garamond" w:hAnsi="Garamond"/>
          <w:sz w:val="22"/>
          <w:szCs w:val="22"/>
        </w:rPr>
      </w:pPr>
    </w:p>
    <w:p w14:paraId="6CA8E66F" w14:textId="77777777" w:rsidR="007E6F05" w:rsidRPr="00AC2877" w:rsidRDefault="007E6F05" w:rsidP="007E6F05">
      <w:pPr>
        <w:jc w:val="center"/>
        <w:rPr>
          <w:rFonts w:ascii="Garamond" w:hAnsi="Garamond"/>
          <w:sz w:val="22"/>
          <w:szCs w:val="22"/>
        </w:rPr>
      </w:pPr>
    </w:p>
    <w:p w14:paraId="75955138" w14:textId="77777777" w:rsidR="007E6F05" w:rsidRPr="00AC2877" w:rsidRDefault="007E6F05" w:rsidP="007E6F05">
      <w:pPr>
        <w:jc w:val="center"/>
        <w:rPr>
          <w:rFonts w:ascii="Garamond" w:hAnsi="Garamond"/>
          <w:sz w:val="22"/>
          <w:szCs w:val="22"/>
        </w:rPr>
      </w:pPr>
    </w:p>
    <w:p w14:paraId="1D9A9018" w14:textId="77777777" w:rsidR="007E6F05" w:rsidRPr="00AC2877" w:rsidRDefault="007E6F05" w:rsidP="007E6F05">
      <w:pPr>
        <w:jc w:val="center"/>
        <w:rPr>
          <w:rFonts w:ascii="Garamond" w:hAnsi="Garamond"/>
          <w:sz w:val="22"/>
          <w:szCs w:val="22"/>
        </w:rPr>
      </w:pPr>
    </w:p>
    <w:p w14:paraId="26CD7202" w14:textId="77777777" w:rsidR="007E6F05" w:rsidRPr="00AC2877" w:rsidRDefault="007E6F05" w:rsidP="007E6F05">
      <w:pPr>
        <w:jc w:val="center"/>
        <w:rPr>
          <w:rFonts w:ascii="Garamond" w:hAnsi="Garamond"/>
          <w:sz w:val="22"/>
          <w:szCs w:val="22"/>
        </w:rPr>
      </w:pPr>
    </w:p>
    <w:p w14:paraId="140327FD" w14:textId="77777777" w:rsidR="007E6F05" w:rsidRPr="00AC2877" w:rsidRDefault="007E6F05" w:rsidP="007E6F05">
      <w:pPr>
        <w:jc w:val="center"/>
        <w:rPr>
          <w:rFonts w:ascii="Garamond" w:hAnsi="Garamond"/>
          <w:sz w:val="22"/>
          <w:szCs w:val="22"/>
        </w:rPr>
      </w:pPr>
    </w:p>
    <w:p w14:paraId="26D7242F" w14:textId="77777777" w:rsidR="007E6F05" w:rsidRPr="00AC2877" w:rsidRDefault="007E6F05" w:rsidP="007E6F05">
      <w:pPr>
        <w:jc w:val="center"/>
        <w:rPr>
          <w:rFonts w:ascii="Garamond" w:hAnsi="Garamond"/>
          <w:sz w:val="22"/>
          <w:szCs w:val="22"/>
        </w:rPr>
      </w:pPr>
    </w:p>
    <w:p w14:paraId="1525C1AB" w14:textId="77777777" w:rsidR="007E6F05" w:rsidRPr="00AC2877" w:rsidRDefault="007E6F05" w:rsidP="007E6F05">
      <w:pPr>
        <w:jc w:val="center"/>
        <w:rPr>
          <w:rFonts w:ascii="Garamond" w:hAnsi="Garamond"/>
          <w:sz w:val="22"/>
          <w:szCs w:val="22"/>
        </w:rPr>
      </w:pPr>
    </w:p>
    <w:p w14:paraId="204CFD39" w14:textId="77777777" w:rsidR="007E6F05" w:rsidRPr="00AC2877" w:rsidRDefault="007E6F05" w:rsidP="007E6F05">
      <w:pPr>
        <w:jc w:val="center"/>
        <w:rPr>
          <w:rFonts w:ascii="Garamond" w:hAnsi="Garamond"/>
          <w:sz w:val="22"/>
          <w:szCs w:val="22"/>
        </w:rPr>
      </w:pPr>
    </w:p>
    <w:p w14:paraId="479554C1" w14:textId="77777777" w:rsidR="007E6F05" w:rsidRPr="00AC2877" w:rsidRDefault="007E6F05" w:rsidP="007E6F05">
      <w:pPr>
        <w:jc w:val="center"/>
        <w:rPr>
          <w:rFonts w:ascii="Garamond" w:hAnsi="Garamond"/>
          <w:sz w:val="22"/>
          <w:szCs w:val="22"/>
        </w:rPr>
      </w:pPr>
    </w:p>
    <w:p w14:paraId="14158B6F" w14:textId="77777777" w:rsidR="00FB3AE0" w:rsidRPr="00AC2877" w:rsidRDefault="00FB3AE0" w:rsidP="007E6F05">
      <w:pPr>
        <w:jc w:val="center"/>
        <w:rPr>
          <w:rFonts w:ascii="Garamond" w:hAnsi="Garamond"/>
          <w:b/>
          <w:bCs/>
          <w:sz w:val="22"/>
          <w:szCs w:val="22"/>
        </w:rPr>
      </w:pPr>
    </w:p>
    <w:p w14:paraId="318A47AE" w14:textId="77777777" w:rsidR="00FB3AE0" w:rsidRPr="00AC2877" w:rsidRDefault="00FB3AE0" w:rsidP="007E6F05">
      <w:pPr>
        <w:jc w:val="center"/>
        <w:rPr>
          <w:rFonts w:ascii="Garamond" w:hAnsi="Garamond"/>
          <w:b/>
          <w:bCs/>
          <w:sz w:val="22"/>
          <w:szCs w:val="22"/>
        </w:rPr>
      </w:pPr>
    </w:p>
    <w:p w14:paraId="51FC4A31" w14:textId="77777777" w:rsidR="00AC2877" w:rsidRDefault="00AC2877" w:rsidP="007E6F05">
      <w:pPr>
        <w:jc w:val="center"/>
        <w:rPr>
          <w:rFonts w:ascii="Garamond" w:hAnsi="Garamond"/>
          <w:b/>
          <w:bCs/>
          <w:sz w:val="22"/>
          <w:szCs w:val="22"/>
        </w:rPr>
      </w:pPr>
    </w:p>
    <w:p w14:paraId="49AFD549" w14:textId="77777777" w:rsidR="00AC2877" w:rsidRDefault="00AC2877" w:rsidP="007E6F05">
      <w:pPr>
        <w:jc w:val="center"/>
        <w:rPr>
          <w:rFonts w:ascii="Garamond" w:hAnsi="Garamond"/>
          <w:b/>
          <w:bCs/>
          <w:sz w:val="22"/>
          <w:szCs w:val="22"/>
        </w:rPr>
      </w:pPr>
    </w:p>
    <w:p w14:paraId="3154EFA6" w14:textId="79963120" w:rsidR="007E6F05" w:rsidRPr="00AC2877" w:rsidRDefault="007E6F05" w:rsidP="007E6F05">
      <w:pPr>
        <w:jc w:val="center"/>
        <w:rPr>
          <w:rFonts w:ascii="Garamond" w:hAnsi="Garamond"/>
          <w:sz w:val="22"/>
          <w:szCs w:val="22"/>
        </w:rPr>
      </w:pPr>
      <w:r w:rsidRPr="00AC2877">
        <w:rPr>
          <w:rFonts w:ascii="Garamond" w:hAnsi="Garamond"/>
          <w:b/>
          <w:bCs/>
          <w:sz w:val="22"/>
          <w:szCs w:val="22"/>
        </w:rPr>
        <w:t>Document Control &amp; Version History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50"/>
        <w:gridCol w:w="1211"/>
        <w:gridCol w:w="1722"/>
        <w:gridCol w:w="4056"/>
      </w:tblGrid>
      <w:tr w:rsidR="007E6F05" w:rsidRPr="00AC2877" w14:paraId="4C1AB176" w14:textId="77777777" w:rsidTr="00AC2877">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A831B" w14:textId="77777777" w:rsidR="007E6F05" w:rsidRPr="00AC2877" w:rsidRDefault="007E6F05" w:rsidP="007E6F05">
            <w:pPr>
              <w:jc w:val="center"/>
              <w:rPr>
                <w:rFonts w:ascii="Garamond" w:hAnsi="Garamond"/>
                <w:sz w:val="22"/>
                <w:szCs w:val="22"/>
              </w:rPr>
            </w:pPr>
            <w:r w:rsidRPr="00AC2877">
              <w:rPr>
                <w:rFonts w:ascii="Garamond" w:hAnsi="Garamond"/>
                <w:b/>
                <w:bCs/>
                <w:sz w:val="22"/>
                <w:szCs w:val="22"/>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46771" w14:textId="77777777" w:rsidR="007E6F05" w:rsidRPr="00AC2877" w:rsidRDefault="007E6F05" w:rsidP="007E6F05">
            <w:pPr>
              <w:jc w:val="center"/>
              <w:rPr>
                <w:rFonts w:ascii="Garamond" w:hAnsi="Garamond"/>
                <w:sz w:val="22"/>
                <w:szCs w:val="22"/>
              </w:rPr>
            </w:pPr>
            <w:r w:rsidRPr="00AC2877">
              <w:rPr>
                <w:rFonts w:ascii="Garamond" w:hAnsi="Garamond"/>
                <w:b/>
                <w:bCs/>
                <w:sz w:val="22"/>
                <w:szCs w:val="22"/>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14294" w14:textId="77777777" w:rsidR="007E6F05" w:rsidRPr="00AC2877" w:rsidRDefault="007E6F05" w:rsidP="007E6F05">
            <w:pPr>
              <w:jc w:val="center"/>
              <w:rPr>
                <w:rFonts w:ascii="Garamond" w:hAnsi="Garamond"/>
                <w:sz w:val="22"/>
                <w:szCs w:val="22"/>
              </w:rPr>
            </w:pPr>
            <w:r w:rsidRPr="00AC2877">
              <w:rPr>
                <w:rFonts w:ascii="Garamond" w:hAnsi="Garamond"/>
                <w:b/>
                <w:bCs/>
                <w:sz w:val="22"/>
                <w:szCs w:val="22"/>
              </w:rPr>
              <w:t>Author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3EA28" w14:textId="77777777" w:rsidR="007E6F05" w:rsidRPr="00AC2877" w:rsidRDefault="007E6F05" w:rsidP="007E6F05">
            <w:pPr>
              <w:jc w:val="center"/>
              <w:rPr>
                <w:rFonts w:ascii="Garamond" w:hAnsi="Garamond"/>
                <w:sz w:val="22"/>
                <w:szCs w:val="22"/>
              </w:rPr>
            </w:pPr>
            <w:r w:rsidRPr="00AC2877">
              <w:rPr>
                <w:rFonts w:ascii="Garamond" w:hAnsi="Garamond"/>
                <w:b/>
                <w:bCs/>
                <w:sz w:val="22"/>
                <w:szCs w:val="22"/>
              </w:rPr>
              <w:t>Description of Changes</w:t>
            </w:r>
          </w:p>
        </w:tc>
      </w:tr>
      <w:tr w:rsidR="007E6F05" w:rsidRPr="00AC2877" w14:paraId="2C12EFC8" w14:textId="77777777" w:rsidTr="00AC287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6C6CC" w14:textId="77777777" w:rsidR="007E6F05" w:rsidRPr="00AC2877" w:rsidRDefault="007E6F05" w:rsidP="007E6F05">
            <w:pPr>
              <w:jc w:val="center"/>
              <w:rPr>
                <w:rFonts w:ascii="Garamond" w:hAnsi="Garamond"/>
                <w:sz w:val="22"/>
                <w:szCs w:val="22"/>
              </w:rPr>
            </w:pPr>
            <w:r w:rsidRPr="00AC2877">
              <w:rPr>
                <w:rFonts w:ascii="Garamond" w:hAnsi="Garamond"/>
                <w:sz w:val="22"/>
                <w:szCs w:val="22"/>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54C28" w14:textId="77777777" w:rsidR="007E6F05" w:rsidRPr="00AC2877" w:rsidRDefault="007E6F05" w:rsidP="007E6F05">
            <w:pPr>
              <w:jc w:val="center"/>
              <w:rPr>
                <w:rFonts w:ascii="Garamond" w:hAnsi="Garamond"/>
                <w:sz w:val="22"/>
                <w:szCs w:val="22"/>
              </w:rPr>
            </w:pPr>
            <w:r w:rsidRPr="00AC2877">
              <w:rPr>
                <w:rFonts w:ascii="Garamond" w:hAnsi="Garamond"/>
                <w:sz w:val="22"/>
                <w:szCs w:val="22"/>
              </w:rPr>
              <w:t>July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7A8BF" w14:textId="25316A09" w:rsidR="007E6F05" w:rsidRPr="00AC2877" w:rsidRDefault="007E6F05" w:rsidP="007E6F05">
            <w:pPr>
              <w:jc w:val="center"/>
              <w:rPr>
                <w:rFonts w:ascii="Garamond" w:hAnsi="Garamond"/>
                <w:sz w:val="22"/>
                <w:szCs w:val="22"/>
              </w:rPr>
            </w:pPr>
            <w:r w:rsidRPr="00AC2877">
              <w:rPr>
                <w:rFonts w:ascii="Garamond" w:hAnsi="Garamond"/>
                <w:sz w:val="22"/>
                <w:szCs w:val="22"/>
              </w:rPr>
              <w:t>Nicolas Lucero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177EF" w14:textId="77777777" w:rsidR="007E6F05" w:rsidRPr="00AC2877" w:rsidRDefault="007E6F05" w:rsidP="007E6F05">
            <w:pPr>
              <w:jc w:val="center"/>
              <w:rPr>
                <w:rFonts w:ascii="Garamond" w:hAnsi="Garamond"/>
                <w:sz w:val="22"/>
                <w:szCs w:val="22"/>
              </w:rPr>
            </w:pPr>
            <w:r w:rsidRPr="00AC2877">
              <w:rPr>
                <w:rFonts w:ascii="Garamond" w:hAnsi="Garamond"/>
                <w:sz w:val="22"/>
                <w:szCs w:val="22"/>
              </w:rPr>
              <w:t>Initial Validation under SR 11-7 standards.</w:t>
            </w:r>
          </w:p>
        </w:tc>
      </w:tr>
    </w:tbl>
    <w:p w14:paraId="7FFC4601" w14:textId="3FA750B1" w:rsidR="00AC2877" w:rsidRDefault="00AC2877" w:rsidP="00E85113">
      <w:pPr>
        <w:rPr>
          <w:rFonts w:ascii="Garamond" w:hAnsi="Garamond"/>
          <w:sz w:val="22"/>
          <w:szCs w:val="22"/>
        </w:rPr>
      </w:pPr>
    </w:p>
    <w:p w14:paraId="14DDDF20" w14:textId="12C6F3E2" w:rsidR="00BC6049" w:rsidRPr="00AC2877" w:rsidRDefault="00AC2877" w:rsidP="00AC2877">
      <w:pPr>
        <w:jc w:val="center"/>
        <w:rPr>
          <w:rFonts w:ascii="Garamond" w:hAnsi="Garamond"/>
          <w:sz w:val="22"/>
          <w:szCs w:val="22"/>
        </w:rPr>
      </w:pPr>
      <w:r>
        <w:rPr>
          <w:rFonts w:ascii="Garamond" w:hAnsi="Garamond"/>
          <w:sz w:val="22"/>
          <w:szCs w:val="22"/>
        </w:rPr>
        <w:br w:type="page"/>
      </w:r>
      <w:r w:rsidR="00BC6049" w:rsidRPr="00AC2877">
        <w:rPr>
          <w:rFonts w:ascii="Garamond" w:hAnsi="Garamond"/>
          <w:b/>
          <w:bCs/>
          <w:sz w:val="22"/>
          <w:szCs w:val="22"/>
        </w:rPr>
        <w:lastRenderedPageBreak/>
        <w:t>MODEL VALIDATION REPORT: IRRBB &amp; ALM Sensitivity</w:t>
      </w:r>
    </w:p>
    <w:p w14:paraId="1EC5997B"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Date of Review:</w:t>
      </w:r>
      <w:r w:rsidRPr="00AC2877">
        <w:rPr>
          <w:rFonts w:ascii="Garamond" w:hAnsi="Garamond"/>
          <w:sz w:val="22"/>
          <w:szCs w:val="22"/>
        </w:rPr>
        <w:t xml:space="preserve"> July 2026</w:t>
      </w:r>
    </w:p>
    <w:p w14:paraId="1D9DC8C5"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Model Owner:</w:t>
      </w:r>
      <w:r w:rsidRPr="00AC2877">
        <w:rPr>
          <w:rFonts w:ascii="Garamond" w:hAnsi="Garamond"/>
          <w:sz w:val="22"/>
          <w:szCs w:val="22"/>
        </w:rPr>
        <w:t xml:space="preserve"> Corporate Treasury &amp; ALM Desk</w:t>
      </w:r>
    </w:p>
    <w:p w14:paraId="492BF32D" w14:textId="25CBEE52" w:rsidR="00BC6049" w:rsidRPr="00AC2877" w:rsidRDefault="00BC6049" w:rsidP="00BC6049">
      <w:pPr>
        <w:jc w:val="center"/>
        <w:rPr>
          <w:rFonts w:ascii="Garamond" w:hAnsi="Garamond"/>
          <w:sz w:val="22"/>
          <w:szCs w:val="22"/>
        </w:rPr>
      </w:pPr>
      <w:r w:rsidRPr="00AC2877">
        <w:rPr>
          <w:rFonts w:ascii="Garamond" w:hAnsi="Garamond"/>
          <w:b/>
          <w:bCs/>
          <w:sz w:val="22"/>
          <w:szCs w:val="22"/>
        </w:rPr>
        <w:t>Validator:</w:t>
      </w:r>
      <w:r w:rsidRPr="00AC2877">
        <w:rPr>
          <w:rFonts w:ascii="Garamond" w:hAnsi="Garamond"/>
          <w:sz w:val="22"/>
          <w:szCs w:val="22"/>
        </w:rPr>
        <w:t xml:space="preserve"> </w:t>
      </w:r>
      <w:r w:rsidRPr="00AC2877">
        <w:rPr>
          <w:rFonts w:ascii="Garamond" w:hAnsi="Garamond"/>
          <w:sz w:val="22"/>
          <w:szCs w:val="22"/>
        </w:rPr>
        <w:t>Nicolas Lucero</w:t>
      </w:r>
      <w:r w:rsidRPr="00AC2877">
        <w:rPr>
          <w:rFonts w:ascii="Garamond" w:hAnsi="Garamond"/>
          <w:sz w:val="22"/>
          <w:szCs w:val="22"/>
        </w:rPr>
        <w:t>, Independent Quantitative Analyst</w:t>
      </w:r>
    </w:p>
    <w:p w14:paraId="48DC73CA" w14:textId="77777777" w:rsidR="00555DDE" w:rsidRPr="00AC2877" w:rsidRDefault="00555DDE" w:rsidP="00BC6049">
      <w:pPr>
        <w:jc w:val="center"/>
        <w:rPr>
          <w:rFonts w:ascii="Garamond" w:hAnsi="Garamond"/>
          <w:b/>
          <w:bCs/>
          <w:sz w:val="22"/>
          <w:szCs w:val="22"/>
        </w:rPr>
      </w:pPr>
    </w:p>
    <w:p w14:paraId="0953499E" w14:textId="1EF2AA20" w:rsidR="00555DDE" w:rsidRPr="00AC2877" w:rsidRDefault="00E85113" w:rsidP="00E85113">
      <w:pPr>
        <w:rPr>
          <w:rFonts w:ascii="Garamond" w:hAnsi="Garamond"/>
          <w:b/>
          <w:bCs/>
          <w:sz w:val="22"/>
          <w:szCs w:val="22"/>
        </w:rPr>
      </w:pPr>
      <w:r w:rsidRPr="00AC2877">
        <w:rPr>
          <w:rFonts w:ascii="Garamond" w:hAnsi="Garamond"/>
          <w:b/>
          <w:bCs/>
          <w:sz w:val="22"/>
          <w:szCs w:val="22"/>
        </w:rPr>
        <w:br w:type="page"/>
      </w:r>
    </w:p>
    <w:p w14:paraId="361CD55F" w14:textId="76788A01" w:rsidR="00BC6049" w:rsidRPr="00BE503F" w:rsidRDefault="00BC6049" w:rsidP="00BC6049">
      <w:pPr>
        <w:jc w:val="center"/>
        <w:rPr>
          <w:rFonts w:ascii="Garamond" w:hAnsi="Garamond"/>
          <w:b/>
          <w:bCs/>
          <w:sz w:val="22"/>
          <w:szCs w:val="22"/>
          <w:u w:val="single"/>
        </w:rPr>
      </w:pPr>
      <w:r w:rsidRPr="00BE503F">
        <w:rPr>
          <w:rFonts w:ascii="Garamond" w:hAnsi="Garamond"/>
          <w:b/>
          <w:bCs/>
          <w:sz w:val="22"/>
          <w:szCs w:val="22"/>
          <w:u w:val="single"/>
        </w:rPr>
        <w:lastRenderedPageBreak/>
        <w:t>1. Executive Summary</w:t>
      </w:r>
    </w:p>
    <w:p w14:paraId="0B32770E" w14:textId="77777777" w:rsidR="00BC6049" w:rsidRPr="00AC2877" w:rsidRDefault="00BC6049" w:rsidP="00BC6049">
      <w:pPr>
        <w:numPr>
          <w:ilvl w:val="0"/>
          <w:numId w:val="1"/>
        </w:numPr>
        <w:jc w:val="center"/>
        <w:rPr>
          <w:rFonts w:ascii="Garamond" w:hAnsi="Garamond"/>
          <w:sz w:val="22"/>
          <w:szCs w:val="22"/>
        </w:rPr>
      </w:pPr>
      <w:r w:rsidRPr="00AC2877">
        <w:rPr>
          <w:rFonts w:ascii="Garamond" w:hAnsi="Garamond"/>
          <w:b/>
          <w:bCs/>
          <w:sz w:val="22"/>
          <w:szCs w:val="22"/>
        </w:rPr>
        <w:t>Model Name:</w:t>
      </w:r>
      <w:r w:rsidRPr="00AC2877">
        <w:rPr>
          <w:rFonts w:ascii="Garamond" w:hAnsi="Garamond"/>
          <w:sz w:val="22"/>
          <w:szCs w:val="22"/>
        </w:rPr>
        <w:t xml:space="preserve"> Asset-Liability Management (ALM) NII &amp; EVE Sensitivity Simulator</w:t>
      </w:r>
    </w:p>
    <w:p w14:paraId="2A0E09E3" w14:textId="77777777" w:rsidR="00BC6049" w:rsidRPr="00AC2877" w:rsidRDefault="00BC6049" w:rsidP="00BC6049">
      <w:pPr>
        <w:numPr>
          <w:ilvl w:val="0"/>
          <w:numId w:val="1"/>
        </w:numPr>
        <w:jc w:val="center"/>
        <w:rPr>
          <w:rFonts w:ascii="Garamond" w:hAnsi="Garamond"/>
          <w:sz w:val="22"/>
          <w:szCs w:val="22"/>
        </w:rPr>
      </w:pPr>
      <w:r w:rsidRPr="00AC2877">
        <w:rPr>
          <w:rFonts w:ascii="Garamond" w:hAnsi="Garamond"/>
          <w:b/>
          <w:bCs/>
          <w:sz w:val="22"/>
          <w:szCs w:val="22"/>
        </w:rPr>
        <w:t>Validation Conclusion:</w:t>
      </w:r>
      <w:r w:rsidRPr="00AC2877">
        <w:rPr>
          <w:rFonts w:ascii="Garamond" w:hAnsi="Garamond"/>
          <w:sz w:val="22"/>
          <w:szCs w:val="22"/>
        </w:rPr>
        <w:t xml:space="preserve"> </w:t>
      </w:r>
      <w:r w:rsidRPr="00AC2877">
        <w:rPr>
          <w:rFonts w:ascii="Garamond" w:hAnsi="Garamond"/>
          <w:b/>
          <w:bCs/>
          <w:sz w:val="22"/>
          <w:szCs w:val="22"/>
        </w:rPr>
        <w:t>Approved with Conditions</w:t>
      </w:r>
    </w:p>
    <w:p w14:paraId="779E0CF9" w14:textId="77777777" w:rsidR="00BC6049" w:rsidRPr="00AC2877" w:rsidRDefault="00BC6049" w:rsidP="00BC6049">
      <w:pPr>
        <w:numPr>
          <w:ilvl w:val="0"/>
          <w:numId w:val="1"/>
        </w:numPr>
        <w:jc w:val="center"/>
        <w:rPr>
          <w:rFonts w:ascii="Garamond" w:hAnsi="Garamond"/>
          <w:sz w:val="22"/>
          <w:szCs w:val="22"/>
        </w:rPr>
      </w:pPr>
      <w:r w:rsidRPr="00AC2877">
        <w:rPr>
          <w:rFonts w:ascii="Garamond" w:hAnsi="Garamond"/>
          <w:b/>
          <w:bCs/>
          <w:sz w:val="22"/>
          <w:szCs w:val="22"/>
        </w:rPr>
        <w:t>Overall Risk Rating:</w:t>
      </w:r>
      <w:r w:rsidRPr="00AC2877">
        <w:rPr>
          <w:rFonts w:ascii="Garamond" w:hAnsi="Garamond"/>
          <w:sz w:val="22"/>
          <w:szCs w:val="22"/>
        </w:rPr>
        <w:t xml:space="preserve"> High</w:t>
      </w:r>
    </w:p>
    <w:p w14:paraId="05649F8D" w14:textId="1560F324" w:rsidR="00BC6049" w:rsidRPr="00AC2877" w:rsidRDefault="00BC6049" w:rsidP="007B1A61">
      <w:pPr>
        <w:jc w:val="center"/>
        <w:rPr>
          <w:rFonts w:ascii="Garamond" w:hAnsi="Garamond"/>
          <w:sz w:val="22"/>
          <w:szCs w:val="22"/>
        </w:rPr>
      </w:pPr>
      <w:r w:rsidRPr="00AC2877">
        <w:rPr>
          <w:rFonts w:ascii="Garamond" w:hAnsi="Garamond"/>
          <w:b/>
          <w:bCs/>
          <w:sz w:val="22"/>
          <w:szCs w:val="22"/>
        </w:rPr>
        <w:t>Validation Abstract</w:t>
      </w:r>
    </w:p>
    <w:p w14:paraId="004997B4" w14:textId="77777777" w:rsidR="00BC6049" w:rsidRPr="00AC2877" w:rsidRDefault="00BC6049" w:rsidP="007B1A61">
      <w:pPr>
        <w:rPr>
          <w:rFonts w:ascii="Garamond" w:hAnsi="Garamond"/>
          <w:sz w:val="22"/>
          <w:szCs w:val="22"/>
        </w:rPr>
      </w:pPr>
      <w:r w:rsidRPr="00AC2877">
        <w:rPr>
          <w:rFonts w:ascii="Garamond" w:hAnsi="Garamond"/>
          <w:sz w:val="22"/>
          <w:szCs w:val="22"/>
        </w:rPr>
        <w:t>An independent validation was conducted on the bank's Interest Rate Risk in the Banking Book (IRRBB) model. The model calculates both transient Net Interest Income (NII) compression and long-term Economic Value of Equity (EVE) destruction under stochastic rate simulations and regulatory parallel curve shocks. The mathematical framework utilizing a mean-reverting stochastic differential equation (SDE) is conceptually sound. However, the validation identified two critical structural assumptions—the absence of retail deposit betas and the exclusion of prepayment risk—that cause the model to systematically overestimate risk in rising-rate environments.</w:t>
      </w:r>
    </w:p>
    <w:p w14:paraId="224D7FB4" w14:textId="4920DF1E" w:rsidR="00BC6049" w:rsidRPr="00AC2877" w:rsidRDefault="00BC6049" w:rsidP="00BC6049">
      <w:pPr>
        <w:jc w:val="center"/>
        <w:rPr>
          <w:rFonts w:ascii="Garamond" w:hAnsi="Garamond"/>
          <w:sz w:val="22"/>
          <w:szCs w:val="22"/>
        </w:rPr>
      </w:pPr>
      <w:r w:rsidRPr="00AC2877">
        <w:rPr>
          <w:rFonts w:ascii="Garamond" w:hAnsi="Garamond"/>
          <w:b/>
          <w:bCs/>
          <w:sz w:val="22"/>
          <w:szCs w:val="22"/>
        </w:rPr>
        <w:t>Key Findings &amp; Conditions for Approval</w:t>
      </w:r>
    </w:p>
    <w:p w14:paraId="1228CF6C" w14:textId="77777777" w:rsidR="00BC6049" w:rsidRPr="00AC2877" w:rsidRDefault="00BC6049" w:rsidP="00BC6049">
      <w:pPr>
        <w:numPr>
          <w:ilvl w:val="0"/>
          <w:numId w:val="2"/>
        </w:numPr>
        <w:jc w:val="center"/>
        <w:rPr>
          <w:rFonts w:ascii="Garamond" w:hAnsi="Garamond"/>
          <w:sz w:val="22"/>
          <w:szCs w:val="22"/>
        </w:rPr>
      </w:pPr>
      <w:r w:rsidRPr="00AC2877">
        <w:rPr>
          <w:rFonts w:ascii="Garamond" w:hAnsi="Garamond"/>
          <w:b/>
          <w:bCs/>
          <w:sz w:val="22"/>
          <w:szCs w:val="22"/>
        </w:rPr>
        <w:t>Condition 1 (Zero-Floor Implementation):</w:t>
      </w:r>
      <w:r w:rsidRPr="00AC2877">
        <w:rPr>
          <w:rFonts w:ascii="Garamond" w:hAnsi="Garamond"/>
          <w:sz w:val="22"/>
          <w:szCs w:val="22"/>
        </w:rPr>
        <w:t xml:space="preserve"> The underlying Vasicek SDE allows for negative interest rates under high-volatility scenarios. A hard-coded 0% floor must be implemented for all US-based retail deposit liability pathways.</w:t>
      </w:r>
    </w:p>
    <w:p w14:paraId="42AA187C" w14:textId="77777777" w:rsidR="00BC6049" w:rsidRPr="00AC2877" w:rsidRDefault="00BC6049" w:rsidP="00BC6049">
      <w:pPr>
        <w:numPr>
          <w:ilvl w:val="0"/>
          <w:numId w:val="2"/>
        </w:numPr>
        <w:jc w:val="center"/>
        <w:rPr>
          <w:rFonts w:ascii="Garamond" w:hAnsi="Garamond"/>
          <w:sz w:val="22"/>
          <w:szCs w:val="22"/>
        </w:rPr>
      </w:pPr>
      <w:r w:rsidRPr="00AC2877">
        <w:rPr>
          <w:rFonts w:ascii="Garamond" w:hAnsi="Garamond"/>
          <w:b/>
          <w:bCs/>
          <w:sz w:val="22"/>
          <w:szCs w:val="22"/>
        </w:rPr>
        <w:t>Condition 2 (Deposit Beta Integration):</w:t>
      </w:r>
      <w:r w:rsidRPr="00AC2877">
        <w:rPr>
          <w:rFonts w:ascii="Garamond" w:hAnsi="Garamond"/>
          <w:sz w:val="22"/>
          <w:szCs w:val="22"/>
        </w:rPr>
        <w:t xml:space="preserve"> The model currently assumes a 1.0 correlation (100% pass-through) between market rates and liability repricing. Treasury must implement empirical deposit betas before using NII projections for capital allocation.</w:t>
      </w:r>
    </w:p>
    <w:p w14:paraId="127A1402" w14:textId="77777777" w:rsidR="00BC6049" w:rsidRPr="00BE503F" w:rsidRDefault="00BC6049" w:rsidP="00BC6049">
      <w:pPr>
        <w:jc w:val="center"/>
        <w:rPr>
          <w:rFonts w:ascii="Garamond" w:hAnsi="Garamond"/>
          <w:b/>
          <w:bCs/>
          <w:sz w:val="22"/>
          <w:szCs w:val="22"/>
          <w:u w:val="single"/>
        </w:rPr>
      </w:pPr>
      <w:r w:rsidRPr="00BE503F">
        <w:rPr>
          <w:rFonts w:ascii="Garamond" w:hAnsi="Garamond"/>
          <w:b/>
          <w:bCs/>
          <w:sz w:val="22"/>
          <w:szCs w:val="22"/>
          <w:u w:val="single"/>
        </w:rPr>
        <w:t>2. Model Purpose &amp; Use Scope</w:t>
      </w:r>
    </w:p>
    <w:p w14:paraId="705E44B9" w14:textId="77777777" w:rsidR="00BC6049" w:rsidRPr="00AC2877" w:rsidRDefault="00BC6049" w:rsidP="00BC6049">
      <w:pPr>
        <w:jc w:val="center"/>
        <w:rPr>
          <w:rFonts w:ascii="Garamond" w:hAnsi="Garamond"/>
          <w:sz w:val="22"/>
          <w:szCs w:val="22"/>
        </w:rPr>
      </w:pPr>
      <w:r w:rsidRPr="00AC2877">
        <w:rPr>
          <w:rFonts w:ascii="Garamond" w:hAnsi="Garamond"/>
          <w:sz w:val="22"/>
          <w:szCs w:val="22"/>
        </w:rPr>
        <w:t>The model is designed to quantify the balance sheet risk generated by duration mismatch—specifically, the funding of long-term fixed-rate assets with short-term floating-rate liabilities.</w:t>
      </w:r>
    </w:p>
    <w:p w14:paraId="6B7F6FA8" w14:textId="77777777" w:rsidR="00BC6049" w:rsidRPr="00AC2877" w:rsidRDefault="00BC6049" w:rsidP="00BC6049">
      <w:pPr>
        <w:numPr>
          <w:ilvl w:val="0"/>
          <w:numId w:val="3"/>
        </w:numPr>
        <w:jc w:val="center"/>
        <w:rPr>
          <w:rFonts w:ascii="Garamond" w:hAnsi="Garamond"/>
          <w:sz w:val="22"/>
          <w:szCs w:val="22"/>
        </w:rPr>
      </w:pPr>
      <w:r w:rsidRPr="00AC2877">
        <w:rPr>
          <w:rFonts w:ascii="Garamond" w:hAnsi="Garamond"/>
          <w:b/>
          <w:bCs/>
          <w:sz w:val="22"/>
          <w:szCs w:val="22"/>
        </w:rPr>
        <w:t>Approved Use:</w:t>
      </w:r>
      <w:r w:rsidRPr="00AC2877">
        <w:rPr>
          <w:rFonts w:ascii="Garamond" w:hAnsi="Garamond"/>
          <w:sz w:val="22"/>
          <w:szCs w:val="22"/>
        </w:rPr>
        <w:t xml:space="preserve"> To project 12-month Net Interest Income (NII) under Monte Carlo simulated rate paths, and to calculate Economic Value of Equity (EVE) under standard regulatory +200 bps parallel yield curve shocks.</w:t>
      </w:r>
    </w:p>
    <w:p w14:paraId="12EB6304" w14:textId="621FBC9E" w:rsidR="00E85113" w:rsidRPr="00AC2877" w:rsidRDefault="00BC6049" w:rsidP="00BC6049">
      <w:pPr>
        <w:numPr>
          <w:ilvl w:val="0"/>
          <w:numId w:val="3"/>
        </w:numPr>
        <w:jc w:val="center"/>
        <w:rPr>
          <w:rFonts w:ascii="Garamond" w:hAnsi="Garamond"/>
          <w:sz w:val="22"/>
          <w:szCs w:val="22"/>
        </w:rPr>
      </w:pPr>
      <w:r w:rsidRPr="00AC2877">
        <w:rPr>
          <w:rFonts w:ascii="Garamond" w:hAnsi="Garamond"/>
          <w:b/>
          <w:bCs/>
          <w:sz w:val="22"/>
          <w:szCs w:val="22"/>
        </w:rPr>
        <w:t>Prohibited Use:</w:t>
      </w:r>
      <w:r w:rsidRPr="00AC2877">
        <w:rPr>
          <w:rFonts w:ascii="Garamond" w:hAnsi="Garamond"/>
          <w:sz w:val="22"/>
          <w:szCs w:val="22"/>
        </w:rPr>
        <w:t xml:space="preserve"> Not approved for pricing complex interest rate derivatives (e.g., swaptions) due to the lack of an arbitrage-free framework (such as the Heath-Jarrow-Morton model).</w:t>
      </w:r>
    </w:p>
    <w:p w14:paraId="6B4241FA" w14:textId="38E57CD3" w:rsidR="00BC6049" w:rsidRPr="00BE503F" w:rsidRDefault="00BC6049" w:rsidP="00E85113">
      <w:pPr>
        <w:jc w:val="center"/>
        <w:rPr>
          <w:rFonts w:ascii="Garamond" w:hAnsi="Garamond"/>
          <w:sz w:val="22"/>
          <w:szCs w:val="22"/>
          <w:u w:val="single"/>
        </w:rPr>
      </w:pPr>
      <w:r w:rsidRPr="00BE503F">
        <w:rPr>
          <w:rFonts w:ascii="Garamond" w:hAnsi="Garamond"/>
          <w:b/>
          <w:bCs/>
          <w:sz w:val="22"/>
          <w:szCs w:val="22"/>
          <w:u w:val="single"/>
        </w:rPr>
        <w:t>3. Conceptual Soundness</w:t>
      </w:r>
    </w:p>
    <w:p w14:paraId="37954F68" w14:textId="1D25506C" w:rsidR="00DE4B91" w:rsidRPr="006204C1" w:rsidRDefault="00BC6049" w:rsidP="006204C1">
      <w:pPr>
        <w:jc w:val="center"/>
        <w:rPr>
          <w:rFonts w:ascii="Garamond" w:hAnsi="Garamond"/>
          <w:sz w:val="22"/>
          <w:szCs w:val="22"/>
        </w:rPr>
      </w:pPr>
      <w:r w:rsidRPr="00AC2877">
        <w:rPr>
          <w:rFonts w:ascii="Garamond" w:hAnsi="Garamond"/>
          <w:sz w:val="22"/>
          <w:szCs w:val="22"/>
        </w:rPr>
        <w:t>Interest rate dynamics are modeled using the Vasicek framework, mathematically equivalent to an Ornstein-</w:t>
      </w:r>
      <w:proofErr w:type="spellStart"/>
      <w:r w:rsidRPr="00AC2877">
        <w:rPr>
          <w:rFonts w:ascii="Garamond" w:hAnsi="Garamond"/>
          <w:sz w:val="22"/>
          <w:szCs w:val="22"/>
        </w:rPr>
        <w:t>Uhlenbeck</w:t>
      </w:r>
      <w:proofErr w:type="spellEnd"/>
      <w:r w:rsidRPr="00AC2877">
        <w:rPr>
          <w:rFonts w:ascii="Garamond" w:hAnsi="Garamond"/>
          <w:sz w:val="22"/>
          <w:szCs w:val="22"/>
        </w:rPr>
        <w:t xml:space="preserve"> physical process.</w:t>
      </w:r>
    </w:p>
    <w:p w14:paraId="1A6DD796" w14:textId="43CD5727" w:rsidR="00BC6049" w:rsidRPr="00AC2877" w:rsidRDefault="00BC6049" w:rsidP="00BE503F">
      <w:pPr>
        <w:rPr>
          <w:rFonts w:ascii="Garamond" w:hAnsi="Garamond"/>
          <w:b/>
          <w:bCs/>
          <w:sz w:val="22"/>
          <w:szCs w:val="22"/>
        </w:rPr>
      </w:pPr>
      <w:r w:rsidRPr="00AC2877">
        <w:rPr>
          <w:rFonts w:ascii="Garamond" w:hAnsi="Garamond"/>
          <w:b/>
          <w:bCs/>
          <w:sz w:val="22"/>
          <w:szCs w:val="22"/>
        </w:rPr>
        <w:t>3.1 Mathematical Framework</w:t>
      </w:r>
    </w:p>
    <w:p w14:paraId="02F459FB" w14:textId="440C0EEB" w:rsidR="00BC6049" w:rsidRPr="00AC2877" w:rsidRDefault="00BC6049" w:rsidP="00BC6049">
      <w:pPr>
        <w:jc w:val="center"/>
        <w:rPr>
          <w:rFonts w:ascii="Garamond" w:hAnsi="Garamond"/>
          <w:sz w:val="22"/>
          <w:szCs w:val="22"/>
        </w:rPr>
      </w:pPr>
      <w:r w:rsidRPr="00AC2877">
        <w:rPr>
          <w:rFonts w:ascii="Garamond" w:hAnsi="Garamond"/>
          <w:sz w:val="22"/>
          <w:szCs w:val="22"/>
        </w:rPr>
        <w:t>The simulation generates forward-looking interest rate paths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t</m:t>
            </m:r>
          </m:sub>
        </m:sSub>
      </m:oMath>
      <w:r w:rsidRPr="00AC2877">
        <w:rPr>
          <w:rFonts w:ascii="Garamond" w:hAnsi="Garamond"/>
          <w:sz w:val="22"/>
          <w:szCs w:val="22"/>
        </w:rPr>
        <w:t>) using the following stochastic differential equation:</w:t>
      </w:r>
    </w:p>
    <w:p w14:paraId="732CA668" w14:textId="194B032C" w:rsidR="00BC6049" w:rsidRPr="00AC2877" w:rsidRDefault="00BC6049" w:rsidP="00BC6049">
      <w:pPr>
        <w:jc w:val="center"/>
        <w:rPr>
          <w:rFonts w:ascii="Garamond" w:hAnsi="Garamond"/>
          <w:sz w:val="22"/>
          <w:szCs w:val="22"/>
        </w:rPr>
      </w:pPr>
      <m:oMathPara>
        <m:oMath>
          <m:r>
            <w:rPr>
              <w:rFonts w:ascii="Cambria Math" w:hAnsi="Cambria Math"/>
              <w:sz w:val="22"/>
              <w:szCs w:val="22"/>
            </w:rPr>
            <m:t>d</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t</m:t>
              </m:r>
            </m:sub>
          </m:sSub>
          <m:r>
            <w:rPr>
              <w:rFonts w:ascii="Cambria Math" w:hAnsi="Cambria Math"/>
              <w:sz w:val="22"/>
              <w:szCs w:val="22"/>
            </w:rPr>
            <m:t>=a</m:t>
          </m:r>
          <m:d>
            <m:dPr>
              <m:ctrlPr>
                <w:rPr>
                  <w:rFonts w:ascii="Cambria Math" w:hAnsi="Cambria Math"/>
                  <w:sz w:val="22"/>
                  <w:szCs w:val="22"/>
                </w:rPr>
              </m:ctrlPr>
            </m:dPr>
            <m:e>
              <m:r>
                <w:rPr>
                  <w:rFonts w:ascii="Cambria Math" w:hAnsi="Cambria Math"/>
                  <w:sz w:val="22"/>
                  <w:szCs w:val="22"/>
                </w:rPr>
                <m:t>b-</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t</m:t>
                  </m:r>
                </m:sub>
              </m:sSub>
            </m:e>
          </m:d>
          <m:r>
            <w:rPr>
              <w:rFonts w:ascii="Cambria Math" w:hAnsi="Cambria Math"/>
              <w:sz w:val="22"/>
              <w:szCs w:val="22"/>
            </w:rPr>
            <m:t>dt+σd</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t</m:t>
              </m:r>
            </m:sub>
          </m:sSub>
        </m:oMath>
      </m:oMathPara>
    </w:p>
    <w:p w14:paraId="12F8D4C7" w14:textId="77777777" w:rsidR="00BC6049" w:rsidRPr="00AC2877" w:rsidRDefault="00BC6049" w:rsidP="00BC6049">
      <w:pPr>
        <w:jc w:val="center"/>
        <w:rPr>
          <w:rFonts w:ascii="Garamond" w:hAnsi="Garamond"/>
          <w:sz w:val="22"/>
          <w:szCs w:val="22"/>
        </w:rPr>
      </w:pPr>
      <w:r w:rsidRPr="00AC2877">
        <w:rPr>
          <w:rFonts w:ascii="Garamond" w:hAnsi="Garamond"/>
          <w:sz w:val="22"/>
          <w:szCs w:val="22"/>
        </w:rPr>
        <w:lastRenderedPageBreak/>
        <w:t>Where:</w:t>
      </w:r>
    </w:p>
    <w:p w14:paraId="6F079D8C" w14:textId="47D8009E" w:rsidR="00BC6049" w:rsidRPr="00AC2877" w:rsidRDefault="00BC6049" w:rsidP="00BC6049">
      <w:pPr>
        <w:numPr>
          <w:ilvl w:val="0"/>
          <w:numId w:val="4"/>
        </w:numPr>
        <w:jc w:val="center"/>
        <w:rPr>
          <w:rFonts w:ascii="Garamond" w:hAnsi="Garamond"/>
          <w:sz w:val="22"/>
          <w:szCs w:val="22"/>
        </w:rPr>
      </w:pPr>
      <m:oMath>
        <m:r>
          <w:rPr>
            <w:rFonts w:ascii="Cambria Math" w:hAnsi="Cambria Math"/>
            <w:sz w:val="22"/>
            <w:szCs w:val="22"/>
          </w:rPr>
          <m:t>a</m:t>
        </m:r>
      </m:oMath>
      <w:r w:rsidRPr="00AC2877">
        <w:rPr>
          <w:rFonts w:ascii="Garamond" w:hAnsi="Garamond"/>
          <w:sz w:val="22"/>
          <w:szCs w:val="22"/>
        </w:rPr>
        <w:t>: Speed of mean reversion</w:t>
      </w:r>
    </w:p>
    <w:p w14:paraId="1233FA19" w14:textId="44367E3F" w:rsidR="00BC6049" w:rsidRPr="00AC2877" w:rsidRDefault="00BC6049" w:rsidP="00BC6049">
      <w:pPr>
        <w:numPr>
          <w:ilvl w:val="0"/>
          <w:numId w:val="4"/>
        </w:numPr>
        <w:jc w:val="center"/>
        <w:rPr>
          <w:rFonts w:ascii="Garamond" w:hAnsi="Garamond"/>
          <w:sz w:val="22"/>
          <w:szCs w:val="22"/>
        </w:rPr>
      </w:pPr>
      <m:oMath>
        <m:r>
          <w:rPr>
            <w:rFonts w:ascii="Cambria Math" w:hAnsi="Cambria Math"/>
            <w:sz w:val="22"/>
            <w:szCs w:val="22"/>
          </w:rPr>
          <m:t>b</m:t>
        </m:r>
      </m:oMath>
      <w:r w:rsidRPr="00AC2877">
        <w:rPr>
          <w:rFonts w:ascii="Garamond" w:hAnsi="Garamond"/>
          <w:sz w:val="22"/>
          <w:szCs w:val="22"/>
        </w:rPr>
        <w:t>: Long-term mean interest rate (setpoint)</w:t>
      </w:r>
    </w:p>
    <w:p w14:paraId="6F0E5CD5" w14:textId="0C20CBDA" w:rsidR="00BC6049" w:rsidRPr="00AC2877" w:rsidRDefault="00BC6049" w:rsidP="00BC6049">
      <w:pPr>
        <w:numPr>
          <w:ilvl w:val="0"/>
          <w:numId w:val="4"/>
        </w:numPr>
        <w:jc w:val="center"/>
        <w:rPr>
          <w:rFonts w:ascii="Garamond" w:hAnsi="Garamond"/>
          <w:sz w:val="22"/>
          <w:szCs w:val="22"/>
        </w:rPr>
      </w:pPr>
      <m:oMath>
        <m:r>
          <w:rPr>
            <w:rFonts w:ascii="Cambria Math" w:hAnsi="Cambria Math"/>
            <w:sz w:val="22"/>
            <w:szCs w:val="22"/>
          </w:rPr>
          <m:t>σ</m:t>
        </m:r>
      </m:oMath>
      <w:r w:rsidRPr="00AC2877">
        <w:rPr>
          <w:rFonts w:ascii="Garamond" w:hAnsi="Garamond"/>
          <w:sz w:val="22"/>
          <w:szCs w:val="22"/>
        </w:rPr>
        <w:t>: Volatility of the rate environment</w:t>
      </w:r>
    </w:p>
    <w:p w14:paraId="150C49B9" w14:textId="3E638EF8" w:rsidR="00BC6049" w:rsidRPr="00AC2877" w:rsidRDefault="00BC6049" w:rsidP="00BC6049">
      <w:pPr>
        <w:numPr>
          <w:ilvl w:val="0"/>
          <w:numId w:val="4"/>
        </w:numPr>
        <w:jc w:val="center"/>
        <w:rPr>
          <w:rFonts w:ascii="Garamond" w:hAnsi="Garamond"/>
          <w:sz w:val="22"/>
          <w:szCs w:val="22"/>
        </w:rPr>
      </w:pPr>
      <m:oMath>
        <m:r>
          <w:rPr>
            <w:rFonts w:ascii="Cambria Math" w:hAnsi="Cambria Math"/>
            <w:sz w:val="22"/>
            <w:szCs w:val="22"/>
          </w:rPr>
          <m:t>d</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t</m:t>
            </m:r>
          </m:sub>
        </m:sSub>
      </m:oMath>
      <w:r w:rsidRPr="00AC2877">
        <w:rPr>
          <w:rFonts w:ascii="Garamond" w:hAnsi="Garamond"/>
          <w:sz w:val="22"/>
          <w:szCs w:val="22"/>
        </w:rPr>
        <w:t>: A standard Wiener process (Brownian motion)</w:t>
      </w:r>
    </w:p>
    <w:p w14:paraId="1374F8E1" w14:textId="77777777" w:rsidR="00BC6049" w:rsidRPr="00AC2877" w:rsidRDefault="00BC6049" w:rsidP="00BC6049">
      <w:pPr>
        <w:jc w:val="center"/>
        <w:rPr>
          <w:rFonts w:ascii="Garamond" w:hAnsi="Garamond"/>
          <w:sz w:val="22"/>
          <w:szCs w:val="22"/>
        </w:rPr>
      </w:pPr>
      <w:r w:rsidRPr="00AC2877">
        <w:rPr>
          <w:rFonts w:ascii="Garamond" w:hAnsi="Garamond"/>
          <w:sz w:val="22"/>
          <w:szCs w:val="22"/>
        </w:rPr>
        <w:t xml:space="preserve">Because this SDE lacks a closed-form analytical solution for discrete time steps, the model correctly implements an </w:t>
      </w:r>
      <w:r w:rsidRPr="00AC2877">
        <w:rPr>
          <w:rFonts w:ascii="Garamond" w:hAnsi="Garamond"/>
          <w:b/>
          <w:bCs/>
          <w:sz w:val="22"/>
          <w:szCs w:val="22"/>
        </w:rPr>
        <w:t>Euler-Maruyama numerical solver</w:t>
      </w:r>
      <w:r w:rsidRPr="00AC2877">
        <w:rPr>
          <w:rFonts w:ascii="Garamond" w:hAnsi="Garamond"/>
          <w:sz w:val="22"/>
          <w:szCs w:val="22"/>
        </w:rPr>
        <w:t xml:space="preserve"> to generate 1,000 Monte Carlo paths.</w:t>
      </w:r>
    </w:p>
    <w:p w14:paraId="097C8BD6" w14:textId="3034A9A9" w:rsidR="00BC6049" w:rsidRPr="00AC2877" w:rsidRDefault="00BC6049" w:rsidP="00BC6049">
      <w:pPr>
        <w:jc w:val="center"/>
        <w:rPr>
          <w:rFonts w:ascii="Garamond" w:hAnsi="Garamond"/>
          <w:sz w:val="22"/>
          <w:szCs w:val="22"/>
        </w:rPr>
      </w:pPr>
      <w:r w:rsidRPr="00AC2877">
        <w:rPr>
          <w:rFonts w:ascii="Garamond" w:hAnsi="Garamond"/>
          <w:b/>
          <w:bCs/>
          <w:sz w:val="22"/>
          <w:szCs w:val="22"/>
        </w:rPr>
        <w:t>Validator's Assessment:</w:t>
      </w:r>
      <w:r w:rsidRPr="00AC2877">
        <w:rPr>
          <w:rFonts w:ascii="Garamond" w:hAnsi="Garamond"/>
          <w:sz w:val="22"/>
          <w:szCs w:val="22"/>
        </w:rPr>
        <w:t xml:space="preserve"> The Vasicek model is conceptually sound for retail banking ALM. The mean-reverting drift component (</w:t>
      </w:r>
      <m:oMath>
        <m:r>
          <w:rPr>
            <w:rFonts w:ascii="Cambria Math" w:hAnsi="Cambria Math"/>
            <w:sz w:val="22"/>
            <w:szCs w:val="22"/>
          </w:rPr>
          <m:t>a</m:t>
        </m:r>
        <m:d>
          <m:dPr>
            <m:ctrlPr>
              <w:rPr>
                <w:rFonts w:ascii="Cambria Math" w:hAnsi="Cambria Math"/>
                <w:sz w:val="22"/>
                <w:szCs w:val="22"/>
              </w:rPr>
            </m:ctrlPr>
          </m:dPr>
          <m:e>
            <m:r>
              <w:rPr>
                <w:rFonts w:ascii="Cambria Math" w:hAnsi="Cambria Math"/>
                <w:sz w:val="22"/>
                <w:szCs w:val="22"/>
              </w:rPr>
              <m:t>b-</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t</m:t>
                </m:r>
              </m:sub>
            </m:sSub>
          </m:e>
        </m:d>
      </m:oMath>
      <w:r w:rsidRPr="00AC2877">
        <w:rPr>
          <w:rFonts w:ascii="Garamond" w:hAnsi="Garamond"/>
          <w:sz w:val="22"/>
          <w:szCs w:val="22"/>
        </w:rPr>
        <w:t>) accurately mimics central bank monetary policy, pulling anomalous rate spikes back to a long-term macroeconomic equilibrium. However, because the volatility term (</w:t>
      </w:r>
      <m:oMath>
        <m:r>
          <w:rPr>
            <w:rFonts w:ascii="Cambria Math" w:hAnsi="Cambria Math"/>
            <w:sz w:val="22"/>
            <w:szCs w:val="22"/>
          </w:rPr>
          <m:t>σ</m:t>
        </m:r>
      </m:oMath>
      <w:r w:rsidRPr="00AC2877">
        <w:rPr>
          <w:rFonts w:ascii="Garamond" w:hAnsi="Garamond"/>
          <w:sz w:val="22"/>
          <w:szCs w:val="22"/>
        </w:rPr>
        <w:t>) is independent of the current rate, the model can mathematically produce negative interest rates.</w:t>
      </w:r>
    </w:p>
    <w:p w14:paraId="0A0D37C9" w14:textId="77777777" w:rsidR="00BC6049" w:rsidRPr="00BE503F" w:rsidRDefault="00BC6049" w:rsidP="00BC6049">
      <w:pPr>
        <w:jc w:val="center"/>
        <w:rPr>
          <w:rFonts w:ascii="Garamond" w:hAnsi="Garamond"/>
          <w:b/>
          <w:bCs/>
          <w:sz w:val="22"/>
          <w:szCs w:val="22"/>
          <w:u w:val="single"/>
        </w:rPr>
      </w:pPr>
      <w:r w:rsidRPr="00BE503F">
        <w:rPr>
          <w:rFonts w:ascii="Garamond" w:hAnsi="Garamond"/>
          <w:b/>
          <w:bCs/>
          <w:sz w:val="22"/>
          <w:szCs w:val="22"/>
          <w:u w:val="single"/>
        </w:rPr>
        <w:t>4. Transient Risk: Net Interest Income (NII)</w:t>
      </w:r>
    </w:p>
    <w:p w14:paraId="3821BF7C" w14:textId="77777777" w:rsidR="00BC6049" w:rsidRPr="00AC2877" w:rsidRDefault="00BC6049" w:rsidP="00BC6049">
      <w:pPr>
        <w:jc w:val="center"/>
        <w:rPr>
          <w:rFonts w:ascii="Garamond" w:hAnsi="Garamond"/>
          <w:sz w:val="22"/>
          <w:szCs w:val="22"/>
        </w:rPr>
      </w:pPr>
      <w:r w:rsidRPr="00AC2877">
        <w:rPr>
          <w:rFonts w:ascii="Garamond" w:hAnsi="Garamond"/>
          <w:sz w:val="22"/>
          <w:szCs w:val="22"/>
        </w:rPr>
        <w:t>To evaluate the immediate, short-term liquidity impact of interest rate movements, the 1,000 simulated Vasicek paths were applied to a baseline portfolio containing $100M in fixed-rate assets (5% yield) funded by $80M in floating-rate liabilities.</w:t>
      </w:r>
    </w:p>
    <w:p w14:paraId="01BBCAFF" w14:textId="77777777" w:rsidR="00BC6049" w:rsidRPr="00AC2877" w:rsidRDefault="00BC6049" w:rsidP="00BE503F">
      <w:pPr>
        <w:rPr>
          <w:rFonts w:ascii="Garamond" w:hAnsi="Garamond"/>
          <w:b/>
          <w:bCs/>
          <w:sz w:val="22"/>
          <w:szCs w:val="22"/>
        </w:rPr>
      </w:pPr>
      <w:r w:rsidRPr="00AC2877">
        <w:rPr>
          <w:rFonts w:ascii="Garamond" w:hAnsi="Garamond"/>
          <w:b/>
          <w:bCs/>
          <w:sz w:val="22"/>
          <w:szCs w:val="22"/>
        </w:rPr>
        <w:t>4.1 12-Month NII Simulation Results</w:t>
      </w:r>
    </w:p>
    <w:p w14:paraId="1C674F0A" w14:textId="77777777" w:rsidR="00BC6049" w:rsidRPr="00AC2877" w:rsidRDefault="00BC6049" w:rsidP="00BC6049">
      <w:pPr>
        <w:jc w:val="center"/>
        <w:rPr>
          <w:rFonts w:ascii="Garamond" w:hAnsi="Garamond"/>
          <w:sz w:val="22"/>
          <w:szCs w:val="22"/>
        </w:rPr>
      </w:pPr>
      <w:r w:rsidRPr="00AC2877">
        <w:rPr>
          <w:rFonts w:ascii="Garamond" w:hAnsi="Garamond"/>
          <w:sz w:val="22"/>
          <w:szCs w:val="22"/>
        </w:rPr>
        <w:t>The liability costs were dynamically recalculated across all 1,000 simulated realities.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51"/>
        <w:gridCol w:w="2970"/>
      </w:tblGrid>
      <w:tr w:rsidR="00BC6049" w:rsidRPr="00AC2877" w14:paraId="33A2105F" w14:textId="77777777" w:rsidTr="00AC2877">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FE12A"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DF163"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Result (12-Month Horizon)</w:t>
            </w:r>
          </w:p>
        </w:tc>
      </w:tr>
      <w:tr w:rsidR="00BC6049" w:rsidRPr="00AC2877" w14:paraId="39DD9362" w14:textId="77777777" w:rsidTr="00AC287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AE932"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Asset Yield (Fixed)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11775" w14:textId="77777777" w:rsidR="00BC6049" w:rsidRPr="00AC2877" w:rsidRDefault="00BC6049" w:rsidP="00BC6049">
            <w:pPr>
              <w:jc w:val="center"/>
              <w:rPr>
                <w:rFonts w:ascii="Garamond" w:hAnsi="Garamond"/>
                <w:sz w:val="22"/>
                <w:szCs w:val="22"/>
              </w:rPr>
            </w:pPr>
            <w:r w:rsidRPr="00AC2877">
              <w:rPr>
                <w:rFonts w:ascii="Garamond" w:hAnsi="Garamond"/>
                <w:sz w:val="22"/>
                <w:szCs w:val="22"/>
              </w:rPr>
              <w:t>$5,000,000</w:t>
            </w:r>
          </w:p>
        </w:tc>
      </w:tr>
      <w:tr w:rsidR="00BC6049" w:rsidRPr="00AC2877" w14:paraId="2C073CC5" w14:textId="77777777" w:rsidTr="00AC287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BF311"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Expected NII (Mean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88C32" w14:textId="77777777" w:rsidR="00BC6049" w:rsidRPr="00AC2877" w:rsidRDefault="00BC6049" w:rsidP="00BC6049">
            <w:pPr>
              <w:jc w:val="center"/>
              <w:rPr>
                <w:rFonts w:ascii="Garamond" w:hAnsi="Garamond"/>
                <w:sz w:val="22"/>
                <w:szCs w:val="22"/>
              </w:rPr>
            </w:pPr>
            <w:r w:rsidRPr="00AC2877">
              <w:rPr>
                <w:rFonts w:ascii="Garamond" w:hAnsi="Garamond"/>
                <w:sz w:val="22"/>
                <w:szCs w:val="22"/>
              </w:rPr>
              <w:t>$2,600,000</w:t>
            </w:r>
          </w:p>
        </w:tc>
      </w:tr>
      <w:tr w:rsidR="00BC6049" w:rsidRPr="00AC2877" w14:paraId="3DA5AF58" w14:textId="77777777" w:rsidTr="00AC287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32CE8"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Best Case NII (Rates drop)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E83DD" w14:textId="77777777" w:rsidR="00BC6049" w:rsidRPr="00AC2877" w:rsidRDefault="00BC6049" w:rsidP="00BC6049">
            <w:pPr>
              <w:jc w:val="center"/>
              <w:rPr>
                <w:rFonts w:ascii="Garamond" w:hAnsi="Garamond"/>
                <w:sz w:val="22"/>
                <w:szCs w:val="22"/>
              </w:rPr>
            </w:pPr>
            <w:r w:rsidRPr="00AC2877">
              <w:rPr>
                <w:rFonts w:ascii="Garamond" w:hAnsi="Garamond"/>
                <w:sz w:val="22"/>
                <w:szCs w:val="22"/>
              </w:rPr>
              <w:t>$3,150,000</w:t>
            </w:r>
          </w:p>
        </w:tc>
      </w:tr>
      <w:tr w:rsidR="00BC6049" w:rsidRPr="00AC2877" w14:paraId="520F284E" w14:textId="77777777" w:rsidTr="00AC287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498C4"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 xml:space="preserve">99% </w:t>
            </w:r>
            <w:proofErr w:type="spellStart"/>
            <w:r w:rsidRPr="00AC2877">
              <w:rPr>
                <w:rFonts w:ascii="Garamond" w:hAnsi="Garamond"/>
                <w:b/>
                <w:bCs/>
                <w:sz w:val="22"/>
                <w:szCs w:val="22"/>
              </w:rPr>
              <w:t>VaR</w:t>
            </w:r>
            <w:proofErr w:type="spellEnd"/>
            <w:r w:rsidRPr="00AC2877">
              <w:rPr>
                <w:rFonts w:ascii="Garamond" w:hAnsi="Garamond"/>
                <w:b/>
                <w:bCs/>
                <w:sz w:val="22"/>
                <w:szCs w:val="22"/>
              </w:rPr>
              <w:t xml:space="preserve"> (Severe Rate Spike)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549DB"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$1,120,000</w:t>
            </w:r>
          </w:p>
        </w:tc>
      </w:tr>
    </w:tbl>
    <w:p w14:paraId="2A8A18B2" w14:textId="7B5F6B53" w:rsidR="00BC6049" w:rsidRPr="00AC2877" w:rsidRDefault="00BC6049" w:rsidP="00BC6049">
      <w:pPr>
        <w:jc w:val="center"/>
        <w:rPr>
          <w:rFonts w:ascii="Garamond" w:hAnsi="Garamond"/>
          <w:sz w:val="22"/>
          <w:szCs w:val="22"/>
        </w:rPr>
      </w:pPr>
      <w:r w:rsidRPr="00AC2877">
        <w:rPr>
          <w:rFonts w:ascii="Garamond" w:hAnsi="Garamond"/>
          <w:b/>
          <w:bCs/>
          <w:sz w:val="22"/>
          <w:szCs w:val="22"/>
        </w:rPr>
        <w:t>Validator's Conclusion:</w:t>
      </w:r>
      <w:r w:rsidRPr="00AC2877">
        <w:rPr>
          <w:rFonts w:ascii="Garamond" w:hAnsi="Garamond"/>
          <w:sz w:val="22"/>
          <w:szCs w:val="22"/>
        </w:rPr>
        <w:t xml:space="preserve"> Under a 99th percentile worst-case scenario (a rapid spike in the Vasicek paths), the bank's NII compresses by over 50%. The model successfully isolates the transient cash-flow risk of duration mismatch.</w:t>
      </w:r>
    </w:p>
    <w:p w14:paraId="5FF33B98" w14:textId="77777777" w:rsidR="006204C1" w:rsidRDefault="006204C1" w:rsidP="00BC6049">
      <w:pPr>
        <w:jc w:val="center"/>
        <w:rPr>
          <w:rFonts w:ascii="Garamond" w:hAnsi="Garamond"/>
          <w:b/>
          <w:bCs/>
          <w:sz w:val="22"/>
          <w:szCs w:val="22"/>
        </w:rPr>
      </w:pPr>
    </w:p>
    <w:p w14:paraId="2F46776C" w14:textId="77777777" w:rsidR="006204C1" w:rsidRDefault="006204C1" w:rsidP="00BC6049">
      <w:pPr>
        <w:jc w:val="center"/>
        <w:rPr>
          <w:rFonts w:ascii="Garamond" w:hAnsi="Garamond"/>
          <w:b/>
          <w:bCs/>
          <w:sz w:val="22"/>
          <w:szCs w:val="22"/>
        </w:rPr>
      </w:pPr>
    </w:p>
    <w:p w14:paraId="30BBC31A" w14:textId="77777777" w:rsidR="006204C1" w:rsidRDefault="006204C1" w:rsidP="00BC6049">
      <w:pPr>
        <w:jc w:val="center"/>
        <w:rPr>
          <w:rFonts w:ascii="Garamond" w:hAnsi="Garamond"/>
          <w:b/>
          <w:bCs/>
          <w:sz w:val="22"/>
          <w:szCs w:val="22"/>
        </w:rPr>
      </w:pPr>
    </w:p>
    <w:p w14:paraId="0EE22EC5" w14:textId="3D604174" w:rsidR="00BC6049" w:rsidRPr="00BE503F" w:rsidRDefault="00BC6049" w:rsidP="00BC6049">
      <w:pPr>
        <w:jc w:val="center"/>
        <w:rPr>
          <w:rFonts w:ascii="Garamond" w:hAnsi="Garamond"/>
          <w:b/>
          <w:bCs/>
          <w:sz w:val="22"/>
          <w:szCs w:val="22"/>
          <w:u w:val="single"/>
        </w:rPr>
      </w:pPr>
      <w:r w:rsidRPr="00BE503F">
        <w:rPr>
          <w:rFonts w:ascii="Garamond" w:hAnsi="Garamond"/>
          <w:b/>
          <w:bCs/>
          <w:sz w:val="22"/>
          <w:szCs w:val="22"/>
          <w:u w:val="single"/>
        </w:rPr>
        <w:lastRenderedPageBreak/>
        <w:t>5. Steady-State Risk: Economic Value of Equity (EVE)</w:t>
      </w:r>
    </w:p>
    <w:p w14:paraId="162907B2" w14:textId="77777777" w:rsidR="00BC6049" w:rsidRPr="00AC2877" w:rsidRDefault="00BC6049" w:rsidP="00BC6049">
      <w:pPr>
        <w:jc w:val="center"/>
        <w:rPr>
          <w:rFonts w:ascii="Garamond" w:hAnsi="Garamond"/>
          <w:sz w:val="22"/>
          <w:szCs w:val="22"/>
        </w:rPr>
      </w:pPr>
      <w:r w:rsidRPr="00AC2877">
        <w:rPr>
          <w:rFonts w:ascii="Garamond" w:hAnsi="Garamond"/>
          <w:sz w:val="22"/>
          <w:szCs w:val="22"/>
        </w:rPr>
        <w:t>While NII measures short-term cash flow, EVE measures the structural destruction of balance sheet value by calculating the exact Net Present Value (NPV) of all future cash flows.</w:t>
      </w:r>
    </w:p>
    <w:p w14:paraId="3F19001F" w14:textId="77777777" w:rsidR="00BC6049" w:rsidRPr="00AC2877" w:rsidRDefault="00BC6049" w:rsidP="00BC6049">
      <w:pPr>
        <w:jc w:val="center"/>
        <w:rPr>
          <w:rFonts w:ascii="Garamond" w:hAnsi="Garamond"/>
          <w:sz w:val="22"/>
          <w:szCs w:val="22"/>
        </w:rPr>
      </w:pPr>
      <w:r w:rsidRPr="00AC2877">
        <w:rPr>
          <w:rFonts w:ascii="Garamond" w:hAnsi="Garamond"/>
          <w:sz w:val="22"/>
          <w:szCs w:val="22"/>
        </w:rPr>
        <w:t xml:space="preserve">The validation subjected the portfolio to the regulatory standard </w:t>
      </w:r>
      <w:r w:rsidRPr="00AC2877">
        <w:rPr>
          <w:rFonts w:ascii="Garamond" w:hAnsi="Garamond"/>
          <w:b/>
          <w:bCs/>
          <w:sz w:val="22"/>
          <w:szCs w:val="22"/>
        </w:rPr>
        <w:t>+200 bps parallel shock</w:t>
      </w:r>
      <w:r w:rsidRPr="00AC2877">
        <w:rPr>
          <w:rFonts w:ascii="Garamond" w:hAnsi="Garamond"/>
          <w:sz w:val="22"/>
          <w:szCs w:val="22"/>
        </w:rPr>
        <w:t>.</w:t>
      </w:r>
    </w:p>
    <w:p w14:paraId="3D26718A" w14:textId="77777777" w:rsidR="00BC6049" w:rsidRPr="00AC2877" w:rsidRDefault="00BC6049" w:rsidP="00BC6049">
      <w:pPr>
        <w:jc w:val="center"/>
        <w:rPr>
          <w:rFonts w:ascii="Garamond" w:hAnsi="Garamond"/>
          <w:sz w:val="22"/>
          <w:szCs w:val="22"/>
        </w:rPr>
      </w:pPr>
      <w:r w:rsidRPr="00AC2877">
        <w:rPr>
          <w:rFonts w:ascii="Garamond" w:hAnsi="Garamond"/>
          <w:i/>
          <w:iCs/>
          <w:sz w:val="22"/>
          <w:szCs w:val="22"/>
        </w:rPr>
        <w:t>(Asset Duration: 10 Years | Liability Duration: 1 Year)</w:t>
      </w:r>
    </w:p>
    <w:p w14:paraId="06DE9187" w14:textId="77777777" w:rsidR="00BC6049" w:rsidRPr="00AC2877" w:rsidRDefault="00BC6049" w:rsidP="00600606">
      <w:pPr>
        <w:rPr>
          <w:rFonts w:ascii="Garamond" w:hAnsi="Garamond"/>
          <w:b/>
          <w:bCs/>
          <w:sz w:val="22"/>
          <w:szCs w:val="22"/>
        </w:rPr>
      </w:pPr>
      <w:r w:rsidRPr="00AC2877">
        <w:rPr>
          <w:rFonts w:ascii="Garamond" w:hAnsi="Garamond"/>
          <w:b/>
          <w:bCs/>
          <w:sz w:val="22"/>
          <w:szCs w:val="22"/>
        </w:rPr>
        <w:t>5.1 EVE Shock Financial Impact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89"/>
        <w:gridCol w:w="2316"/>
        <w:gridCol w:w="2270"/>
        <w:gridCol w:w="1247"/>
      </w:tblGrid>
      <w:tr w:rsidR="00BC6049" w:rsidRPr="00AC2877" w14:paraId="26B0B5D4" w14:textId="77777777" w:rsidTr="00AC2877">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1AC14"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35268"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Baseline (4% Curve)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D4323"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Shocked (+200 bps)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56A03"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Impact</w:t>
            </w:r>
          </w:p>
        </w:tc>
      </w:tr>
      <w:tr w:rsidR="00BC6049" w:rsidRPr="00AC2877" w14:paraId="5CF7A18D" w14:textId="77777777" w:rsidTr="00AC287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C5D74"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NPV of Assets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A2A5E" w14:textId="77777777" w:rsidR="00BC6049" w:rsidRPr="00AC2877" w:rsidRDefault="00BC6049" w:rsidP="00BC6049">
            <w:pPr>
              <w:jc w:val="center"/>
              <w:rPr>
                <w:rFonts w:ascii="Garamond" w:hAnsi="Garamond"/>
                <w:sz w:val="22"/>
                <w:szCs w:val="22"/>
              </w:rPr>
            </w:pPr>
            <w:r w:rsidRPr="00AC2877">
              <w:rPr>
                <w:rFonts w:ascii="Garamond" w:hAnsi="Garamond"/>
                <w:sz w:val="22"/>
                <w:szCs w:val="22"/>
              </w:rPr>
              <w:t>$108,110,000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84253" w14:textId="77777777" w:rsidR="00BC6049" w:rsidRPr="00AC2877" w:rsidRDefault="00BC6049" w:rsidP="00BC6049">
            <w:pPr>
              <w:jc w:val="center"/>
              <w:rPr>
                <w:rFonts w:ascii="Garamond" w:hAnsi="Garamond"/>
                <w:sz w:val="22"/>
                <w:szCs w:val="22"/>
              </w:rPr>
            </w:pPr>
            <w:r w:rsidRPr="00AC2877">
              <w:rPr>
                <w:rFonts w:ascii="Garamond" w:hAnsi="Garamond"/>
                <w:sz w:val="22"/>
                <w:szCs w:val="22"/>
              </w:rPr>
              <w:t>$92,640,000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52C77" w14:textId="77777777" w:rsidR="00BC6049" w:rsidRPr="00AC2877" w:rsidRDefault="00BC6049" w:rsidP="00BC6049">
            <w:pPr>
              <w:jc w:val="center"/>
              <w:rPr>
                <w:rFonts w:ascii="Garamond" w:hAnsi="Garamond"/>
                <w:sz w:val="22"/>
                <w:szCs w:val="22"/>
              </w:rPr>
            </w:pPr>
            <w:r w:rsidRPr="00AC2877">
              <w:rPr>
                <w:rFonts w:ascii="Garamond" w:hAnsi="Garamond"/>
                <w:sz w:val="22"/>
                <w:szCs w:val="22"/>
              </w:rPr>
              <w:t>-$15.47M</w:t>
            </w:r>
          </w:p>
        </w:tc>
      </w:tr>
      <w:tr w:rsidR="00BC6049" w:rsidRPr="00AC2877" w14:paraId="3DCA3B6C" w14:textId="77777777" w:rsidTr="00AC287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D93A3"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NPV of Liabilities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59FE4" w14:textId="77777777" w:rsidR="00BC6049" w:rsidRPr="00AC2877" w:rsidRDefault="00BC6049" w:rsidP="00BC6049">
            <w:pPr>
              <w:jc w:val="center"/>
              <w:rPr>
                <w:rFonts w:ascii="Garamond" w:hAnsi="Garamond"/>
                <w:sz w:val="22"/>
                <w:szCs w:val="22"/>
              </w:rPr>
            </w:pPr>
            <w:r w:rsidRPr="00AC2877">
              <w:rPr>
                <w:rFonts w:ascii="Garamond" w:hAnsi="Garamond"/>
                <w:sz w:val="22"/>
                <w:szCs w:val="22"/>
              </w:rPr>
              <w:t>$79,230,000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3D933" w14:textId="77777777" w:rsidR="00BC6049" w:rsidRPr="00AC2877" w:rsidRDefault="00BC6049" w:rsidP="00BC6049">
            <w:pPr>
              <w:jc w:val="center"/>
              <w:rPr>
                <w:rFonts w:ascii="Garamond" w:hAnsi="Garamond"/>
                <w:sz w:val="22"/>
                <w:szCs w:val="22"/>
              </w:rPr>
            </w:pPr>
            <w:r w:rsidRPr="00AC2877">
              <w:rPr>
                <w:rFonts w:ascii="Garamond" w:hAnsi="Garamond"/>
                <w:sz w:val="22"/>
                <w:szCs w:val="22"/>
              </w:rPr>
              <w:t>$77,690,000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05E9A" w14:textId="77777777" w:rsidR="00BC6049" w:rsidRPr="00AC2877" w:rsidRDefault="00BC6049" w:rsidP="00BC6049">
            <w:pPr>
              <w:jc w:val="center"/>
              <w:rPr>
                <w:rFonts w:ascii="Garamond" w:hAnsi="Garamond"/>
                <w:sz w:val="22"/>
                <w:szCs w:val="22"/>
              </w:rPr>
            </w:pPr>
            <w:r w:rsidRPr="00AC2877">
              <w:rPr>
                <w:rFonts w:ascii="Garamond" w:hAnsi="Garamond"/>
                <w:sz w:val="22"/>
                <w:szCs w:val="22"/>
              </w:rPr>
              <w:t>-$1.54M</w:t>
            </w:r>
          </w:p>
        </w:tc>
      </w:tr>
      <w:tr w:rsidR="00BC6049" w:rsidRPr="00AC2877" w14:paraId="0EE62399" w14:textId="77777777" w:rsidTr="00AC287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67348"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Total Equity (EVE)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14ADB"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$28,880,000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161C9"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$14,950,000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15EFE"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-48.2%</w:t>
            </w:r>
          </w:p>
        </w:tc>
      </w:tr>
    </w:tbl>
    <w:p w14:paraId="2DF05895" w14:textId="77777777" w:rsidR="00BC6049" w:rsidRPr="00AC2877" w:rsidRDefault="00BC6049" w:rsidP="00BC6049">
      <w:pPr>
        <w:jc w:val="center"/>
        <w:rPr>
          <w:rFonts w:ascii="Garamond" w:hAnsi="Garamond"/>
          <w:sz w:val="22"/>
          <w:szCs w:val="22"/>
        </w:rPr>
      </w:pPr>
      <w:r w:rsidRPr="00AC2877">
        <w:rPr>
          <w:rFonts w:ascii="Garamond" w:hAnsi="Garamond"/>
          <w:b/>
          <w:bCs/>
          <w:sz w:val="22"/>
          <w:szCs w:val="22"/>
        </w:rPr>
        <w:t>Validator's Conclusion:</w:t>
      </w:r>
      <w:r w:rsidRPr="00AC2877">
        <w:rPr>
          <w:rFonts w:ascii="Garamond" w:hAnsi="Garamond"/>
          <w:sz w:val="22"/>
          <w:szCs w:val="22"/>
        </w:rPr>
        <w:t xml:space="preserve"> The +200 bps shock wipes out nearly half of the bank's structural equity. Because the liabilities mature in 1 year, their NPV barely shifts. The 10-year assets, however, suffer massive discounting penalties under the higher rate regime. The math engine correctly computes this duration mismatch.</w:t>
      </w:r>
    </w:p>
    <w:p w14:paraId="78832836" w14:textId="77777777" w:rsidR="00BC6049" w:rsidRPr="00BE503F" w:rsidRDefault="00BC6049" w:rsidP="00BC6049">
      <w:pPr>
        <w:jc w:val="center"/>
        <w:rPr>
          <w:rFonts w:ascii="Garamond" w:hAnsi="Garamond"/>
          <w:b/>
          <w:bCs/>
          <w:sz w:val="22"/>
          <w:szCs w:val="22"/>
          <w:u w:val="single"/>
        </w:rPr>
      </w:pPr>
      <w:r w:rsidRPr="00BE503F">
        <w:rPr>
          <w:rFonts w:ascii="Garamond" w:hAnsi="Garamond"/>
          <w:b/>
          <w:bCs/>
          <w:sz w:val="22"/>
          <w:szCs w:val="22"/>
          <w:u w:val="single"/>
        </w:rPr>
        <w:t>6. Model Limitations &amp; Critical Assumptions</w:t>
      </w:r>
    </w:p>
    <w:p w14:paraId="5AAAA8E2" w14:textId="77777777" w:rsidR="00BC6049" w:rsidRPr="00AC2877" w:rsidRDefault="00BC6049" w:rsidP="00BC6049">
      <w:pPr>
        <w:jc w:val="center"/>
        <w:rPr>
          <w:rFonts w:ascii="Garamond" w:hAnsi="Garamond"/>
          <w:sz w:val="22"/>
          <w:szCs w:val="22"/>
        </w:rPr>
      </w:pPr>
      <w:r w:rsidRPr="00AC2877">
        <w:rPr>
          <w:rFonts w:ascii="Garamond" w:hAnsi="Garamond"/>
          <w:sz w:val="22"/>
          <w:szCs w:val="22"/>
        </w:rPr>
        <w:t>To satisfy SR 11-7 requirements for "effective challenge," the validation team audited the model's physical assumptions and identified three critical limitations that warp the output:</w:t>
      </w:r>
    </w:p>
    <w:p w14:paraId="601DDD50" w14:textId="77777777" w:rsidR="00BC6049" w:rsidRPr="00AC2877" w:rsidRDefault="00BC6049" w:rsidP="00BC6049">
      <w:pPr>
        <w:numPr>
          <w:ilvl w:val="0"/>
          <w:numId w:val="5"/>
        </w:numPr>
        <w:jc w:val="center"/>
        <w:rPr>
          <w:rFonts w:ascii="Garamond" w:hAnsi="Garamond"/>
          <w:sz w:val="22"/>
          <w:szCs w:val="22"/>
        </w:rPr>
      </w:pPr>
      <w:r w:rsidRPr="00AC2877">
        <w:rPr>
          <w:rFonts w:ascii="Garamond" w:hAnsi="Garamond"/>
          <w:b/>
          <w:bCs/>
          <w:sz w:val="22"/>
          <w:szCs w:val="22"/>
        </w:rPr>
        <w:t>Absence of Deposit Betas:</w:t>
      </w:r>
      <w:r w:rsidRPr="00AC2877">
        <w:rPr>
          <w:rFonts w:ascii="Garamond" w:hAnsi="Garamond"/>
          <w:sz w:val="22"/>
          <w:szCs w:val="22"/>
        </w:rPr>
        <w:t xml:space="preserve"> The NII calculation assumes retail deposit rates instantly rise to match the Vasicek market rate. Empirically, retail banks exhibit "sluggishness," passing only ~40% to 60% of rate hikes onto depositors (a deposit beta &lt; 1.0). </w:t>
      </w:r>
      <w:r w:rsidRPr="00AC2877">
        <w:rPr>
          <w:rFonts w:ascii="Garamond" w:hAnsi="Garamond"/>
          <w:b/>
          <w:bCs/>
          <w:sz w:val="22"/>
          <w:szCs w:val="22"/>
        </w:rPr>
        <w:t>Impact:</w:t>
      </w:r>
      <w:r w:rsidRPr="00AC2877">
        <w:rPr>
          <w:rFonts w:ascii="Garamond" w:hAnsi="Garamond"/>
          <w:sz w:val="22"/>
          <w:szCs w:val="22"/>
        </w:rPr>
        <w:t xml:space="preserve"> </w:t>
      </w:r>
      <w:r w:rsidRPr="00AC2877">
        <w:rPr>
          <w:rFonts w:ascii="Garamond" w:hAnsi="Garamond"/>
          <w:i/>
          <w:iCs/>
          <w:sz w:val="22"/>
          <w:szCs w:val="22"/>
        </w:rPr>
        <w:t>The model currently overestimates NII margin compression.</w:t>
      </w:r>
    </w:p>
    <w:p w14:paraId="74C01F86" w14:textId="77777777" w:rsidR="00BC6049" w:rsidRPr="00AC2877" w:rsidRDefault="00BC6049" w:rsidP="00BC6049">
      <w:pPr>
        <w:numPr>
          <w:ilvl w:val="0"/>
          <w:numId w:val="5"/>
        </w:numPr>
        <w:jc w:val="center"/>
        <w:rPr>
          <w:rFonts w:ascii="Garamond" w:hAnsi="Garamond"/>
          <w:sz w:val="22"/>
          <w:szCs w:val="22"/>
        </w:rPr>
      </w:pPr>
      <w:r w:rsidRPr="00AC2877">
        <w:rPr>
          <w:rFonts w:ascii="Garamond" w:hAnsi="Garamond"/>
          <w:b/>
          <w:bCs/>
          <w:sz w:val="22"/>
          <w:szCs w:val="22"/>
        </w:rPr>
        <w:t>Exclusion of Prepayment Risk:</w:t>
      </w:r>
      <w:r w:rsidRPr="00AC2877">
        <w:rPr>
          <w:rFonts w:ascii="Garamond" w:hAnsi="Garamond"/>
          <w:sz w:val="22"/>
          <w:szCs w:val="22"/>
        </w:rPr>
        <w:t xml:space="preserve"> The EVE calculation assumes the 10-year assets will pay out on a fixed, rigid schedule. In reality, if interest rates drop, commercial borrowers will refinance (prepay) their loans early. </w:t>
      </w:r>
      <w:r w:rsidRPr="00AC2877">
        <w:rPr>
          <w:rFonts w:ascii="Garamond" w:hAnsi="Garamond"/>
          <w:b/>
          <w:bCs/>
          <w:sz w:val="22"/>
          <w:szCs w:val="22"/>
        </w:rPr>
        <w:t>Impact:</w:t>
      </w:r>
      <w:r w:rsidRPr="00AC2877">
        <w:rPr>
          <w:rFonts w:ascii="Garamond" w:hAnsi="Garamond"/>
          <w:sz w:val="22"/>
          <w:szCs w:val="22"/>
        </w:rPr>
        <w:t xml:space="preserve"> </w:t>
      </w:r>
      <w:r w:rsidRPr="00AC2877">
        <w:rPr>
          <w:rFonts w:ascii="Garamond" w:hAnsi="Garamond"/>
          <w:i/>
          <w:iCs/>
          <w:sz w:val="22"/>
          <w:szCs w:val="22"/>
        </w:rPr>
        <w:t>The model fails to capture the reinvestment risk inherent in falling-rate environments.</w:t>
      </w:r>
    </w:p>
    <w:p w14:paraId="0986533D" w14:textId="090BDD89" w:rsidR="00BC6049" w:rsidRPr="00AC2877" w:rsidRDefault="00BC6049" w:rsidP="00BC6049">
      <w:pPr>
        <w:numPr>
          <w:ilvl w:val="0"/>
          <w:numId w:val="5"/>
        </w:numPr>
        <w:jc w:val="center"/>
        <w:rPr>
          <w:rFonts w:ascii="Garamond" w:hAnsi="Garamond"/>
          <w:sz w:val="22"/>
          <w:szCs w:val="22"/>
        </w:rPr>
      </w:pPr>
      <w:r w:rsidRPr="00AC2877">
        <w:rPr>
          <w:rFonts w:ascii="Garamond" w:hAnsi="Garamond"/>
          <w:b/>
          <w:bCs/>
          <w:sz w:val="22"/>
          <w:szCs w:val="22"/>
        </w:rPr>
        <w:t>Convexity Modeling:</w:t>
      </w:r>
      <w:r w:rsidRPr="00AC2877">
        <w:rPr>
          <w:rFonts w:ascii="Garamond" w:hAnsi="Garamond"/>
          <w:sz w:val="22"/>
          <w:szCs w:val="22"/>
        </w:rPr>
        <w:t xml:space="preserve"> Simple ALM systems often use linear duration approximations ( </w:t>
      </w:r>
      <m:oMath>
        <m:r>
          <m:rPr>
            <m:sty m:val="p"/>
          </m:rPr>
          <w:rPr>
            <w:rFonts w:ascii="Cambria Math" w:hAnsi="Cambria Math"/>
            <w:sz w:val="22"/>
            <w:szCs w:val="22"/>
          </w:rPr>
          <m:t>Δ</m:t>
        </m:r>
        <m:r>
          <w:rPr>
            <w:rFonts w:ascii="Cambria Math" w:hAnsi="Cambria Math"/>
            <w:sz w:val="22"/>
            <w:szCs w:val="22"/>
          </w:rPr>
          <m:t>EVE≈-D×</m:t>
        </m:r>
        <m:r>
          <m:rPr>
            <m:sty m:val="p"/>
          </m:rPr>
          <w:rPr>
            <w:rFonts w:ascii="Cambria Math" w:hAnsi="Cambria Math"/>
            <w:sz w:val="22"/>
            <w:szCs w:val="22"/>
          </w:rPr>
          <m:t>Δ</m:t>
        </m:r>
        <m:r>
          <w:rPr>
            <w:rFonts w:ascii="Cambria Math" w:hAnsi="Cambria Math"/>
            <w:sz w:val="22"/>
            <w:szCs w:val="22"/>
          </w:rPr>
          <m:t>r</m:t>
        </m:r>
      </m:oMath>
      <w:r w:rsidRPr="00AC2877">
        <w:rPr>
          <w:rFonts w:ascii="Garamond" w:hAnsi="Garamond"/>
          <w:sz w:val="22"/>
          <w:szCs w:val="22"/>
        </w:rPr>
        <w:t xml:space="preserve"> ). By building a rigid cash-flow discounting engine, this model successfully captures the non-linear convexity of fixed-income instruments, providing a superior estimate of tail-risk compared to standard linear approximations.</w:t>
      </w:r>
    </w:p>
    <w:p w14:paraId="013412DF" w14:textId="77777777" w:rsidR="00BC6049" w:rsidRPr="00AC2877" w:rsidRDefault="00BC6049" w:rsidP="00600606">
      <w:pPr>
        <w:rPr>
          <w:rFonts w:ascii="Garamond" w:hAnsi="Garamond"/>
          <w:sz w:val="22"/>
          <w:szCs w:val="22"/>
        </w:rPr>
      </w:pPr>
      <w:r w:rsidRPr="00AC2877">
        <w:rPr>
          <w:rFonts w:ascii="Garamond" w:hAnsi="Garamond"/>
          <w:b/>
          <w:bCs/>
          <w:sz w:val="22"/>
          <w:szCs w:val="22"/>
        </w:rPr>
        <w:t>Sign-off:</w:t>
      </w:r>
    </w:p>
    <w:p w14:paraId="0BF7BA45" w14:textId="0B742D3F" w:rsidR="00BC6049" w:rsidRPr="00AC2877" w:rsidRDefault="00BC6049" w:rsidP="00715967">
      <w:pPr>
        <w:jc w:val="center"/>
        <w:rPr>
          <w:rFonts w:ascii="Garamond" w:hAnsi="Garamond"/>
          <w:sz w:val="22"/>
          <w:szCs w:val="22"/>
        </w:rPr>
      </w:pPr>
      <w:r w:rsidRPr="00AC2877">
        <w:rPr>
          <w:rFonts w:ascii="Garamond" w:hAnsi="Garamond"/>
          <w:sz w:val="22"/>
          <w:szCs w:val="22"/>
        </w:rPr>
        <w:t>The model is approved for baseline ALM reporting, provided Treasury overlays empirical deposit betas before executing capital hedges.</w:t>
      </w:r>
    </w:p>
    <w:sectPr w:rsidR="00BC6049" w:rsidRPr="00AC2877" w:rsidSect="00C96F9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1807A" w14:textId="77777777" w:rsidR="00B60757" w:rsidRDefault="00B60757" w:rsidP="00C96F9B">
      <w:pPr>
        <w:spacing w:after="0" w:line="240" w:lineRule="auto"/>
      </w:pPr>
      <w:r>
        <w:separator/>
      </w:r>
    </w:p>
  </w:endnote>
  <w:endnote w:type="continuationSeparator" w:id="0">
    <w:p w14:paraId="5CBE6E39" w14:textId="77777777" w:rsidR="00B60757" w:rsidRDefault="00B60757" w:rsidP="00C96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920F8" w14:textId="77777777" w:rsidR="00C96F9B" w:rsidRDefault="00C96F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B242" w14:textId="04EF3D69" w:rsidR="00C96F9B" w:rsidRDefault="00C96F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8832" w14:textId="77777777" w:rsidR="00C96F9B" w:rsidRDefault="00C96F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B556E" w14:textId="77777777" w:rsidR="00B60757" w:rsidRDefault="00B60757" w:rsidP="00C96F9B">
      <w:pPr>
        <w:spacing w:after="0" w:line="240" w:lineRule="auto"/>
      </w:pPr>
      <w:r>
        <w:separator/>
      </w:r>
    </w:p>
  </w:footnote>
  <w:footnote w:type="continuationSeparator" w:id="0">
    <w:p w14:paraId="73F04B60" w14:textId="77777777" w:rsidR="00B60757" w:rsidRDefault="00B60757" w:rsidP="00C96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40DA" w14:textId="77777777" w:rsidR="00C96F9B" w:rsidRDefault="00C96F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EC257" w14:textId="46125D52" w:rsidR="00C96F9B" w:rsidRDefault="00C96F9B">
    <w:pPr>
      <w:pStyle w:val="Header"/>
    </w:pPr>
    <w:r>
      <w:ptab w:relativeTo="margin" w:alignment="center" w:leader="none"/>
    </w:r>
    <w:r>
      <w:ptab w:relativeTo="margin" w:alignment="right" w:leader="none"/>
    </w:r>
  </w:p>
  <w:p w14:paraId="5B264EFA" w14:textId="77777777" w:rsidR="00C96F9B" w:rsidRDefault="00C96F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CECD" w14:textId="77777777" w:rsidR="00C96F9B" w:rsidRDefault="00C96F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65C6"/>
    <w:multiLevelType w:val="multilevel"/>
    <w:tmpl w:val="43BE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B40E2D"/>
    <w:multiLevelType w:val="multilevel"/>
    <w:tmpl w:val="1B4CB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A96AA0"/>
    <w:multiLevelType w:val="multilevel"/>
    <w:tmpl w:val="71D4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C7250"/>
    <w:multiLevelType w:val="multilevel"/>
    <w:tmpl w:val="8C5C4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2C743D"/>
    <w:multiLevelType w:val="multilevel"/>
    <w:tmpl w:val="4DA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263009">
    <w:abstractNumId w:val="0"/>
  </w:num>
  <w:num w:numId="2" w16cid:durableId="864975652">
    <w:abstractNumId w:val="3"/>
  </w:num>
  <w:num w:numId="3" w16cid:durableId="414397163">
    <w:abstractNumId w:val="2"/>
  </w:num>
  <w:num w:numId="4" w16cid:durableId="973872097">
    <w:abstractNumId w:val="4"/>
  </w:num>
  <w:num w:numId="5" w16cid:durableId="1519274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033"/>
    <w:rsid w:val="00173FB7"/>
    <w:rsid w:val="00493109"/>
    <w:rsid w:val="00555DDE"/>
    <w:rsid w:val="00600606"/>
    <w:rsid w:val="006204C1"/>
    <w:rsid w:val="00630039"/>
    <w:rsid w:val="00715967"/>
    <w:rsid w:val="007B1A61"/>
    <w:rsid w:val="007C3757"/>
    <w:rsid w:val="007E6F05"/>
    <w:rsid w:val="008322A2"/>
    <w:rsid w:val="009344A2"/>
    <w:rsid w:val="00AC2877"/>
    <w:rsid w:val="00AF6033"/>
    <w:rsid w:val="00B60757"/>
    <w:rsid w:val="00BC6049"/>
    <w:rsid w:val="00BE503F"/>
    <w:rsid w:val="00C96F9B"/>
    <w:rsid w:val="00DE4B91"/>
    <w:rsid w:val="00E85113"/>
    <w:rsid w:val="00E85A36"/>
    <w:rsid w:val="00FB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DED58"/>
  <w15:chartTrackingRefBased/>
  <w15:docId w15:val="{DFC8780F-1F1D-4548-8C63-C67778FD8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033"/>
    <w:rPr>
      <w:rFonts w:eastAsiaTheme="majorEastAsia" w:cstheme="majorBidi"/>
      <w:color w:val="272727" w:themeColor="text1" w:themeTint="D8"/>
    </w:rPr>
  </w:style>
  <w:style w:type="paragraph" w:styleId="Title">
    <w:name w:val="Title"/>
    <w:basedOn w:val="Normal"/>
    <w:next w:val="Normal"/>
    <w:link w:val="TitleChar"/>
    <w:uiPriority w:val="10"/>
    <w:qFormat/>
    <w:rsid w:val="00AF6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033"/>
    <w:pPr>
      <w:spacing w:before="160"/>
      <w:jc w:val="center"/>
    </w:pPr>
    <w:rPr>
      <w:i/>
      <w:iCs/>
      <w:color w:val="404040" w:themeColor="text1" w:themeTint="BF"/>
    </w:rPr>
  </w:style>
  <w:style w:type="character" w:customStyle="1" w:styleId="QuoteChar">
    <w:name w:val="Quote Char"/>
    <w:basedOn w:val="DefaultParagraphFont"/>
    <w:link w:val="Quote"/>
    <w:uiPriority w:val="29"/>
    <w:rsid w:val="00AF6033"/>
    <w:rPr>
      <w:i/>
      <w:iCs/>
      <w:color w:val="404040" w:themeColor="text1" w:themeTint="BF"/>
    </w:rPr>
  </w:style>
  <w:style w:type="paragraph" w:styleId="ListParagraph">
    <w:name w:val="List Paragraph"/>
    <w:basedOn w:val="Normal"/>
    <w:uiPriority w:val="34"/>
    <w:qFormat/>
    <w:rsid w:val="00AF6033"/>
    <w:pPr>
      <w:ind w:left="720"/>
      <w:contextualSpacing/>
    </w:pPr>
  </w:style>
  <w:style w:type="character" w:styleId="IntenseEmphasis">
    <w:name w:val="Intense Emphasis"/>
    <w:basedOn w:val="DefaultParagraphFont"/>
    <w:uiPriority w:val="21"/>
    <w:qFormat/>
    <w:rsid w:val="00AF6033"/>
    <w:rPr>
      <w:i/>
      <w:iCs/>
      <w:color w:val="0F4761" w:themeColor="accent1" w:themeShade="BF"/>
    </w:rPr>
  </w:style>
  <w:style w:type="paragraph" w:styleId="IntenseQuote">
    <w:name w:val="Intense Quote"/>
    <w:basedOn w:val="Normal"/>
    <w:next w:val="Normal"/>
    <w:link w:val="IntenseQuoteChar"/>
    <w:uiPriority w:val="30"/>
    <w:qFormat/>
    <w:rsid w:val="00AF6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033"/>
    <w:rPr>
      <w:i/>
      <w:iCs/>
      <w:color w:val="0F4761" w:themeColor="accent1" w:themeShade="BF"/>
    </w:rPr>
  </w:style>
  <w:style w:type="character" w:styleId="IntenseReference">
    <w:name w:val="Intense Reference"/>
    <w:basedOn w:val="DefaultParagraphFont"/>
    <w:uiPriority w:val="32"/>
    <w:qFormat/>
    <w:rsid w:val="00AF6033"/>
    <w:rPr>
      <w:b/>
      <w:bCs/>
      <w:smallCaps/>
      <w:color w:val="0F4761" w:themeColor="accent1" w:themeShade="BF"/>
      <w:spacing w:val="5"/>
    </w:rPr>
  </w:style>
  <w:style w:type="paragraph" w:styleId="Header">
    <w:name w:val="header"/>
    <w:basedOn w:val="Normal"/>
    <w:link w:val="HeaderChar"/>
    <w:uiPriority w:val="99"/>
    <w:unhideWhenUsed/>
    <w:rsid w:val="00C96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F9B"/>
  </w:style>
  <w:style w:type="paragraph" w:styleId="Footer">
    <w:name w:val="footer"/>
    <w:basedOn w:val="Normal"/>
    <w:link w:val="FooterChar"/>
    <w:uiPriority w:val="99"/>
    <w:unhideWhenUsed/>
    <w:rsid w:val="00C96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F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81A0F3-CDCC-4490-919C-943710019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5</Pages>
  <Words>939</Words>
  <Characters>5944</Characters>
  <Application>Microsoft Office Word</Application>
  <DocSecurity>0</DocSecurity>
  <Lines>169</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Lucero</dc:creator>
  <cp:keywords/>
  <dc:description/>
  <cp:lastModifiedBy>Nicolas Lucero</cp:lastModifiedBy>
  <cp:revision>21</cp:revision>
  <dcterms:created xsi:type="dcterms:W3CDTF">2026-07-28T22:14:00Z</dcterms:created>
  <dcterms:modified xsi:type="dcterms:W3CDTF">2026-07-29T01:26:00Z</dcterms:modified>
</cp:coreProperties>
</file>