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8.png" ContentType="image/png"/>
  <Override PartName="/word/media/rId39.png" ContentType="image/png"/>
  <Override PartName="/word/media/rId33.png" ContentType="image/png"/>
  <Override PartName="/word/media/rId30.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NBA draft classes are associated with more late-season underperformance among teams with weak playoff outlooks. Using NBA team and player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win-loss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 A fourth exploratory analysis finds a stronger relationship between top-four draft strength and reduced late-season minutes for continuing core players, which points to roster management as a useful follow-up tanking signal.</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pStyle w:val="Compact"/>
        <w:numPr>
          <w:ilvl w:val="0"/>
          <w:numId w:val="1001"/>
        </w:numPr>
      </w:pPr>
      <w:r>
        <w:rPr>
          <w:rStyle w:val="VerbatimChar"/>
        </w:rPr>
        <w:t xml:space="preserve">pre_win_pct</w:t>
      </w:r>
      <w:r>
        <w:t xml:space="preserve"> </w:t>
      </w:r>
      <w:r>
        <w:t xml:space="preserve">and</w:t>
      </w:r>
      <w:r>
        <w:t xml:space="preserve"> </w:t>
      </w:r>
      <w:r>
        <w:rPr>
          <w:rStyle w:val="VerbatimChar"/>
        </w:rPr>
        <w:t xml:space="preserve">late_win_pct</w:t>
      </w:r>
      <w:r>
        <w:t xml:space="preserve"> </w:t>
      </w:r>
      <w:r>
        <w:t xml:space="preserve">are each team’s winning percentage before March 1 and on or after March 1.</w:t>
      </w:r>
      <w:r>
        <w:t xml:space="preserve"> </w:t>
      </w:r>
      <w:r>
        <w:rPr>
          <w:rStyle w:val="VerbatimChar"/>
        </w:rPr>
        <w:t xml:space="preserve">pre_win_pct</w:t>
      </w:r>
      <w:r>
        <w:t xml:space="preserve"> </w:t>
      </w:r>
      <w:r>
        <w:t xml:space="preserve">is used as a baseline team-strength control because a team that was already very weak before March should not be evaluated the same way as a team that was close to .500.</w:t>
      </w:r>
    </w:p>
    <w:p>
      <w:pPr>
        <w:pStyle w:val="Compact"/>
        <w:numPr>
          <w:ilvl w:val="0"/>
          <w:numId w:val="1001"/>
        </w:numPr>
      </w:pPr>
      <w:r>
        <w:rPr>
          <w:rStyle w:val="VerbatimChar"/>
        </w:rPr>
        <w:t xml:space="preserve">games_back_cutline</w:t>
      </w:r>
      <w:r>
        <w:t xml:space="preserve"> </w:t>
      </w:r>
      <w:r>
        <w:t xml:space="preserve">measures how far a team was from the postseason/play-in cutoff entering March. For seasons before the play-in era, the cutoff is the 8th seed. For seasons beginning in 2021, the cutoff is the 10th seed. We use this to help identify teams with weak playoff outlooks.</w:t>
      </w:r>
    </w:p>
    <w:p>
      <w:pPr>
        <w:pStyle w:val="Compact"/>
        <w:numPr>
          <w:ilvl w:val="0"/>
          <w:numId w:val="1001"/>
        </w:numPr>
      </w:pPr>
      <w:r>
        <w:rPr>
          <w:rStyle w:val="VerbatimChar"/>
        </w:rPr>
        <w:t xml:space="preserve">likely_lottery_candidate</w:t>
      </w:r>
      <w:r>
        <w:t xml:space="preserve"> </w:t>
      </w:r>
      <w:r>
        <w:t xml:space="preserve">is our sample filter for teams that plausibly had an incentive to prioritize draft position over late-season wins. A team is classified this way if it was outside the relevant postseason cutoff and was either at least 3 games behind that cutoff or below a .400 pre-March winning percentage. This is not an outcome variable; it defines the group of teams used in the formal models.</w:t>
      </w:r>
    </w:p>
    <w:p>
      <w:pPr>
        <w:pStyle w:val="Compact"/>
        <w:numPr>
          <w:ilvl w:val="0"/>
          <w:numId w:val="1001"/>
        </w:numPr>
      </w:pPr>
      <w:r>
        <w:rPr>
          <w:rStyle w:val="VerbatimChar"/>
        </w:rPr>
        <w:t xml:space="preserve">lottery_seed_march</w:t>
      </w:r>
      <w:r>
        <w:t xml:space="preserve"> </w:t>
      </w:r>
      <w:r>
        <w:t xml:space="preserve">is an estimated lottery position entering March, based on league-wide pre-March record. The worst pre-March record is seed 1, the second-worst is seed 2, and so on through the 14-team lottery. This is an approximation because final lottery order depends on end-of-season records and tiebreakers.</w:t>
      </w:r>
    </w:p>
    <w:p>
      <w:pPr>
        <w:pStyle w:val="Compact"/>
        <w:numPr>
          <w:ilvl w:val="0"/>
          <w:numId w:val="1001"/>
        </w:numPr>
      </w:pPr>
      <w:r>
        <w:rPr>
          <w:rStyle w:val="VerbatimChar"/>
        </w:rPr>
        <w:t xml:space="preserve">top4_avg_rating</w:t>
      </w:r>
      <w:r>
        <w:t xml:space="preserve"> </w:t>
      </w:r>
      <w:r>
        <w:t xml:space="preserve">is the average CraftedNBA rating of the top four prospects in a draft class. Higher values mean a stronger top of the draft. This variable is the same for every team in the same season, so raw top-four draft-strength models are interpreted as draft-class-level evidence.</w:t>
      </w:r>
    </w:p>
    <w:p>
      <w:pPr>
        <w:pStyle w:val="Compact"/>
        <w:numPr>
          <w:ilvl w:val="0"/>
          <w:numId w:val="1001"/>
        </w:numPr>
      </w:pPr>
      <w:r>
        <w:rPr>
          <w:rStyle w:val="VerbatimChar"/>
        </w:rPr>
        <w:t xml:space="preserve">marginal_lottery_incentive</w:t>
      </w:r>
      <w:r>
        <w:t xml:space="preserve"> </w:t>
      </w:r>
      <w:r>
        <w:t xml:space="preserve">is our team-specific draft incentive. First, we calculate how much a team’s probability of landing a top-four pick would increase if it moved one lottery slot worse. Then we multiply that probability gain by</w:t>
      </w:r>
      <w:r>
        <w:t xml:space="preserve"> </w:t>
      </w:r>
      <w:r>
        <w:rPr>
          <w:rStyle w:val="VerbatimChar"/>
        </w:rPr>
        <w:t xml:space="preserve">top4_avg_rating</w:t>
      </w:r>
      <w:r>
        <w:t xml:space="preserve">:</w:t>
      </w:r>
      <w:r>
        <w:br/>
      </w:r>
      <w:r>
        <w:rPr>
          <w:rStyle w:val="VerbatimChar"/>
        </w:rPr>
        <w:t xml:space="preserve">marginal_lottery_incentive = top4_avg_rating x marginal top-four-pick probability gain</w:t>
      </w:r>
      <w:r>
        <w:t xml:space="preserve">.</w:t>
      </w:r>
      <w:r>
        <w:br/>
      </w:r>
      <w:r>
        <w:t xml:space="preserve">For example, if moving from the fifth-worst to fourth-worst record increases a team’s top-four-pick probability, that gain is more valuable in a year with a stronger top four. Teams with no added top-four-pick probability from moving one slot worse, such as the worst team, receive a marginal incentive of 0.</w:t>
      </w:r>
    </w:p>
    <w:p>
      <w:pPr>
        <w:pStyle w:val="Compact"/>
        <w:numPr>
          <w:ilvl w:val="0"/>
          <w:numId w:val="1001"/>
        </w:numPr>
      </w:pPr>
      <w:r>
        <w:rPr>
          <w:rStyle w:val="VerbatimChar"/>
        </w:rPr>
        <w:t xml:space="preserve">tanking_index</w:t>
      </w:r>
      <w:r>
        <w:t xml:space="preserve"> </w:t>
      </w:r>
      <w:r>
        <w:t xml:space="preserve">is the main win-loss outcome. It compares a team’s actual March-onward wins to the number of late-season wins expected from its pre-March winning percentage:</w:t>
      </w:r>
      <w:r>
        <w:br/>
      </w:r>
      <w:r>
        <w:rPr>
          <w:rStyle w:val="VerbatimChar"/>
        </w:rPr>
        <w:t xml:space="preserve">expected late wins = late games x pre_win_pct</w:t>
      </w:r>
      <w:r>
        <w:br/>
      </w:r>
      <w:r>
        <w:rPr>
          <w:rStyle w:val="VerbatimChar"/>
        </w:rPr>
        <w:t xml:space="preserve">tanking_index = (expected late wins - actual late wins) / expected standard deviation</w:t>
      </w:r>
      <w:r>
        <w:t xml:space="preserve">.</w:t>
      </w:r>
      <w:r>
        <w:br/>
      </w:r>
      <w:r>
        <w:t xml:space="preserve">Positive values mean the team won fewer late-season games than expected. Values near 0 mean it performed about as expected. Negative values mean it overperformed late in the season.</w:t>
      </w:r>
    </w:p>
    <w:p>
      <w:pPr>
        <w:pStyle w:val="Compact"/>
        <w:numPr>
          <w:ilvl w:val="0"/>
          <w:numId w:val="1001"/>
        </w:numPr>
      </w:pPr>
      <w:r>
        <w:rPr>
          <w:rStyle w:val="VerbatimChar"/>
        </w:rPr>
        <w:t xml:space="preserve">team_fit_score</w:t>
      </w:r>
      <w:r>
        <w:t xml:space="preserve"> </w:t>
      </w:r>
      <w:r>
        <w:t xml:space="preserve">is an exploratory team-specific measure of whether a team’s weaknesses line up with the strengths of that year’s draft. We group players and prospects into guards, wings, and bigs. First, we estimate each team’s pre-March need by identifying position groups where its production was below the league average. Second, we calculate which position groups contain more high-rated prospects in that draft class. The score is higher when a team’s weak position groups match the positions where the draft class is strongest. This is a rough proxy for roster fit, not a team-specific draft board.</w:t>
      </w:r>
    </w:p>
    <w:p>
      <w:pPr>
        <w:pStyle w:val="Compact"/>
        <w:numPr>
          <w:ilvl w:val="0"/>
          <w:numId w:val="1001"/>
        </w:numPr>
      </w:pPr>
      <w:r>
        <w:rPr>
          <w:rStyle w:val="VerbatimChar"/>
        </w:rPr>
        <w:t xml:space="preserve">core_usage_drop_rate</w:t>
      </w:r>
      <w:r>
        <w:t xml:space="preserve"> </w:t>
      </w:r>
      <w:r>
        <w:t xml:space="preserve">is an exploratory roster-management outcome. For each team-season, we identify the team’s top three pre-March core players by starts, breaking ties by minutes. We keep only core players who appeared for the same team after March 1, so traded players are not counted as</w:t>
      </w:r>
      <w:r>
        <w:t xml:space="preserve"> </w:t>
      </w:r>
      <w:r>
        <w:t xml:space="preserve">“benched.”</w:t>
      </w:r>
      <w:r>
        <w:t xml:space="preserve"> </w:t>
      </w:r>
      <w:r>
        <w:t xml:space="preserve">We then calculate their combined minutes per team game before and after March:</w:t>
      </w:r>
      <w:r>
        <w:br/>
      </w:r>
      <w:r>
        <w:rPr>
          <w:rStyle w:val="VerbatimChar"/>
        </w:rPr>
        <w:t xml:space="preserve">core usage drop rate = (pre-March core MPG - late core MPG) / pre-March core MPG</w:t>
      </w:r>
      <w:r>
        <w:t xml:space="preserve">.</w:t>
      </w:r>
      <w:r>
        <w:br/>
      </w:r>
      <w:r>
        <w:t xml:space="preserve">Positive values mean the team’s main continuing pre-March players were used less after March 1. This does not prove healthy starters were benched; injuries, rest, development minutes, and coaching decisions can also reduce minutes.</w:t>
      </w:r>
    </w:p>
    <w:p>
      <w:pPr>
        <w:pStyle w:val="Compact"/>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w:t>
      </w:r>
      <w:r>
        <w:t xml:space="preserve">are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 Similarly, if a team’s top three continuing core players averaged 95 combined minutes per game before March and 76 after March, its</w:t>
      </w:r>
      <w:r>
        <w:t xml:space="preserve"> </w:t>
      </w:r>
      <w:r>
        <w:rPr>
          <w:rStyle w:val="VerbatimChar"/>
        </w:rPr>
        <w:t xml:space="preserve">core_usage_drop_rate</w:t>
      </w:r>
      <w:r>
        <w:t xml:space="preserve"> </w:t>
      </w:r>
      <w:r>
        <w:t xml:space="preserve">would be</w:t>
      </w:r>
      <w:r>
        <w:t xml:space="preserve"> </w:t>
      </w:r>
      <w:r>
        <w:rPr>
          <w:rStyle w:val="VerbatimChar"/>
        </w:rPr>
        <w:t xml:space="preserve">(95 - 76) / 95 = 0.20</w:t>
      </w:r>
      <w:r>
        <w:t xml:space="preserve">, or a 20% drop in core-player usage.</w:t>
      </w:r>
    </w:p>
    <w:bookmarkEnd w:id="29"/>
    <w:bookmarkStart w:id="45"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2043"/>
        <w:gridCol w:w="2214"/>
        <w:gridCol w:w="340"/>
        <w:gridCol w:w="1021"/>
        <w:gridCol w:w="1107"/>
        <w:gridCol w:w="1192"/>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r>
      <w:tr>
        <w:tc>
          <w:tcPr/>
          <w:p>
            <w:pPr>
              <w:pStyle w:val="Compact"/>
              <w:jc w:val="left"/>
            </w:pPr>
            <w:r>
              <w:t xml:space="preserve">Post-reform (2019-2026)</w:t>
            </w: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r>
      <w:tr>
        <w:tc>
          <w:tcPr/>
          <w:p>
            <w:pPr>
              <w:pStyle w:val="Compact"/>
              <w:jc w:val="left"/>
            </w:pPr>
            <w:r>
              <w:t xml:space="preserve">Pre-reform (2010-2018)</w:t>
            </w: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final regression relies on the full</w:t>
      </w:r>
      <w:r>
        <w:t xml:space="preserve"> </w:t>
      </w:r>
      <w:r>
        <w:rPr>
          <w:rStyle w:val="VerbatimChar"/>
        </w:rPr>
        <w:t xml:space="preserve">tanking_index</w:t>
      </w:r>
      <w:r>
        <w:t xml:space="preserve">, which measures degree of late-season underperformance instead of forcing teams into a yes/no collapse category.</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 title="" id="31" name="Picture"/>
            <a:graphic>
              <a:graphicData uri="http://schemas.openxmlformats.org/drawingml/2006/picture">
                <pic:pic>
                  <pic:nvPicPr>
                    <pic:cNvPr descr="final-report_files/figure-docx/visual-expected-vs-actual-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darker red points are teams with larger positive tanking-index values: they won substantially fewer late-season games than expected from their earlier record. This is why the regression below uses the full</w:t>
      </w:r>
      <w:r>
        <w:t xml:space="preserve"> </w:t>
      </w:r>
      <w:r>
        <w:rPr>
          <w:rStyle w:val="VerbatimChar"/>
        </w:rPr>
        <w:t xml:space="preserve">tanking_index</w:t>
      </w:r>
      <w:r>
        <w:t xml:space="preserve"> </w:t>
      </w:r>
      <w:r>
        <w:t xml:space="preserve">rather than a binary collapse label.</w:t>
      </w:r>
    </w:p>
    <w:p>
      <w:pPr>
        <w:pStyle w:val="CaptionedFigure"/>
      </w:pPr>
      <w:r>
        <w:drawing>
          <wp:inline>
            <wp:extent cx="5334000" cy="3333750"/>
            <wp:effectExtent b="0" l="0" r="0" t="0"/>
            <wp:docPr descr="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 title="" id="34" name="Picture"/>
            <a:graphic>
              <a:graphicData uri="http://schemas.openxmlformats.org/drawingml/2006/picture">
                <pic:pic>
                  <pic:nvPicPr>
                    <pic:cNvPr descr="final-report_files/figure-docx/visual-draft-strength-1.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 title="" id="37" name="Picture"/>
            <a:graphic>
              <a:graphicData uri="http://schemas.openxmlformats.org/drawingml/2006/picture">
                <pic:pic>
                  <pic:nvPicPr>
                    <pic:cNvPr descr="final-report_files/figure-docx/visual-team-season-observations-1.png" id="38" name="Picture"/>
                    <pic:cNvPicPr>
                      <a:picLocks noChangeArrowheads="1" noChangeAspect="1"/>
                    </pic:cNvPicPr>
                  </pic:nvPicPr>
                  <pic:blipFill>
                    <a:blip r:embed="rId3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0" name="Picture"/>
            <a:graphic>
              <a:graphicData uri="http://schemas.openxmlformats.org/drawingml/2006/picture">
                <pic:pic>
                  <pic:nvPicPr>
                    <pic:cNvPr descr="final-report_files/figure-docx/visual-draft-rating-comparison-1.png" id="41" name="Picture"/>
                    <pic:cNvPicPr>
                      <a:picLocks noChangeArrowheads="1" noChangeAspect="1"/>
                    </pic:cNvPicPr>
                  </pic:nvPicPr>
                  <pic:blipFill>
                    <a:blip r:embed="rId39"/>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4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3" name="Picture"/>
            <a:graphic>
              <a:graphicData uri="http://schemas.openxmlformats.org/drawingml/2006/picture">
                <pic:pic>
                  <pic:nvPicPr>
                    <pic:cNvPr descr="final-report_files/figure-docx/visual-position-adjusted-incentive-1.png" id="44" name="Picture"/>
                    <pic:cNvPicPr>
                      <a:picLocks noChangeArrowheads="1" noChangeAspect="1"/>
                    </pic:cNvPicPr>
                  </pic:nvPicPr>
                  <pic:blipFill>
                    <a:blip r:embed="rId4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5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5"/>
    <w:bookmarkStart w:id="57"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w:t>
      </w:r>
    </w:p>
    <w:p>
      <w:pPr>
        <w:pStyle w:val="BodyText"/>
      </w:pPr>
      <w:r>
        <w:t xml:space="preserve">All formal regression models in this section use</w:t>
      </w:r>
      <w:r>
        <w:t xml:space="preserve"> </w:t>
      </w:r>
      <w:r>
        <w:rPr>
          <w:b/>
          <w:bCs/>
        </w:rPr>
        <w:t xml:space="preserve">team-season outcomes</w:t>
      </w:r>
      <w:r>
        <w:t xml:space="preserve">, not one observation per season. In other words, a team like Houston in 2021 and Orlando in 2021 are separate rows because they had different pre-March records, lottery positions, marginal lottery incentives, team-fit scores, core-player usage patterns, and late-season outcomes. However, not every explanatory variable varies at the team-season level. Raw</w:t>
      </w:r>
      <w:r>
        <w:t xml:space="preserve"> </w:t>
      </w:r>
      <w:r>
        <w:rPr>
          <w:rStyle w:val="VerbatimChar"/>
        </w:rPr>
        <w:t xml:space="preserve">top4_avg_rating</w:t>
      </w:r>
      <w:r>
        <w:t xml:space="preserve"> </w:t>
      </w:r>
      <w:r>
        <w:t xml:space="preserve">is the same for every team in the same draft year, so models using only raw draft strength should be interpreted as evidence about season-level draft-class strength, not as 172 fully independent draft-strength observations. To address this, we emphasize team-specific variables such as</w:t>
      </w:r>
      <w:r>
        <w:t xml:space="preserve"> </w:t>
      </w:r>
      <w:r>
        <w:rPr>
          <w:rStyle w:val="VerbatimChar"/>
        </w:rPr>
        <w:t xml:space="preserve">marginal_lottery_incentive</w:t>
      </w:r>
      <w:r>
        <w:t xml:space="preserve"> </w:t>
      </w:r>
      <w:r>
        <w:t xml:space="preserve">and</w:t>
      </w:r>
      <w:r>
        <w:t xml:space="preserve"> </w:t>
      </w:r>
      <w:r>
        <w:rPr>
          <w:rStyle w:val="VerbatimChar"/>
        </w:rPr>
        <w:t xml:space="preserve">team_fit_score</w:t>
      </w:r>
      <w:r>
        <w:t xml:space="preserve"> </w:t>
      </w:r>
      <w:r>
        <w:t xml:space="preserve">when the research question is about team-level incentives, and we report season-clustered inference for the core-player usage checks that use raw top-four draft rating.</w:t>
      </w:r>
    </w:p>
    <w:p>
      <w:pPr>
        <w:pStyle w:val="BodyText"/>
      </w:pPr>
      <w:r>
        <w:t xml:space="preserve">The final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follow-up checks for whether the relationship changed after the 2019 lottery reform, whether a team’s roster fit with the draft class adds explanatory power, and whether stronger top-four draft classes are associated with late-season reductions in core-player minutes.</w:t>
      </w:r>
    </w:p>
    <w:bookmarkStart w:id="46" w:name="analysis-1-prepost-reform-interaction"/>
    <w:p>
      <w:pPr>
        <w:pStyle w:val="Heading3"/>
      </w:pPr>
      <w:r>
        <w:t xml:space="preserve">Analysis 1: Pre/Post Reform Interaction</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0.539</w:t>
            </w:r>
          </w:p>
        </w:tc>
      </w:tr>
      <w:tr>
        <w:tc>
          <w:tcPr/>
          <w:p>
            <w:pPr>
              <w:pStyle w:val="Compact"/>
              <w:jc w:val="left"/>
            </w:pPr>
            <w:r>
              <w:t xml:space="preserve">Tanking index</w:t>
            </w: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0.657</w:t>
            </w:r>
          </w:p>
        </w:tc>
      </w:tr>
      <w:tr>
        <w:tc>
          <w:tcPr/>
          <w:p>
            <w:pPr>
              <w:pStyle w:val="Compact"/>
              <w:jc w:val="left"/>
            </w:pPr>
            <w:r>
              <w:t xml:space="preserve">Tanking index</w:t>
            </w: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0.326</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The coefficient of interest in Table 2 is the draft-strength slope and its interaction with the post-2019 reform indicator. Because</w:t>
      </w:r>
      <w:r>
        <w:t xml:space="preserve"> </w:t>
      </w:r>
      <w:r>
        <w:rPr>
          <w:rStyle w:val="VerbatimChar"/>
        </w:rPr>
        <w:t xml:space="preserve">top4_avg_rating</w:t>
      </w:r>
      <w:r>
        <w:t xml:space="preserve"> </w:t>
      </w:r>
      <w:r>
        <w:t xml:space="preserve">is standardized, the top-four draft rating coefficient means that, before the reform, a one-standard-deviation increase in top-four draft strength is associated with a 0.077 change in the tanking index, holding pre-March strength and disrupted-season controls fixed. The interaction coefficient of 0.207 is the additional post-reform change in that slope, so the implied post-reform slope is 0.284. Since the interaction p-value is 0.33, we do not treat this as strong evidence that the relationship changed after the lottery reform.</w:t>
      </w:r>
    </w:p>
    <w:bookmarkEnd w:id="46"/>
    <w:bookmarkStart w:id="47" w:name="Xe837124f9f200bd350346b45a493dd227e53ca1"/>
    <w:p>
      <w:pPr>
        <w:pStyle w:val="Heading3"/>
      </w:pPr>
      <w:r>
        <w:t xml:space="preserve">Analysis 2: Position-Adjusted Team-Season Regression</w:t>
      </w:r>
    </w:p>
    <w:p>
      <w:pPr>
        <w:pStyle w:val="FirstParagraph"/>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of turning a strong top-four draft class into a top-four pick.</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two ways of measuring draft strength: the average rating of the top 35 prospects and the average rating of only the top four prospects. The top-four version is our preferred measure because the lottery is mainly about access to the top of the draft. In both models, the coefficient of interest has the same interpretation: the expected change in</w:t>
      </w:r>
      <w:r>
        <w:t xml:space="preserve"> </w:t>
      </w:r>
      <w:r>
        <w:rPr>
          <w:rStyle w:val="VerbatimChar"/>
        </w:rPr>
        <w:t xml:space="preserve">tanking_index</w:t>
      </w:r>
      <w:r>
        <w:t xml:space="preserve"> </w:t>
      </w:r>
      <w:r>
        <w:t xml:space="preserve">for a one-standard-deviation increase in the position-adjusted draft incentive. The top-four version performs slightly better in the final model: the top-35 incentive p-value is 0.13, compared with 0.12 for the top-four incentive.</w:t>
      </w:r>
    </w:p>
    <w:p>
      <w:pPr>
        <w:pStyle w:val="BodyText"/>
      </w:pPr>
      <w:r>
        <w:t xml:space="preserve">The final model uses the full</w:t>
      </w:r>
      <w:r>
        <w:t xml:space="preserve"> </w:t>
      </w:r>
      <w:r>
        <w:rPr>
          <w:rStyle w:val="VerbatimChar"/>
        </w:rPr>
        <w:t xml:space="preserve">tanking_index</w:t>
      </w:r>
      <w:r>
        <w:t xml:space="preserve"> </w:t>
      </w:r>
      <w:r>
        <w:t xml:space="preserve">rather than a binary collapse flag because the index keeps more information. A strict cutoff is useful for labeling the most obvious cases in figures, but it treats a small late-season decline and a strong late-season improvement as equally</w:t>
      </w:r>
      <w:r>
        <w:t xml:space="preserve"> </w:t>
      </w:r>
      <w:r>
        <w:t xml:space="preserve">“not flagged.”</w:t>
      </w:r>
      <w:r>
        <w:t xml:space="preserve"> </w:t>
      </w:r>
      <w:r>
        <w:t xml:space="preserve">The continuous index is better for regression because larger underperformance counts more strongly, while late-season overperformance counts against the tanking-incentive story.</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jc w:val="left"/>
            </w:pPr>
            <w:r>
              <w:t xml:space="preserve">Tanking index</w:t>
            </w: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jc w:val="left"/>
            </w:pPr>
            <w:r>
              <w:t xml:space="preserve">Tanking index</w:t>
            </w: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jc w:val="left"/>
            </w:pPr>
            <w:r>
              <w:t xml:space="preserve">Tanking index</w:t>
            </w: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Because the incentive variable is standardized, this means that a likely lottery team with a one-standard-deviation larger marginal top-four draft incentive is expected to have a tanking index that is 0.157 units higher, holding pre-March win percentage and disrupted-season controls fixed. Positive values of the tanking index mean more late-season wins below expectation, so the positive coefficient points in the direction predicted by the tanking-incentive story.</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reverse the direction of the estimate. The coefficient has the same interpretation as in Table 3, but it is estimated on the sample without the unusual 2021 season: a one-standard-deviation larger position-adjusted draft incentive is associated with a 0.145 higher tanking index, holding the remaining controls fixed. The position-adjusted incentive coefficient changes from 0.157 in the all-years model to 0.145 after excluding 2021, with the p-value changing from 0.12 to 0.14.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7"/>
    <w:bookmarkStart w:id="51" w:name="analysis-3-team-fit-heterogeneity-check"/>
    <w:p>
      <w:pPr>
        <w:pStyle w:val="Heading3"/>
      </w:pPr>
      <w:r>
        <w:t xml:space="preserve">Analysis 3: Team-Fit Heterogeneity Check</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in two steps. First, we use pre-March player game logs to measure each team’s production by position group: guard, wing, and big. Position groups that are below the league average in that season receive higher need scores. Second, we use CraftedNBA prospect positions and ratings to measure how much of each draft class’s top-35 prospect value is concentrated in each position group. The final fit score is higher when a team’s weak position groups align with the position groups where that draft has more high-rated prospects.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top-four draft rating among likely lottery candidates (0.009). In other words, it is not just another version of draft strength.</w:t>
      </w:r>
    </w:p>
    <w:p>
      <w:pPr>
        <w:pStyle w:val="CaptionedFigure"/>
      </w:pPr>
      <w:r>
        <w:drawing>
          <wp:inline>
            <wp:extent cx="5334000" cy="3597671"/>
            <wp:effectExtent b="0" l="0" r="0" t="0"/>
            <wp:docPr descr="Figure 6. Team fit and tanking index among likely lottery candidates. Each point is one team-season. The x-axis measures whether a team’s pre-March positional weaknesses align with the strongest prospect position groups in that year’s draft, and color shows top-four draft class strength." title="" id="49" name="Picture"/>
            <a:graphic>
              <a:graphicData uri="http://schemas.openxmlformats.org/drawingml/2006/picture">
                <pic:pic>
                  <pic:nvPicPr>
                    <pic:cNvPr descr="final-report_files/figure-docx/team-fit-visual-1.png" id="50" name="Picture"/>
                    <pic:cNvPicPr>
                      <a:picLocks noChangeArrowheads="1" noChangeAspect="1"/>
                    </pic:cNvPicPr>
                  </pic:nvPicPr>
                  <pic:blipFill>
                    <a:blip r:embed="rId48"/>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jc w:val="left"/>
            </w:pPr>
            <w:r>
              <w:t xml:space="preserve">Tanking index</w:t>
            </w: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jc w:val="left"/>
            </w:pPr>
            <w:r>
              <w:t xml:space="preserve">Tanking index</w:t>
            </w: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The coefficient of interest in Table 5 is the interaction between top-four draft strength and team fit. Because both variables are standardized, the interaction coefficient of -0.032 means that a one-standard-deviation increase in team fit changes the draft-strength slope by -0.032 tanking-index units, holding the controls fixed. The interaction p-value is 0.76, so this is not statistically significant.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51"/>
    <w:bookmarkStart w:id="55" w:name="analysis-4-core-player-usage-reduction"/>
    <w:p>
      <w:pPr>
        <w:pStyle w:val="Heading3"/>
      </w:pPr>
      <w:r>
        <w:t xml:space="preserve">Analysis 4: Core-Player Usage Reduction</w:t>
      </w:r>
    </w:p>
    <w:p>
      <w:pPr>
        <w:pStyle w:val="FirstParagraph"/>
      </w:pPr>
      <w:r>
        <w:t xml:space="preserve">The final exploratory model uses a different kind of tanking signal: whether likely lottery teams reduce the minutes of their main pre-March players late in the season. This is motivated by the idea that tanking may show up not only in losses, but also in roster management. We define each team’s core players as the three players with the most pre-March starts, breaking ties by pre-March minutes. To focus on usage changes rather than trades or complete absences, we keep only core players who appeared for the same team at least once after March 1. We then calculate their combined minutes per team game before March and after March. The outcome,</w:t>
      </w:r>
      <w:r>
        <w:t xml:space="preserve"> </w:t>
      </w:r>
      <w:r>
        <w:rPr>
          <w:rStyle w:val="VerbatimChar"/>
        </w:rPr>
        <w:t xml:space="preserve">core_usage_drop_rate</w:t>
      </w:r>
      <w:r>
        <w:t xml:space="preserve">, is the percentage drop in those core-player minutes after March 1. Positive values mean the team’s main continuing pre-March players were used less late in the season.</w:t>
      </w:r>
    </w:p>
    <w:p>
      <w:pPr>
        <w:pStyle w:val="BodyText"/>
      </w:pPr>
      <w:r>
        <w:t xml:space="preserve">This model should be interpreted cautiously. The player logs include</w:t>
      </w:r>
      <w:r>
        <w:t xml:space="preserve"> </w:t>
      </w:r>
      <w:r>
        <w:rPr>
          <w:rStyle w:val="VerbatimChar"/>
        </w:rPr>
        <w:t xml:space="preserve">did_not_play</w:t>
      </w:r>
      <w:r>
        <w:t xml:space="preserve">,</w:t>
      </w:r>
      <w:r>
        <w:t xml:space="preserve"> </w:t>
      </w:r>
      <w:r>
        <w:rPr>
          <w:rStyle w:val="VerbatimChar"/>
        </w:rPr>
        <w:t xml:space="preserve">active</w:t>
      </w:r>
      <w:r>
        <w:t xml:space="preserve">, and</w:t>
      </w:r>
      <w:r>
        <w:t xml:space="preserve"> </w:t>
      </w:r>
      <w:r>
        <w:rPr>
          <w:rStyle w:val="VerbatimChar"/>
        </w:rPr>
        <w:t xml:space="preserve">reason</w:t>
      </w:r>
      <w:r>
        <w:t xml:space="preserve"> </w:t>
      </w:r>
      <w:r>
        <w:t xml:space="preserve">fields, but they do not perfectly tell us whether a player was healthy. Therefore this is a</w:t>
      </w:r>
      <w:r>
        <w:t xml:space="preserve"> </w:t>
      </w:r>
      <w:r>
        <w:rPr>
          <w:b/>
          <w:bCs/>
        </w:rPr>
        <w:t xml:space="preserve">core-player usage reduction</w:t>
      </w:r>
      <w:r>
        <w:t xml:space="preserve"> </w:t>
      </w:r>
      <w:r>
        <w:t xml:space="preserve">model, not proof that teams intentionally benched healthy starters. We use raw top-four draft rating here, instead of the position-adjusted lottery incentive, because this mechanism asks whether stronger top-end classes are associated with a broader roster-management response among likely lottery teams.</w:t>
      </w:r>
    </w:p>
    <w:p>
      <w:pPr>
        <w:pStyle w:val="CaptionedFigure"/>
      </w:pPr>
      <w:r>
        <w:drawing>
          <wp:inline>
            <wp:extent cx="5334000" cy="3597671"/>
            <wp:effectExtent b="0" l="0" r="0" t="0"/>
            <wp:docPr descr="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 title="" id="53" name="Picture"/>
            <a:graphic>
              <a:graphicData uri="http://schemas.openxmlformats.org/drawingml/2006/picture">
                <pic:pic>
                  <pic:nvPicPr>
                    <pic:cNvPr descr="final-report_files/figure-docx/core-usage-visual-1.png" id="54" name="Picture"/>
                    <pic:cNvPicPr>
                      <a:picLocks noChangeArrowheads="1" noChangeAspect="1"/>
                    </pic:cNvPicPr>
                  </pic:nvPicPr>
                  <pic:blipFill>
                    <a:blip r:embed="rId5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w:t>
      </w:r>
    </w:p>
    <w:p>
      <w:pPr>
        <w:pStyle w:val="TableCaption"/>
      </w:pPr>
      <w:r>
        <w:t xml:space="preserve">Table 6. Exploratory model predicting late-season core-player usage reduction among likely lottery candidates.</w:t>
      </w:r>
    </w:p>
    <w:tbl>
      <w:tblPr>
        <w:tblStyle w:val="Table"/>
        <w:tblW w:type="pct" w:w="5000"/>
        <w:tblLayout w:type="fixed"/>
        <w:tblLook w:firstRow="1" w:lastRow="0" w:firstColumn="0" w:lastColumn="0" w:noHBand="0" w:noVBand="0" w:val="0020"/>
        <w:tblCaption w:val="Table 6. Exploratory model predicting late-season core-player usage reduction among likely lottery candidates."/>
      </w:tblPr>
      <w:tblGrid>
        <w:gridCol w:w="2843"/>
        <w:gridCol w:w="2233"/>
        <w:gridCol w:w="913"/>
        <w:gridCol w:w="1116"/>
        <w:gridCol w:w="81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Core-player usage drop rate</w:t>
            </w:r>
          </w:p>
        </w:tc>
        <w:tc>
          <w:tcPr/>
          <w:p>
            <w:pPr>
              <w:pStyle w:val="Compact"/>
              <w:jc w:val="left"/>
            </w:pPr>
            <w:r>
              <w:t xml:space="preserve">Top-four draft rating</w:t>
            </w:r>
          </w:p>
        </w:tc>
        <w:tc>
          <w:tcPr/>
          <w:p>
            <w:pPr>
              <w:pStyle w:val="Compact"/>
              <w:jc w:val="right"/>
            </w:pPr>
            <w:r>
              <w:t xml:space="preserve">0.054</w:t>
            </w:r>
          </w:p>
        </w:tc>
        <w:tc>
          <w:tcPr/>
          <w:p>
            <w:pPr>
              <w:pStyle w:val="Compact"/>
              <w:jc w:val="right"/>
            </w:pPr>
            <w:r>
              <w:t xml:space="preserve">0.016</w:t>
            </w:r>
          </w:p>
        </w:tc>
        <w:tc>
          <w:tcPr/>
          <w:p>
            <w:pPr>
              <w:pStyle w:val="Compact"/>
              <w:jc w:val="right"/>
            </w:pPr>
            <w:r>
              <w:t xml:space="preserve">0.001</w:t>
            </w:r>
          </w:p>
        </w:tc>
      </w:tr>
      <w:tr>
        <w:tc>
          <w:tcPr/>
          <w:p>
            <w:pPr>
              <w:pStyle w:val="Compact"/>
              <w:jc w:val="left"/>
            </w:pPr>
            <w:r>
              <w:t xml:space="preserve">Core-player usage drop rate</w:t>
            </w:r>
          </w:p>
        </w:tc>
        <w:tc>
          <w:tcPr/>
          <w:p>
            <w:pPr>
              <w:pStyle w:val="Compact"/>
              <w:jc w:val="left"/>
            </w:pPr>
            <w:r>
              <w:t xml:space="preserve">Pre-March core MPG</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0.591</w:t>
            </w:r>
          </w:p>
        </w:tc>
      </w:tr>
      <w:tr>
        <w:tc>
          <w:tcPr/>
          <w:p>
            <w:pPr>
              <w:pStyle w:val="Compact"/>
              <w:jc w:val="left"/>
            </w:pPr>
            <w:r>
              <w:t xml:space="preserve">Core-player usage drop rate</w:t>
            </w: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0.065</w:t>
            </w:r>
          </w:p>
        </w:tc>
        <w:tc>
          <w:tcPr/>
          <w:p>
            <w:pPr>
              <w:pStyle w:val="Compact"/>
              <w:jc w:val="right"/>
            </w:pPr>
            <w:r>
              <w:t xml:space="preserve">0.386</w:t>
            </w:r>
          </w:p>
        </w:tc>
      </w:tr>
      <w:tr>
        <w:tc>
          <w:tcPr/>
          <w:p>
            <w:pPr>
              <w:pStyle w:val="Compact"/>
              <w:jc w:val="left"/>
            </w:pPr>
            <w:r>
              <w:t xml:space="preserve">Core-player usage drop rate</w:t>
            </w:r>
          </w:p>
        </w:tc>
        <w:tc>
          <w:tcPr/>
          <w:p>
            <w:pPr>
              <w:pStyle w:val="Compact"/>
              <w:jc w:val="left"/>
            </w:pPr>
            <w:r>
              <w:t xml:space="preserve">2020 season</w:t>
            </w:r>
          </w:p>
        </w:tc>
        <w:tc>
          <w:tcPr/>
          <w:p>
            <w:pPr>
              <w:pStyle w:val="Compact"/>
              <w:jc w:val="right"/>
            </w:pPr>
            <w:r>
              <w:t xml:space="preserve">-0.178</w:t>
            </w:r>
          </w:p>
        </w:tc>
        <w:tc>
          <w:tcPr/>
          <w:p>
            <w:pPr>
              <w:pStyle w:val="Compact"/>
              <w:jc w:val="right"/>
            </w:pPr>
            <w:r>
              <w:t xml:space="preserve">0.063</w:t>
            </w:r>
          </w:p>
        </w:tc>
        <w:tc>
          <w:tcPr/>
          <w:p>
            <w:pPr>
              <w:pStyle w:val="Compact"/>
              <w:jc w:val="right"/>
            </w:pPr>
            <w:r>
              <w:t xml:space="preserve">0.005</w:t>
            </w:r>
          </w:p>
        </w:tc>
      </w:tr>
      <w:tr>
        <w:tc>
          <w:tcPr/>
          <w:p>
            <w:pPr>
              <w:pStyle w:val="Compact"/>
              <w:jc w:val="left"/>
            </w:pPr>
            <w:r>
              <w:t xml:space="preserve">Core-player usage drop rate</w:t>
            </w:r>
          </w:p>
        </w:tc>
        <w:tc>
          <w:tcPr/>
          <w:p>
            <w:pPr>
              <w:pStyle w:val="Compact"/>
              <w:jc w:val="left"/>
            </w:pPr>
            <w:r>
              <w:t xml:space="preserve">2021 season</w:t>
            </w:r>
          </w:p>
        </w:tc>
        <w:tc>
          <w:tcPr/>
          <w:p>
            <w:pPr>
              <w:pStyle w:val="Compact"/>
              <w:jc w:val="right"/>
            </w:pPr>
            <w:r>
              <w:t xml:space="preserve">0.181</w:t>
            </w:r>
          </w:p>
        </w:tc>
        <w:tc>
          <w:tcPr/>
          <w:p>
            <w:pPr>
              <w:pStyle w:val="Compact"/>
              <w:jc w:val="right"/>
            </w:pPr>
            <w:r>
              <w:t xml:space="preserve">0.080</w:t>
            </w:r>
          </w:p>
        </w:tc>
        <w:tc>
          <w:tcPr/>
          <w:p>
            <w:pPr>
              <w:pStyle w:val="Compact"/>
              <w:jc w:val="right"/>
            </w:pPr>
            <w:r>
              <w:t xml:space="preserve">0.025</w:t>
            </w:r>
          </w:p>
        </w:tc>
      </w:tr>
    </w:tbl>
    <w:p>
      <w:pPr>
        <w:pStyle w:val="BodyText"/>
      </w:pPr>
      <w:r>
        <w:t xml:space="preserve">The coefficient of interest in Table 6 is the standardized top-four draft rating. Because the draft rating is standardized and the outcome is a percentage drop in core-player minutes, the coefficient of 0.054 means that a one-standard-deviation stronger top-four draft class is associated with a 5.4 percentage point larger drop in late-season core-player usage, holding pre-March core-player minutes and disrupted-season controls fixed. The usual team-season p-value is 0.00098, and the p-value remains 0.0036 when standard errors are clustered by draft season. This matters because</w:t>
      </w:r>
      <w:r>
        <w:t xml:space="preserve"> </w:t>
      </w:r>
      <w:r>
        <w:rPr>
          <w:rStyle w:val="VerbatimChar"/>
        </w:rPr>
        <w:t xml:space="preserve">top4_avg_rating</w:t>
      </w:r>
      <w:r>
        <w:t xml:space="preserve"> </w:t>
      </w:r>
      <w:r>
        <w:t xml:space="preserve">has only 17 unique season-level values even though the outcome is measured for many team-seasons. The result therefore gives evidence of a roster-management pattern associated with stronger draft classes, but it should not be interpreted as causal proof of tanking because injuries, planned rest, player development, and unobserved availability can also affect late-season minutes.</w:t>
      </w:r>
    </w:p>
    <w:p>
      <w:pPr>
        <w:pStyle w:val="BodyText"/>
      </w:pPr>
      <w:r>
        <w:t xml:space="preserve">Because this result is stronger than the main win-loss models, we also re-used the earlier model structures with</w:t>
      </w:r>
      <w:r>
        <w:t xml:space="preserve"> </w:t>
      </w:r>
      <w:r>
        <w:rPr>
          <w:rStyle w:val="VerbatimChar"/>
        </w:rPr>
        <w:t xml:space="preserve">core_usage_drop_rate</w:t>
      </w:r>
      <w:r>
        <w:t xml:space="preserve"> </w:t>
      </w:r>
      <w:r>
        <w:t xml:space="preserve">as the outcome. Table 7 reports both the usual team-season p-value and a season-clustered p-value. The raw top-four draft rating remains positive when 2021 is excluded, but the position-adjusted lottery incentive does not explain the core-usage outcome. This suggests that core-player minutes respond more to the overall strength of the top of the draft than to the exact marginal lottery-odds gain from one March lottery position. The pre/post interaction is also not strong, so we do not treat the 2019 lottery reform as clearly changing the core-usage relationship. The core-usage team-fit interaction is interesting under clustered inference, but because it is a secondary interaction built from a rough fit proxy, we treat it as hypothesis-generating rather than as a main result.</w:t>
      </w:r>
    </w:p>
    <w:p>
      <w:pPr>
        <w:pStyle w:val="TableCaption"/>
      </w:pPr>
      <w:r>
        <w:t xml:space="preserve">Table 7. Sensitivity checks using core-player usage reduction as the outcome.</w:t>
      </w:r>
    </w:p>
    <w:tbl>
      <w:tblPr>
        <w:tblStyle w:val="Table"/>
        <w:tblW w:type="pct" w:w="5000"/>
        <w:tblLayout w:type="fixed"/>
        <w:tblLook w:firstRow="1" w:lastRow="0" w:firstColumn="0" w:lastColumn="0" w:noHBand="0" w:noVBand="0" w:val="0020"/>
        <w:tblCaption w:val="Table 7. Sensitivity checks using core-player usage reduction as the outcome."/>
      </w:tblPr>
      <w:tblGrid>
        <w:gridCol w:w="2225"/>
        <w:gridCol w:w="1832"/>
        <w:gridCol w:w="916"/>
        <w:gridCol w:w="523"/>
        <w:gridCol w:w="1636"/>
        <w:gridCol w:w="261"/>
        <w:gridCol w:w="52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 (pp)</w:t>
            </w:r>
          </w:p>
        </w:tc>
        <w:tc>
          <w:tcPr/>
          <w:p>
            <w:pPr>
              <w:pStyle w:val="Compact"/>
              <w:jc w:val="right"/>
            </w:pPr>
            <w:r>
              <w:t xml:space="preserve">p-value</w:t>
            </w:r>
          </w:p>
        </w:tc>
        <w:tc>
          <w:tcPr/>
          <w:p>
            <w:pPr>
              <w:pStyle w:val="Compact"/>
              <w:jc w:val="right"/>
            </w:pPr>
            <w:r>
              <w:t xml:space="preserve">Season-clustered p-value</w:t>
            </w:r>
          </w:p>
        </w:tc>
        <w:tc>
          <w:tcPr/>
          <w:p>
            <w:pPr>
              <w:pStyle w:val="Compact"/>
              <w:jc w:val="right"/>
            </w:pPr>
            <w:r>
              <w:t xml:space="preserve">N</w:t>
            </w:r>
          </w:p>
        </w:tc>
        <w:tc>
          <w:tcPr/>
          <w:p>
            <w:pPr>
              <w:pStyle w:val="Compact"/>
              <w:jc w:val="right"/>
            </w:pPr>
            <w:r>
              <w:t xml:space="preserve">Adj. R2</w:t>
            </w:r>
          </w:p>
        </w:tc>
      </w:tr>
      <w:tr>
        <w:tc>
          <w:tcPr/>
          <w:p>
            <w:pPr>
              <w:pStyle w:val="Compact"/>
              <w:jc w:val="left"/>
            </w:pPr>
            <w:r>
              <w:t xml:space="preserve">Raw top-four rating</w:t>
            </w:r>
          </w:p>
        </w:tc>
        <w:tc>
          <w:tcPr/>
          <w:p>
            <w:pPr>
              <w:pStyle w:val="Compact"/>
              <w:jc w:val="left"/>
            </w:pPr>
            <w:r>
              <w:t xml:space="preserve">Top-four draft rating</w:t>
            </w:r>
          </w:p>
        </w:tc>
        <w:tc>
          <w:tcPr/>
          <w:p>
            <w:pPr>
              <w:pStyle w:val="Compact"/>
              <w:jc w:val="right"/>
            </w:pPr>
            <w:r>
              <w:t xml:space="preserve">5.352</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172</w:t>
            </w:r>
          </w:p>
        </w:tc>
        <w:tc>
          <w:tcPr/>
          <w:p>
            <w:pPr>
              <w:pStyle w:val="Compact"/>
              <w:jc w:val="right"/>
            </w:pPr>
            <w:r>
              <w:t xml:space="preserve">0.094</w:t>
            </w:r>
          </w:p>
        </w:tc>
      </w:tr>
      <w:tr>
        <w:tc>
          <w:tcPr/>
          <w:p>
            <w:pPr>
              <w:pStyle w:val="Compact"/>
              <w:jc w:val="left"/>
            </w:pPr>
            <w:r>
              <w:t xml:space="preserve">Pre/post interaction</w:t>
            </w:r>
          </w:p>
        </w:tc>
        <w:tc>
          <w:tcPr/>
          <w:p>
            <w:pPr>
              <w:pStyle w:val="Compact"/>
              <w:jc w:val="left"/>
            </w:pPr>
            <w:r>
              <w:t xml:space="preserve">Top-four rating</w:t>
            </w:r>
          </w:p>
        </w:tc>
        <w:tc>
          <w:tcPr/>
          <w:p>
            <w:pPr>
              <w:pStyle w:val="Compact"/>
              <w:jc w:val="right"/>
            </w:pPr>
            <w:r>
              <w:t xml:space="preserve">4.284</w:t>
            </w:r>
          </w:p>
        </w:tc>
        <w:tc>
          <w:tcPr/>
          <w:p>
            <w:pPr>
              <w:pStyle w:val="Compact"/>
              <w:jc w:val="right"/>
            </w:pPr>
            <w:r>
              <w:t xml:space="preserve">0.030</w:t>
            </w:r>
          </w:p>
        </w:tc>
        <w:tc>
          <w:tcPr/>
          <w:p>
            <w:pPr>
              <w:pStyle w:val="Compact"/>
              <w:jc w:val="right"/>
            </w:pPr>
            <w:r>
              <w:t xml:space="preserve">0.156</w:t>
            </w:r>
          </w:p>
        </w:tc>
        <w:tc>
          <w:tcPr/>
          <w:p>
            <w:pPr>
              <w:pStyle w:val="Compact"/>
              <w:jc w:val="right"/>
            </w:pPr>
            <w:r>
              <w:t xml:space="preserve">172</w:t>
            </w:r>
          </w:p>
        </w:tc>
        <w:tc>
          <w:tcPr/>
          <w:p>
            <w:pPr>
              <w:pStyle w:val="Compact"/>
              <w:jc w:val="right"/>
            </w:pPr>
            <w:r>
              <w:t xml:space="preserve">0.130</w:t>
            </w:r>
          </w:p>
        </w:tc>
      </w:tr>
      <w:tr>
        <w:tc>
          <w:tcPr/>
          <w:p>
            <w:pPr>
              <w:pStyle w:val="Compact"/>
              <w:jc w:val="left"/>
            </w:pPr>
            <w:r>
              <w:t xml:space="preserve">Pre/post interaction</w:t>
            </w:r>
          </w:p>
        </w:tc>
        <w:tc>
          <w:tcPr/>
          <w:p>
            <w:pPr>
              <w:pStyle w:val="Compact"/>
              <w:jc w:val="left"/>
            </w:pPr>
            <w:r>
              <w:t xml:space="preserve">Top-four rating x post-2019</w:t>
            </w:r>
          </w:p>
        </w:tc>
        <w:tc>
          <w:tcPr/>
          <w:p>
            <w:pPr>
              <w:pStyle w:val="Compact"/>
              <w:jc w:val="right"/>
            </w:pPr>
            <w:r>
              <w:t xml:space="preserve">0.808</w:t>
            </w:r>
          </w:p>
        </w:tc>
        <w:tc>
          <w:tcPr/>
          <w:p>
            <w:pPr>
              <w:pStyle w:val="Compact"/>
              <w:jc w:val="right"/>
            </w:pPr>
            <w:r>
              <w:t xml:space="preserve">0.809</w:t>
            </w:r>
          </w:p>
        </w:tc>
        <w:tc>
          <w:tcPr/>
          <w:p>
            <w:pPr>
              <w:pStyle w:val="Compact"/>
              <w:jc w:val="right"/>
            </w:pPr>
            <w:r>
              <w:t xml:space="preserve">0.811</w:t>
            </w:r>
          </w:p>
        </w:tc>
        <w:tc>
          <w:tcPr/>
          <w:p>
            <w:pPr>
              <w:pStyle w:val="Compact"/>
              <w:jc w:val="right"/>
            </w:pPr>
            <w:r>
              <w:t xml:space="preserve">172</w:t>
            </w:r>
          </w:p>
        </w:tc>
        <w:tc>
          <w:tcPr/>
          <w:p>
            <w:pPr>
              <w:pStyle w:val="Compact"/>
              <w:jc w:val="right"/>
            </w:pPr>
            <w:r>
              <w:t xml:space="preserve">0.130</w:t>
            </w:r>
          </w:p>
        </w:tc>
      </w:tr>
      <w:tr>
        <w:tc>
          <w:tcPr/>
          <w:p>
            <w:pPr>
              <w:pStyle w:val="Compact"/>
              <w:jc w:val="left"/>
            </w:pPr>
            <w:r>
              <w:t xml:space="preserve">Position-adjusted incentive</w:t>
            </w:r>
          </w:p>
        </w:tc>
        <w:tc>
          <w:tcPr/>
          <w:p>
            <w:pPr>
              <w:pStyle w:val="Compact"/>
              <w:jc w:val="left"/>
            </w:pPr>
            <w:r>
              <w:t xml:space="preserve">Position-adjusted incentive</w:t>
            </w:r>
          </w:p>
        </w:tc>
        <w:tc>
          <w:tcPr/>
          <w:p>
            <w:pPr>
              <w:pStyle w:val="Compact"/>
              <w:jc w:val="right"/>
            </w:pPr>
            <w:r>
              <w:t xml:space="preserve">0.317</w:t>
            </w:r>
          </w:p>
        </w:tc>
        <w:tc>
          <w:tcPr/>
          <w:p>
            <w:pPr>
              <w:pStyle w:val="Compact"/>
              <w:jc w:val="right"/>
            </w:pPr>
            <w:r>
              <w:t xml:space="preserve">0.847</w:t>
            </w:r>
          </w:p>
        </w:tc>
        <w:tc>
          <w:tcPr/>
          <w:p>
            <w:pPr>
              <w:pStyle w:val="Compact"/>
              <w:jc w:val="right"/>
            </w:pPr>
            <w:r>
              <w:t xml:space="preserve">0.875</w:t>
            </w:r>
          </w:p>
        </w:tc>
        <w:tc>
          <w:tcPr/>
          <w:p>
            <w:pPr>
              <w:pStyle w:val="Compact"/>
              <w:jc w:val="right"/>
            </w:pPr>
            <w:r>
              <w:t xml:space="preserve">172</w:t>
            </w:r>
          </w:p>
        </w:tc>
        <w:tc>
          <w:tcPr/>
          <w:p>
            <w:pPr>
              <w:pStyle w:val="Compact"/>
              <w:jc w:val="right"/>
            </w:pPr>
            <w:r>
              <w:t xml:space="preserve">0.033</w:t>
            </w:r>
          </w:p>
        </w:tc>
      </w:tr>
      <w:tr>
        <w:tc>
          <w:tcPr/>
          <w:p>
            <w:pPr>
              <w:pStyle w:val="Compact"/>
              <w:jc w:val="left"/>
            </w:pPr>
            <w:r>
              <w:t xml:space="preserve">Position-adjusted, excluding 2021</w:t>
            </w:r>
          </w:p>
        </w:tc>
        <w:tc>
          <w:tcPr/>
          <w:p>
            <w:pPr>
              <w:pStyle w:val="Compact"/>
              <w:jc w:val="left"/>
            </w:pPr>
            <w:r>
              <w:t xml:space="preserve">Position-adjusted incentive</w:t>
            </w:r>
          </w:p>
        </w:tc>
        <w:tc>
          <w:tcPr/>
          <w:p>
            <w:pPr>
              <w:pStyle w:val="Compact"/>
              <w:jc w:val="right"/>
            </w:pPr>
            <w:r>
              <w:t xml:space="preserve">0.425</w:t>
            </w:r>
          </w:p>
        </w:tc>
        <w:tc>
          <w:tcPr/>
          <w:p>
            <w:pPr>
              <w:pStyle w:val="Compact"/>
              <w:jc w:val="right"/>
            </w:pPr>
            <w:r>
              <w:t xml:space="preserve">0.799</w:t>
            </w:r>
          </w:p>
        </w:tc>
        <w:tc>
          <w:tcPr/>
          <w:p>
            <w:pPr>
              <w:pStyle w:val="Compact"/>
              <w:jc w:val="right"/>
            </w:pPr>
            <w:r>
              <w:t xml:space="preserve">0.836</w:t>
            </w:r>
          </w:p>
        </w:tc>
        <w:tc>
          <w:tcPr/>
          <w:p>
            <w:pPr>
              <w:pStyle w:val="Compact"/>
              <w:jc w:val="right"/>
            </w:pPr>
            <w:r>
              <w:t xml:space="preserve">165</w:t>
            </w:r>
          </w:p>
        </w:tc>
        <w:tc>
          <w:tcPr/>
          <w:p>
            <w:pPr>
              <w:pStyle w:val="Compact"/>
              <w:jc w:val="right"/>
            </w:pPr>
            <w:r>
              <w:t xml:space="preserve">0.015</w:t>
            </w:r>
          </w:p>
        </w:tc>
      </w:tr>
      <w:tr>
        <w:tc>
          <w:tcPr/>
          <w:p>
            <w:pPr>
              <w:pStyle w:val="Compact"/>
              <w:jc w:val="left"/>
            </w:pPr>
            <w:r>
              <w:t xml:space="preserve">Raw top-four, excluding 2021</w:t>
            </w:r>
          </w:p>
        </w:tc>
        <w:tc>
          <w:tcPr/>
          <w:p>
            <w:pPr>
              <w:pStyle w:val="Compact"/>
              <w:jc w:val="left"/>
            </w:pPr>
            <w:r>
              <w:t xml:space="preserve">Top-four draft rating</w:t>
            </w:r>
          </w:p>
        </w:tc>
        <w:tc>
          <w:tcPr/>
          <w:p>
            <w:pPr>
              <w:pStyle w:val="Compact"/>
              <w:jc w:val="right"/>
            </w:pPr>
            <w:r>
              <w:t xml:space="preserve">5.438</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165</w:t>
            </w:r>
          </w:p>
        </w:tc>
        <w:tc>
          <w:tcPr/>
          <w:p>
            <w:pPr>
              <w:pStyle w:val="Compact"/>
              <w:jc w:val="right"/>
            </w:pPr>
            <w:r>
              <w:t xml:space="preserve">0.079</w:t>
            </w:r>
          </w:p>
        </w:tc>
      </w:tr>
      <w:tr>
        <w:tc>
          <w:tcPr/>
          <w:p>
            <w:pPr>
              <w:pStyle w:val="Compact"/>
              <w:jc w:val="left"/>
            </w:pPr>
            <w:r>
              <w:t xml:space="preserve">Team-fit interaction</w:t>
            </w:r>
          </w:p>
        </w:tc>
        <w:tc>
          <w:tcPr/>
          <w:p>
            <w:pPr>
              <w:pStyle w:val="Compact"/>
              <w:jc w:val="left"/>
            </w:pPr>
            <w:r>
              <w:t xml:space="preserve">Top-four rating x team fit</w:t>
            </w:r>
          </w:p>
        </w:tc>
        <w:tc>
          <w:tcPr/>
          <w:p>
            <w:pPr>
              <w:pStyle w:val="Compact"/>
              <w:jc w:val="right"/>
            </w:pPr>
            <w:r>
              <w:t xml:space="preserve">2.877</w:t>
            </w:r>
          </w:p>
        </w:tc>
        <w:tc>
          <w:tcPr/>
          <w:p>
            <w:pPr>
              <w:pStyle w:val="Compact"/>
              <w:jc w:val="right"/>
            </w:pPr>
            <w:r>
              <w:t xml:space="preserve">0.084</w:t>
            </w:r>
          </w:p>
        </w:tc>
        <w:tc>
          <w:tcPr/>
          <w:p>
            <w:pPr>
              <w:pStyle w:val="Compact"/>
              <w:jc w:val="right"/>
            </w:pPr>
            <w:r>
              <w:t xml:space="preserve">0.001</w:t>
            </w:r>
          </w:p>
        </w:tc>
        <w:tc>
          <w:tcPr/>
          <w:p>
            <w:pPr>
              <w:pStyle w:val="Compact"/>
              <w:jc w:val="right"/>
            </w:pPr>
            <w:r>
              <w:t xml:space="preserve">172</w:t>
            </w:r>
          </w:p>
        </w:tc>
        <w:tc>
          <w:tcPr/>
          <w:p>
            <w:pPr>
              <w:pStyle w:val="Compact"/>
              <w:jc w:val="right"/>
            </w:pPr>
            <w:r>
              <w:t xml:space="preserve">0.100</w:t>
            </w:r>
          </w:p>
        </w:tc>
      </w:tr>
      <w:tr>
        <w:tc>
          <w:tcPr/>
          <w:p>
            <w:pPr>
              <w:pStyle w:val="Compact"/>
              <w:jc w:val="left"/>
            </w:pPr>
            <w:r>
              <w:t xml:space="preserve">Top-35 rating</w:t>
            </w:r>
          </w:p>
        </w:tc>
        <w:tc>
          <w:tcPr/>
          <w:p>
            <w:pPr>
              <w:pStyle w:val="Compact"/>
              <w:jc w:val="left"/>
            </w:pPr>
            <w:r>
              <w:t xml:space="preserve">Top-35 draft rating</w:t>
            </w:r>
          </w:p>
        </w:tc>
        <w:tc>
          <w:tcPr/>
          <w:p>
            <w:pPr>
              <w:pStyle w:val="Compact"/>
              <w:jc w:val="right"/>
            </w:pPr>
            <w:r>
              <w:t xml:space="preserve">3.162</w:t>
            </w:r>
          </w:p>
        </w:tc>
        <w:tc>
          <w:tcPr/>
          <w:p>
            <w:pPr>
              <w:pStyle w:val="Compact"/>
              <w:jc w:val="right"/>
            </w:pPr>
            <w:r>
              <w:t xml:space="preserve">0.074</w:t>
            </w:r>
          </w:p>
        </w:tc>
        <w:tc>
          <w:tcPr/>
          <w:p>
            <w:pPr>
              <w:pStyle w:val="Compact"/>
              <w:jc w:val="right"/>
            </w:pPr>
            <w:r>
              <w:t xml:space="preserve">0.191</w:t>
            </w:r>
          </w:p>
        </w:tc>
        <w:tc>
          <w:tcPr/>
          <w:p>
            <w:pPr>
              <w:pStyle w:val="Compact"/>
              <w:jc w:val="right"/>
            </w:pPr>
            <w:r>
              <w:t xml:space="preserve">172</w:t>
            </w:r>
          </w:p>
        </w:tc>
        <w:tc>
          <w:tcPr/>
          <w:p>
            <w:pPr>
              <w:pStyle w:val="Compact"/>
              <w:jc w:val="right"/>
            </w:pPr>
            <w:r>
              <w:t xml:space="preserve">0.051</w:t>
            </w:r>
          </w:p>
        </w:tc>
      </w:tr>
    </w:tbl>
    <w:bookmarkEnd w:id="55"/>
    <w:bookmarkStart w:id="56" w:name="conclusions-from-the-formal-analysis"/>
    <w:p>
      <w:pPr>
        <w:pStyle w:val="Heading3"/>
      </w:pPr>
      <w:r>
        <w:t xml:space="preserve">Conclusions From the Formal Analysis</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 remains positive for the tanking index, but it is not strong enough to support a causal claim.</w:t>
      </w:r>
    </w:p>
    <w:p>
      <w:pPr>
        <w:pStyle w:val="BodyText"/>
      </w:pPr>
      <w:r>
        <w:t xml:space="preserve">The analysis also shows why the definition of tanking matters. Instead of forcing teams into a yes/no tanking category, the full tanking index measures degree of underperformance. That is better suited for regression because a small late-season decline, a major collapse, and a late-season improvement should not all be treated the same.</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core-player usage model adds a different type of outcome. It asks whether stronger top-four draft classes are associated with using main continuing pre-March players less often late in the season. This is closer to a behavioral tanking mechanism than the win-loss outcome alone, and this version points in the expected direction: stronger top-four classes are associated with larger percentage drops in core-player minutes. However, the raw top-four rating is season-level, so we interpret this as a draft-class-level signal with team-season outcomes rather than as 172 independent draft-strength observations. The sensitivity checks show that this result is stronger for raw draft strength than for the position-adjusted lottery incentive. That makes the result interesting, but still exploratory: injuries, planned rest, player development, and unobserved availability can all reduce minutes for reasons unrelated to intentional tanking.</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56"/>
    <w:bookmarkEnd w:id="57"/>
    <w:bookmarkStart w:id="61" w:name="vi.-next-steps"/>
    <w:p>
      <w:pPr>
        <w:pStyle w:val="Heading2"/>
      </w:pPr>
      <w:r>
        <w:t xml:space="preserve">VI. Next Steps</w:t>
      </w:r>
    </w:p>
    <w:p>
      <w:pPr>
        <w:pStyle w:val="FirstParagraph"/>
      </w:pPr>
      <w:r>
        <w:t xml:space="preserve">The results should be interpreted cautiously. The model finds a positive relationship between position-adjusted top-four draft incentives and late-season underperformance, but it does not prove intent and should not be read as definitive evidence that teams deliberately lost games.</w:t>
      </w:r>
    </w:p>
    <w:bookmarkStart w:id="58" w:name="limitations-and-cautions"/>
    <w:p>
      <w:pPr>
        <w:pStyle w:val="Heading3"/>
      </w:pPr>
      <w:r>
        <w:t xml:space="preserve">Limitations and Cautions</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uses the marginal gain in top-four-pick probability from moving one lottery slot worse, so it does not distinguish between the value of the first, second, third, and fourth picks, larger multi-slot changes, player-specific team preferences, or the possibility that teams care about protecting an already-strong lottery position.</w:t>
      </w:r>
    </w:p>
    <w:bookmarkEnd w:id="58"/>
    <w:bookmarkStart w:id="59" w:name="future-extensions"/>
    <w:p>
      <w:pPr>
        <w:pStyle w:val="Heading3"/>
      </w:pPr>
      <w:r>
        <w:t xml:space="preserve">Future Extensions</w:t>
      </w:r>
    </w:p>
    <w:p>
      <w:pPr>
        <w:pStyle w:val="FirstParagraph"/>
      </w:pPr>
      <w:r>
        <w:t xml:space="preserve">A direct next step is to improve the core-player usage model with better availability data. The version in this report uses player game logs to identify each team’s main pre-March players who stayed with the team and appeared after March 1, then measures whether their minutes drop late in the season. This keeps the analysis focused on continuing players, but it still cannot perfectly distinguish injuries, rest, player development, and coach’s decisions. A stronger version would merge injury reports, transaction data, and inactive-list reasons to separate strategic late-season roster management from ordinary player availability.</w:t>
      </w:r>
    </w:p>
    <w:p>
      <w:pPr>
        <w:pStyle w:val="BodyText"/>
      </w:pPr>
      <w:r>
        <w:t xml:space="preserve">Another extension would improve the team-fit score. The current version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A final extension would compare multiple draft-quality measures.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9"/>
    <w:bookmarkStart w:id="60" w:name="final-takeaway"/>
    <w:p>
      <w:pPr>
        <w:pStyle w:val="Heading3"/>
      </w:pPr>
      <w:r>
        <w:t xml:space="preserve">Final Takeaway</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win-loss model shows positive but noisier estimates. The core-player usage model adds a stronger exploratory signal that teams in better top-four draft classes reduced minutes more for continuing core players. The full tanking index is a better final win-loss outcome because it measures the size and direction of late-season underperformance rather than depending on an arbitrary cutoff.</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and draft class quality into one framework.</w:t>
      </w:r>
    </w:p>
    <w:p>
      <w:pPr>
        <w:pStyle w:val="BodyText"/>
      </w:pPr>
      <w:r>
        <w:t xml:space="preserve">The exploratory team-fit extension for the main win-loss outcome is less conclusive. It gives a plausible way to think about team-level heterogeneity, but the broad fit proxy does not add strong statistical evidence beyond overall draft strength in the primary tanking-index model. That leaves team fit as an important direction for future work rather than a core result of this report.</w:t>
      </w:r>
    </w:p>
    <w:bookmarkEnd w:id="60"/>
    <w:bookmarkEnd w:id="61"/>
    <w:bookmarkStart w:id="64"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62">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63">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2026-06-09T03:12:45Z</dcterms:created>
  <dcterms:modified xsi:type="dcterms:W3CDTF">2026-06-09T03:12:45Z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