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8.png" ContentType="image/png"/>
  <Override PartName="/word/media/rId39.png" ContentType="image/png"/>
  <Override PartName="/word/media/rId33.png" ContentType="image/png"/>
  <Override PartName="/word/media/rId30.png" ContentType="image/png"/>
  <Override PartName="/word/media/rId4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0" w:name="abstract"/>
    <w:p>
      <w:pPr>
        <w:pStyle w:val="Heading2"/>
      </w:pPr>
      <w:r>
        <w:t xml:space="preserve">Abstract</w:t>
      </w:r>
    </w:p>
    <w:p>
      <w:pPr>
        <w:pStyle w:val="FirstParagraph"/>
      </w:pPr>
      <w:r>
        <w:t xml:space="preserve">This project studies whether stronger NBA draft classes are associated with more late-season underperformance among teams with weak playoff outlooks. Using NBA team and player game logs from 2010 through 2026 and CraftedNBA draft prospect ratings, we build a team-season dataset that compares each team’s performance before March 1 to its performance after March 1. As the project developed, we moved away from a simple binary definition of tanking and instead used a standardized</w:t>
      </w:r>
      <w:r>
        <w:t xml:space="preserve"> </w:t>
      </w:r>
      <w:r>
        <w:rPr>
          <w:rStyle w:val="VerbatimChar"/>
        </w:rPr>
        <w:t xml:space="preserve">tanking_index</w:t>
      </w:r>
      <w:r>
        <w:t xml:space="preserve">, which measures how many fewer games a team won late in the season than expected from its pre-March record. We also changed the draft-strength measure from a broad top-35 average to the average rating of the top four prospects, because lottery incentives are most directly tied to access to the top of the draft. The main win-loss result is suggestive rather than conclusive: likely lottery teams with larger position-adjusted draft incentives tend to have larger late-season win shortfalls, but the evidence is limited by the fact that draft quality varies mostly by season and tanking intent is not directly observable. A fourth exploratory analysis finds a stronger relationship between top-four draft strength and reduced late-season minutes for continuing core players, which points to roster management as a useful follow-up tanking signal.</w:t>
      </w:r>
    </w:p>
    <w:bookmarkEnd w:id="20"/>
    <w:bookmarkStart w:id="21" w:name="i.-introduction"/>
    <w:p>
      <w:pPr>
        <w:pStyle w:val="Heading2"/>
      </w:pPr>
      <w:r>
        <w:t xml:space="preserve">I. Introduction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The original project proposal focused broadly on whether stronger draft classes create stronger incentives for NBA teams to tank. As we looked more closely at the data, the question became more specific in three ways. First, we stopped treating tanking as something we could directly observe. Instead, we measure late-season underperformance among teams with weak postseason outlooks. Second, we changed the draft-strength measure to focus on the top four prospects rather than the average quality of a much larger prospect group, since the NBA lottery primarily gives teams access to the very top of the draft. Third, we made the incentive team-specific by combining top-four draft strength with each team’s estimated lottery position entering March. This matters because the same draft class does not create the same incentive for every team.</w:t>
      </w:r>
    </w:p>
    <w:p>
      <w:pPr>
        <w:pStyle w:val="BodyText"/>
      </w:pPr>
      <w:r>
        <w:t xml:space="preserve">This framing gives us a more careful final research question:</w:t>
      </w:r>
      <w:r>
        <w:t xml:space="preserve"> </w:t>
      </w:r>
      <w:r>
        <w:rPr>
          <w:b/>
          <w:bCs/>
        </w:rPr>
        <w:t xml:space="preserve">among likely lottery teams, are stronger top-end draft classes associated with larger late-season win shortfalls after accounting for each team’s lottery position and pre-March strength?</w:t>
      </w:r>
      <w:r>
        <w:t xml:space="preserve"> </w:t>
      </w:r>
      <w:r>
        <w:t xml:space="preserve">The answer matters because tanking debates often focus on lottery odds alone, while the value of losing should also depend on the players available in that draft.</w:t>
      </w:r>
    </w:p>
    <w:bookmarkEnd w:id="21"/>
    <w:bookmarkStart w:id="26" w:name="ii.-background"/>
    <w:p>
      <w:pPr>
        <w:pStyle w:val="Heading2"/>
      </w:pPr>
      <w:r>
        <w:t xml:space="preserve">II. Background</w:t>
      </w:r>
    </w:p>
    <w:p>
      <w:pPr>
        <w:pStyle w:val="FirstParagraph"/>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The NBA draft lottery determines which non-playoff teams receive the first picks in the draft. Worse teams generally receive better lottery odds, which creates the basic incentive problem: a team that is unlikely to make the playoffs may benefit from losing more late-season games if doing so improves its draft position. The</w:t>
      </w:r>
      <w:r>
        <w:t xml:space="preserve"> </w:t>
      </w:r>
      <w:hyperlink r:id="rId22">
        <w:r>
          <w:rPr>
            <w:rStyle w:val="Hyperlink"/>
          </w:rPr>
          <w:t xml:space="preserve">NBA changed its lottery odds beginning with the 2019 draft</w:t>
        </w:r>
      </w:hyperlink>
      <w:r>
        <w:t xml:space="preserve">, flattening the odds at the top. Under the</w:t>
      </w:r>
      <w:r>
        <w:t xml:space="preserve"> </w:t>
      </w:r>
      <w:hyperlink r:id="rId23">
        <w:r>
          <w:rPr>
            <w:rStyle w:val="Hyperlink"/>
          </w:rPr>
          <w:t xml:space="preserve">current format</w:t>
        </w:r>
      </w:hyperlink>
      <w:r>
        <w:t xml:space="preserve">, the three worst teams each have a 14.0% chance at the first pick, while other lottery teams receive lower odds. The modern lottery determines the first four picks, which is why our preferred draft-strength measure focuses on the average quality of the top four prospects rather than the full draft class.</w:t>
      </w:r>
    </w:p>
    <w:p>
      <w:pPr>
        <w:pStyle w:val="BodyText"/>
      </w:pPr>
      <w:r>
        <w:t xml:space="preserve">Prior research has studied tanking as a response to draft lottery incentives.</w:t>
      </w:r>
      <w:r>
        <w:t xml:space="preserve"> </w:t>
      </w:r>
      <w:hyperlink r:id="rId24">
        <w:r>
          <w:rPr>
            <w:rStyle w:val="Hyperlink"/>
          </w:rPr>
          <w:t xml:space="preserve">Taylor and Trogdon (2002)</w:t>
        </w:r>
      </w:hyperlink>
      <w:r>
        <w:t xml:space="preserve"> </w:t>
      </w:r>
      <w:r>
        <w:t xml:space="preserve">and</w:t>
      </w:r>
      <w:r>
        <w:t xml:space="preserve"> </w:t>
      </w:r>
      <w:hyperlink r:id="rId25">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moving down in the standings would increase their chance of landing a top-four pick.</w:t>
      </w:r>
    </w:p>
    <w:bookmarkEnd w:id="26"/>
    <w:bookmarkStart w:id="29" w:name="iii.-data-gathering"/>
    <w:p>
      <w:pPr>
        <w:pStyle w:val="Heading2"/>
      </w:pPr>
      <w:r>
        <w:t xml:space="preserve">III. Data Gathering</w:t>
      </w:r>
    </w:p>
    <w:p>
      <w:pPr>
        <w:pStyle w:val="FirstParagraph"/>
      </w:pPr>
      <w:r>
        <w:t xml:space="preserve">We use two main source families. First, NBA game logs come from the</w:t>
      </w:r>
      <w:r>
        <w:t xml:space="preserve"> </w:t>
      </w:r>
      <w:hyperlink r:id="rId27">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8">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top4_avg_rating</w:t>
      </w:r>
      <w:r>
        <w:t xml:space="preserve">, the average CraftedNBA rating of the top four prospects in that draft class. This is more closely tied to the lottery mechanism than the average of a larger prospect group because lottery teams are mostly trying to access the very top of the draft. We also keep the top-35 average rating,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probability of landing a top-four pick.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 The main preprocessing steps were filtering to regular-season games, aggregating team records before and after March 1, ranking teams by pre-March league record to estimate lottery position, merging in draft class ratings, and constructing the late-season underperformance measures described below.</w:t>
      </w:r>
    </w:p>
    <w:p>
      <w:pPr>
        <w:pStyle w:val="BodyText"/>
      </w:pPr>
      <w:r>
        <w:t xml:space="preserve">The lottery-position adjustment uses published NBA lottery weights. Before the 2019 reform, the lottery drew the first three picks; after the reform, it draws the first four picks. We use those weights to calculate each seed’s probability of finishing in the top four, then calculate how much that probability would rise from moving one lottery slot worse. We use standard lottery odds by seed rather than final lottery odds after end-of-season tiebreakers because the model is based on information available around March 1.</w:t>
      </w:r>
    </w:p>
    <w:p>
      <w:pPr>
        <w:pStyle w:val="BodyText"/>
      </w:pPr>
      <w:r>
        <w:t xml:space="preserve">Key constructed variables:</w:t>
      </w:r>
    </w:p>
    <w:p>
      <w:pPr>
        <w:pStyle w:val="Compact"/>
        <w:numPr>
          <w:ilvl w:val="0"/>
          <w:numId w:val="1001"/>
        </w:numPr>
      </w:pPr>
      <w:r>
        <w:rPr>
          <w:rStyle w:val="VerbatimChar"/>
        </w:rPr>
        <w:t xml:space="preserve">pre_win_pct</w:t>
      </w:r>
      <w:r>
        <w:t xml:space="preserve">: team win percentage before March 1.</w:t>
      </w:r>
    </w:p>
    <w:p>
      <w:pPr>
        <w:pStyle w:val="Compact"/>
        <w:numPr>
          <w:ilvl w:val="0"/>
          <w:numId w:val="1001"/>
        </w:numPr>
      </w:pPr>
      <w:r>
        <w:rPr>
          <w:rStyle w:val="VerbatimChar"/>
        </w:rPr>
        <w:t xml:space="preserve">late_win_pct</w:t>
      </w:r>
      <w:r>
        <w:t xml:space="preserve">: team win percentage on or after March 1.</w:t>
      </w:r>
    </w:p>
    <w:p>
      <w:pPr>
        <w:pStyle w:val="Compact"/>
        <w:numPr>
          <w:ilvl w:val="0"/>
          <w:numId w:val="1001"/>
        </w:numPr>
      </w:pPr>
      <w:r>
        <w:rPr>
          <w:rStyle w:val="VerbatimChar"/>
        </w:rPr>
        <w:t xml:space="preserve">games_back_cutline</w:t>
      </w:r>
      <w:r>
        <w:t xml:space="preserve">: games behind the postseason/play-in cutoff entering March. For seasons before the play-in era, the cutoff is the 8th seed. For seasons beginning in 2021, the cutoff is the 10th seed.</w:t>
      </w:r>
    </w:p>
    <w:p>
      <w:pPr>
        <w:pStyle w:val="Compact"/>
        <w:numPr>
          <w:ilvl w:val="0"/>
          <w:numId w:val="1001"/>
        </w:numPr>
      </w:pPr>
      <w:r>
        <w:rPr>
          <w:rStyle w:val="VerbatimChar"/>
        </w:rPr>
        <w:t xml:space="preserve">likely_lottery_candidate</w:t>
      </w:r>
      <w:r>
        <w:t xml:space="preserve">: a team outside the relevant postseason cutoff that was either at least 3 games behind the cutoff or below a .400 pre-March win percentage.</w:t>
      </w:r>
    </w:p>
    <w:p>
      <w:pPr>
        <w:pStyle w:val="Compact"/>
        <w:numPr>
          <w:ilvl w:val="0"/>
          <w:numId w:val="1001"/>
        </w:numPr>
      </w:pPr>
      <w:r>
        <w:rPr>
          <w:rStyle w:val="VerbatimChar"/>
        </w:rPr>
        <w:t xml:space="preserve">lottery_seed_march</w:t>
      </w:r>
      <w:r>
        <w:t xml:space="preserve">: an estimated lottery position entering March, based on league-wide pre-March record. The worst pre-March record is seed 1, the second-worst is seed 2, and so on through the 14-team lottery.</w:t>
      </w:r>
    </w:p>
    <w:p>
      <w:pPr>
        <w:pStyle w:val="Compact"/>
        <w:numPr>
          <w:ilvl w:val="0"/>
          <w:numId w:val="1001"/>
        </w:numPr>
      </w:pPr>
      <w:r>
        <w:rPr>
          <w:rStyle w:val="VerbatimChar"/>
        </w:rPr>
        <w:t xml:space="preserve">marginal_lottery_incentive</w:t>
      </w:r>
      <w:r>
        <w:t xml:space="preserve">: a team-specific draft incentive equal to the top-four draft class rating multiplied by the increase in probability of landing a top-four pick from moving one lottery slot worse. For example, if moving from the fifth-worst to fourth-worst record raises the probability of a top-four pick, that gain is larger in a stronger top-four draft class.</w:t>
      </w:r>
    </w:p>
    <w:p>
      <w:pPr>
        <w:pStyle w:val="Compact"/>
        <w:numPr>
          <w:ilvl w:val="0"/>
          <w:numId w:val="1001"/>
        </w:numPr>
      </w:pPr>
      <w:r>
        <w:rPr>
          <w:rStyle w:val="VerbatimChar"/>
        </w:rPr>
        <w:t xml:space="preserve">tanking_index</w:t>
      </w:r>
      <w:r>
        <w:t xml:space="preserve">: standardized late-season win shortfall. Positive values mean a team won fewer March-onward games than expected from its pre-March record.</w:t>
      </w:r>
    </w:p>
    <w:p>
      <w:pPr>
        <w:pStyle w:val="Compact"/>
        <w:numPr>
          <w:ilvl w:val="0"/>
          <w:numId w:val="1001"/>
        </w:numPr>
      </w:pPr>
      <w:r>
        <w:rPr>
          <w:rStyle w:val="VerbatimChar"/>
        </w:rPr>
        <w:t xml:space="preserve">tanking_proxy</w:t>
      </w:r>
      <w:r>
        <w:t xml:space="preserve">: a conservative yes/no flag for likely lottery candidates whose late win percentage dropped by at least 10 percentage points and whose late wins were unusually low under a binomial expectation.</w:t>
      </w:r>
    </w:p>
    <w:p>
      <w:pPr>
        <w:pStyle w:val="Compact"/>
        <w:numPr>
          <w:ilvl w:val="0"/>
          <w:numId w:val="1001"/>
        </w:numPr>
      </w:pPr>
      <w:r>
        <w:rPr>
          <w:rStyle w:val="VerbatimChar"/>
        </w:rPr>
        <w:t xml:space="preserve">late_collapse_score</w:t>
      </w:r>
      <w:r>
        <w:t xml:space="preserve">: a positive-only version of the late-collapse signal. It equals the positive part of</w:t>
      </w:r>
      <w:r>
        <w:t xml:space="preserve"> </w:t>
      </w:r>
      <w:r>
        <w:rPr>
          <w:rStyle w:val="VerbatimChar"/>
        </w:rPr>
        <w:t xml:space="preserve">tanking_index</w:t>
      </w:r>
      <w:r>
        <w:t xml:space="preserve"> </w:t>
      </w:r>
      <w:r>
        <w:t xml:space="preserve">for likely lottery candidates. We use it descriptively, but the final regression uses the full</w:t>
      </w:r>
      <w:r>
        <w:t xml:space="preserve"> </w:t>
      </w:r>
      <w:r>
        <w:rPr>
          <w:rStyle w:val="VerbatimChar"/>
        </w:rPr>
        <w:t xml:space="preserve">tanking_index</w:t>
      </w:r>
      <w:r>
        <w:t xml:space="preserve"> </w:t>
      </w:r>
      <w:r>
        <w:t xml:space="preserve">because the full index keeps overperformance as negative evidence instead of turning it into zero.</w:t>
      </w:r>
    </w:p>
    <w:p>
      <w:pPr>
        <w:pStyle w:val="Compact"/>
        <w:numPr>
          <w:ilvl w:val="0"/>
          <w:numId w:val="1001"/>
        </w:numPr>
      </w:pPr>
      <w:r>
        <w:rPr>
          <w:rStyle w:val="VerbatimChar"/>
        </w:rPr>
        <w:t xml:space="preserve">team_fit_score</w:t>
      </w:r>
      <w:r>
        <w:t xml:space="preserve">: an exploratory measure of whether a team’s pre-March positional weaknesses line up with the strongest positions in that draft class. We group both teams and prospects into guards, wings, and bigs. A team gets a higher fit score when its weakest pre-March position groups match the position groups where the draft class has more high-rated prospects.</w:t>
      </w:r>
    </w:p>
    <w:p>
      <w:pPr>
        <w:pStyle w:val="Compact"/>
        <w:numPr>
          <w:ilvl w:val="0"/>
          <w:numId w:val="1001"/>
        </w:numPr>
      </w:pPr>
      <w:r>
        <w:rPr>
          <w:rStyle w:val="VerbatimChar"/>
        </w:rPr>
        <w:t xml:space="preserve">core_usage_drop_rate</w:t>
      </w:r>
      <w:r>
        <w:t xml:space="preserve">: an exploratory roster-management outcome. We identify each team’s top three pre-March core players using starts and minutes, keep only players who appeared for the same team after March 1, and measure the percentage drop in their combined minutes per team game after March 1.</w:t>
      </w:r>
    </w:p>
    <w:p>
      <w:pPr>
        <w:pStyle w:val="Compact"/>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separate controls for disrupted seasons. We use separate indicators because the 2012 lockout season, 2020 bubble season, and 2021 shortened COVID-era season may have affected late-season performance in different ways.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w:t>
      </w:r>
    </w:p>
    <w:bookmarkEnd w:id="29"/>
    <w:bookmarkStart w:id="45" w:name="iv.-data-analysis"/>
    <w:p>
      <w:pPr>
        <w:pStyle w:val="Heading2"/>
      </w:pPr>
      <w:r>
        <w:t xml:space="preserve">IV. Data Analysis</w:t>
      </w:r>
    </w:p>
    <w:p>
      <w:pPr>
        <w:pStyle w:val="FirstParagraph"/>
      </w:pPr>
      <w:r>
        <w:t xml:space="preserve">This section tells the main descriptive story in the data before moving to regression models. The key questions are whether likely lottery teams look different from other teams, whether late-season underperformance is rare or common, and whether stronger top-end draft classes line up with larger late-season win shortfalls.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1697"/>
        <w:gridCol w:w="1838"/>
        <w:gridCol w:w="282"/>
        <w:gridCol w:w="848"/>
        <w:gridCol w:w="919"/>
        <w:gridCol w:w="990"/>
        <w:gridCol w:w="1343"/>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c>
          <w:tcPr/>
          <w:p>
            <w:pPr>
              <w:pStyle w:val="Compact"/>
              <w:jc w:val="right"/>
            </w:pPr>
            <w:r>
              <w:t xml:space="preserve">Late-collapse rate</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c>
          <w:tcPr/>
          <w:p>
            <w:pPr>
              <w:pStyle w:val="Compact"/>
              <w:jc w:val="right"/>
            </w:pPr>
            <w:r>
              <w:t xml:space="preserve">0.137</w:t>
            </w:r>
          </w:p>
        </w:tc>
      </w:tr>
      <w:tr>
        <w:tc>
          <w:tcPr/>
          <w:p>
            <w:pPr>
              <w:pStyle w:val="Compact"/>
              <w:jc w:val="left"/>
            </w:pPr>
            <w:r>
              <w:t xml:space="preserve">Post-reform (2019-2026)</w:t>
            </w: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c>
          <w:tcPr/>
          <w:p>
            <w:pPr>
              <w:pStyle w:val="Compact"/>
              <w:jc w:val="right"/>
            </w:pPr>
            <w:r>
              <w:t xml:space="preserve">0.000</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c>
          <w:tcPr/>
          <w:p>
            <w:pPr>
              <w:pStyle w:val="Compact"/>
              <w:jc w:val="right"/>
            </w:pPr>
            <w:r>
              <w:t xml:space="preserve">0.108</w:t>
            </w:r>
          </w:p>
        </w:tc>
      </w:tr>
      <w:tr>
        <w:tc>
          <w:tcPr/>
          <w:p>
            <w:pPr>
              <w:pStyle w:val="Compact"/>
              <w:jc w:val="left"/>
            </w:pPr>
            <w:r>
              <w:t xml:space="preserve">Pre-reform (2010-2018)</w:t>
            </w: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c>
          <w:tcPr/>
          <w:p>
            <w:pPr>
              <w:pStyle w:val="Compact"/>
              <w:jc w:val="right"/>
            </w:pPr>
            <w:r>
              <w:t xml:space="preserve">0.000</w:t>
            </w:r>
          </w:p>
        </w:tc>
      </w:tr>
    </w:tbl>
    <w:p>
      <w:pPr>
        <w:pStyle w:val="BodyText"/>
      </w:pPr>
      <w:r>
        <w:t xml:space="preserve">Table 1 shows that likely lottery candidates are much weaker than other teams before March, as expected. The average win percentage change from pre-March to late season is small in both eras, which suggests that most weak teams do not suddenly collapse late in the year. The conservative late-collapse proxy appears in only 21 of 175 likely-candidate seasons, so our binary proxy is intentionally strict. The final regression therefore relies on the full</w:t>
      </w:r>
      <w:r>
        <w:t xml:space="preserve"> </w:t>
      </w:r>
      <w:r>
        <w:rPr>
          <w:rStyle w:val="VerbatimChar"/>
        </w:rPr>
        <w:t xml:space="preserve">tanking_index</w:t>
      </w:r>
      <w:r>
        <w:t xml:space="preserve">, which measures degree of late-season underperformance instead of only flagging extreme cases.</w:t>
      </w:r>
    </w:p>
    <w:p>
      <w:pPr>
        <w:pStyle w:val="CaptionedFigure"/>
      </w:pPr>
      <w:r>
        <w:drawing>
          <wp:inline>
            <wp:extent cx="5334000" cy="3333750"/>
            <wp:effectExtent b="0" l="0" r="0" t="0"/>
            <wp:docPr descr="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and blue points are all other team-seasons. Labels identify the largest late-collapse proxy seasons." title="" id="31" name="Picture"/>
            <a:graphic>
              <a:graphicData uri="http://schemas.openxmlformats.org/drawingml/2006/picture">
                <pic:pic>
                  <pic:nvPicPr>
                    <pic:cNvPr descr="final-report_files/figure-docx/visual-expected-vs-actual-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and blue points are all other team-seasons. Labels identify the largest late-collapse proxy seasons.</w:t>
      </w:r>
    </w:p>
    <w:p>
      <w:pPr>
        <w:pStyle w:val="BodyText"/>
      </w:pPr>
      <w:r>
        <w:t xml:space="preserve">Figure 1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red points are rarer and more extreme: they are teams that were not only bad, but substantially worse late in the season than their earlier record would predict. Because the red proxy is intentionally strict, the regression below uses the full</w:t>
      </w:r>
      <w:r>
        <w:t xml:space="preserve"> </w:t>
      </w:r>
      <w:r>
        <w:rPr>
          <w:rStyle w:val="VerbatimChar"/>
        </w:rPr>
        <w:t xml:space="preserve">tanking_index</w:t>
      </w:r>
      <w:r>
        <w:t xml:space="preserve"> </w:t>
      </w:r>
      <w:r>
        <w:t xml:space="preserve">rather than treating the red points as the only relevant cases.</w:t>
      </w:r>
    </w:p>
    <w:p>
      <w:pPr>
        <w:pStyle w:val="CaptionedFigure"/>
      </w:pPr>
      <w:r>
        <w:drawing>
          <wp:inline>
            <wp:extent cx="5334000" cy="3333750"/>
            <wp:effectExtent b="0" l="0" r="0" t="0"/>
            <wp:docPr descr="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conservative late-collapse proxy team-seasons in that year. Fitted lines are descriptive and are shown separately for the pre-reform and post-reform lottery eras." title="" id="34" name="Picture"/>
            <a:graphic>
              <a:graphicData uri="http://schemas.openxmlformats.org/drawingml/2006/picture">
                <pic:pic>
                  <pic:nvPicPr>
                    <pic:cNvPr descr="final-report_files/figure-docx/visual-draft-strength-1.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conservative late-collapse proxy team-seasons in that year. Fitted lines are descriptive and are shown separately for the pre-reform and post-reform lottery eras.</w:t>
      </w:r>
    </w:p>
    <w:p>
      <w:pPr>
        <w:pStyle w:val="BodyText"/>
      </w:pPr>
      <w:r>
        <w:t xml:space="preserve">Figure 2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2 summarizes outcomes at the season level because draft strength is constant for all teams in a given draft year. Figure 3 shows the same draft-strength relationship using all likely lottery team-seasons.</w:t>
      </w:r>
    </w:p>
    <w:p>
      <w:pPr>
        <w:pStyle w:val="CaptionedFigure"/>
      </w:pPr>
      <w:r>
        <w:drawing>
          <wp:inline>
            <wp:extent cx="5334000" cy="3597671"/>
            <wp:effectExtent b="0" l="0" r="0" t="0"/>
            <wp:docPr descr="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 title="" id="37" name="Picture"/>
            <a:graphic>
              <a:graphicData uri="http://schemas.openxmlformats.org/drawingml/2006/picture">
                <pic:pic>
                  <pic:nvPicPr>
                    <pic:cNvPr descr="final-report_files/figure-docx/visual-team-season-observations-1.png" id="38" name="Picture"/>
                    <pic:cNvPicPr>
                      <a:picLocks noChangeArrowheads="1" noChangeAspect="1"/>
                    </pic:cNvPicPr>
                  </pic:nvPicPr>
                  <pic:blipFill>
                    <a:blip r:embed="rId3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w:t>
      </w:r>
    </w:p>
    <w:p>
      <w:pPr>
        <w:pStyle w:val="BodyText"/>
      </w:pPr>
      <w:r>
        <w:t xml:space="preserve">Figure 3 makes the observational unit clearer. Each point is a team-season, while the black diamonds are the season averages used in Figure 2. The vertical stacks show why the season-level summary can hide variation: teams in the same draft year share the same top-four draft rating, but their tanking-index values differ widely.</w:t>
      </w:r>
    </w:p>
    <w:p>
      <w:pPr>
        <w:pStyle w:val="CaptionedFigure"/>
      </w:pPr>
      <w:r>
        <w:drawing>
          <wp:inline>
            <wp:extent cx="5334000" cy="3597671"/>
            <wp:effectExtent b="0" l="0" r="0" t="0"/>
            <wp:docPr descr="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 title="" id="40" name="Picture"/>
            <a:graphic>
              <a:graphicData uri="http://schemas.openxmlformats.org/drawingml/2006/picture">
                <pic:pic>
                  <pic:nvPicPr>
                    <pic:cNvPr descr="final-report_files/figure-docx/visual-draft-rating-comparison-1.png" id="41" name="Picture"/>
                    <pic:cNvPicPr>
                      <a:picLocks noChangeArrowheads="1" noChangeAspect="1"/>
                    </pic:cNvPicPr>
                  </pic:nvPicPr>
                  <pic:blipFill>
                    <a:blip r:embed="rId39"/>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w:t>
      </w:r>
    </w:p>
    <w:p>
      <w:pPr>
        <w:pStyle w:val="BodyText"/>
      </w:pPr>
      <w:r>
        <w:t xml:space="preserve">Figure 4 shows why the top-four measure is useful. It is related to the broader top-35 class rating, but it is not identical. The top-four measure focuses on the players lottery teams are most realistically trying to access, so it is more directly tied to the incentive mechanism than the average quality of the full top 35.</w:t>
      </w:r>
    </w:p>
    <w:p>
      <w:pPr>
        <w:pStyle w:val="CaptionedFigure"/>
      </w:pPr>
      <w:r>
        <w:drawing>
          <wp:inline>
            <wp:extent cx="5334000" cy="3597671"/>
            <wp:effectExtent b="0" l="0" r="0" t="0"/>
            <wp:docPr descr="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 title="" id="43" name="Picture"/>
            <a:graphic>
              <a:graphicData uri="http://schemas.openxmlformats.org/drawingml/2006/picture">
                <pic:pic>
                  <pic:nvPicPr>
                    <pic:cNvPr descr="final-report_files/figure-docx/visual-position-adjusted-incentive-1.png" id="44" name="Picture"/>
                    <pic:cNvPicPr>
                      <a:picLocks noChangeArrowheads="1" noChangeAspect="1"/>
                    </pic:cNvPicPr>
                  </pic:nvPicPr>
                  <pic:blipFill>
                    <a:blip r:embed="rId4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w:t>
      </w:r>
    </w:p>
    <w:p>
      <w:pPr>
        <w:pStyle w:val="BodyText"/>
      </w:pPr>
      <w:r>
        <w:t xml:space="preserve">Figure 5 directly addresses the concern that a draft class has the same top-four rating for every team in the same year. The raw top-four draft rating is still season-level, but the position-adjusted incentive varies by team because different lottery positions have different marginal rewards for moving down in the standings. Observations at zero are meaningful: they are teams that would not gain additional top-four-pick probability by moving one slot worse, such as the worst team. We nudge the plotted zero points slightly so those overlapping observations are visible, but the model still uses the exact values. The relationship is noisier than the season-average figures, which is expected: the outcome is still affected by injuries, trades, resting, and random late-season variation.</w:t>
      </w:r>
    </w:p>
    <w:bookmarkEnd w:id="45"/>
    <w:bookmarkStart w:id="57" w:name="v.-formal-analysis"/>
    <w:p>
      <w:pPr>
        <w:pStyle w:val="Heading2"/>
      </w:pPr>
      <w:r>
        <w:t xml:space="preserve">V. Formal Analysis</w:t>
      </w:r>
    </w:p>
    <w:p>
      <w:pPr>
        <w:pStyle w:val="FirstParagraph"/>
      </w:pPr>
      <w:r>
        <w:t xml:space="preserve">The formal analysis uses likely lottery candidates only, because those are the teams with the clearest incentive to lose late-season games. To avoid making the results depend on an arbitrary 10 percentage point cutoff, the outcome is the full</w:t>
      </w:r>
      <w:r>
        <w:t xml:space="preserve"> </w:t>
      </w:r>
      <w:r>
        <w:rPr>
          <w:rStyle w:val="VerbatimChar"/>
        </w:rPr>
        <w:t xml:space="preserve">tanking_index</w:t>
      </w:r>
      <w:r>
        <w:t xml:space="preserve">. This is a standardized late-season win shortfall: positive values mean a team won fewer March-onward games than expected from its pre-March record, while negative values mean it overperformed late.</w:t>
      </w:r>
    </w:p>
    <w:p>
      <w:pPr>
        <w:pStyle w:val="BodyText"/>
      </w:pPr>
      <w:r>
        <w:t xml:space="preserve">All formal regression models in this section use</w:t>
      </w:r>
      <w:r>
        <w:t xml:space="preserve"> </w:t>
      </w:r>
      <w:r>
        <w:rPr>
          <w:b/>
          <w:bCs/>
        </w:rPr>
        <w:t xml:space="preserve">team-season outcomes</w:t>
      </w:r>
      <w:r>
        <w:t xml:space="preserve">, not one observation per season. In other words, a team like Houston in 2021 and Orlando in 2021 are separate rows because they had different pre-March records, lottery positions, marginal lottery incentives, team-fit scores, core-player usage patterns, and late-season outcomes. However, not every explanatory variable varies at the team-season level. Raw</w:t>
      </w:r>
      <w:r>
        <w:t xml:space="preserve"> </w:t>
      </w:r>
      <w:r>
        <w:rPr>
          <w:rStyle w:val="VerbatimChar"/>
        </w:rPr>
        <w:t xml:space="preserve">top4_avg_rating</w:t>
      </w:r>
      <w:r>
        <w:t xml:space="preserve"> </w:t>
      </w:r>
      <w:r>
        <w:t xml:space="preserve">is the same for every team in the same draft year, so models using only raw draft strength should be interpreted as evidence about season-level draft-class strength, not as 172 fully independent draft-strength observations. To address this, we emphasize team-specific variables such as</w:t>
      </w:r>
      <w:r>
        <w:t xml:space="preserve"> </w:t>
      </w:r>
      <w:r>
        <w:rPr>
          <w:rStyle w:val="VerbatimChar"/>
        </w:rPr>
        <w:t xml:space="preserve">marginal_lottery_incentive</w:t>
      </w:r>
      <w:r>
        <w:t xml:space="preserve"> </w:t>
      </w:r>
      <w:r>
        <w:t xml:space="preserve">and</w:t>
      </w:r>
      <w:r>
        <w:t xml:space="preserve"> </w:t>
      </w:r>
      <w:r>
        <w:rPr>
          <w:rStyle w:val="VerbatimChar"/>
        </w:rPr>
        <w:t xml:space="preserve">team_fit_score</w:t>
      </w:r>
      <w:r>
        <w:t xml:space="preserve"> </w:t>
      </w:r>
      <w:r>
        <w:t xml:space="preserve">when the research question is about team-level incentives, and we report season-clustered inference for the core-player usage checks that use raw top-four draft rating.</w:t>
      </w:r>
    </w:p>
    <w:p>
      <w:pPr>
        <w:pStyle w:val="BodyText"/>
      </w:pPr>
      <w:r>
        <w:t xml:space="preserve">The final model’s key coefficient is the standardized position-adjusted draft incentive. It asks whether teams with larger marginal lottery rewards in stronger top-four draft classes have larger tanking signals after controlling for pre-March team strength and separate indicators for the disrupted 2012, 2020, and 2021 seasons. We also include follow-up checks for whether the relationship changed after the 2019 lottery reform, whether a team’s roster fit with the draft class adds explanatory power, and whether stronger top-four draft classes are associated with late-season reductions in core-player minutes.</w:t>
      </w:r>
    </w:p>
    <w:bookmarkStart w:id="46" w:name="analysis-1-prepost-reform-interaction"/>
    <w:p>
      <w:pPr>
        <w:pStyle w:val="Heading3"/>
      </w:pPr>
      <w:r>
        <w:t xml:space="preserve">Analysis 1: Pre/Post Reform Interaction</w:t>
      </w:r>
    </w:p>
    <w:p>
      <w:pPr>
        <w:pStyle w:val="TableCaption"/>
      </w:pPr>
      <w:r>
        <w:t xml:space="preserve">Table 2. Exploratory pre/post lottery reform interaction models.</w:t>
      </w:r>
    </w:p>
    <w:tbl>
      <w:tblPr>
        <w:tblStyle w:val="Table"/>
        <w:tblW w:type="auto" w:w="0"/>
        <w:tblLook w:firstRow="1" w:lastRow="0" w:firstColumn="0" w:lastColumn="0" w:noHBand="0" w:noVBand="0" w:val="0020"/>
        <w:tblCaption w:val="Table 2. Exploratory pre/post lottery reform interaction models."/>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0.077</w:t>
            </w:r>
          </w:p>
        </w:tc>
        <w:tc>
          <w:tcPr/>
          <w:p>
            <w:pPr>
              <w:pStyle w:val="Compact"/>
              <w:jc w:val="right"/>
            </w:pPr>
            <w:r>
              <w:t xml:space="preserve">0.539</w:t>
            </w:r>
          </w:p>
        </w:tc>
      </w:tr>
      <w:tr>
        <w:tc>
          <w:tcPr/>
          <w:p>
            <w:pPr>
              <w:pStyle w:val="Compact"/>
              <w:jc w:val="left"/>
            </w:pPr>
            <w:r>
              <w:t xml:space="preserve">Tanking index</w:t>
            </w:r>
          </w:p>
        </w:tc>
        <w:tc>
          <w:tcPr/>
          <w:p>
            <w:pPr>
              <w:pStyle w:val="Compact"/>
              <w:jc w:val="left"/>
            </w:pPr>
            <w:r>
              <w:t xml:space="preserve">Post-2019 reform</w:t>
            </w:r>
          </w:p>
        </w:tc>
        <w:tc>
          <w:tcPr/>
          <w:p>
            <w:pPr>
              <w:pStyle w:val="Compact"/>
              <w:jc w:val="right"/>
            </w:pPr>
            <w:r>
              <w:t xml:space="preserve">0.101</w:t>
            </w:r>
          </w:p>
        </w:tc>
        <w:tc>
          <w:tcPr/>
          <w:p>
            <w:pPr>
              <w:pStyle w:val="Compact"/>
              <w:jc w:val="right"/>
            </w:pPr>
            <w:r>
              <w:t xml:space="preserve">0.657</w:t>
            </w:r>
          </w:p>
        </w:tc>
      </w:tr>
      <w:tr>
        <w:tc>
          <w:tcPr/>
          <w:p>
            <w:pPr>
              <w:pStyle w:val="Compact"/>
              <w:jc w:val="left"/>
            </w:pPr>
            <w:r>
              <w:t xml:space="preserve">Tanking index</w:t>
            </w:r>
          </w:p>
        </w:tc>
        <w:tc>
          <w:tcPr/>
          <w:p>
            <w:pPr>
              <w:pStyle w:val="Compact"/>
              <w:jc w:val="left"/>
            </w:pPr>
            <w:r>
              <w:t xml:space="preserve">Top-four draft rating x post-2019</w:t>
            </w:r>
          </w:p>
        </w:tc>
        <w:tc>
          <w:tcPr/>
          <w:p>
            <w:pPr>
              <w:pStyle w:val="Compact"/>
              <w:jc w:val="right"/>
            </w:pPr>
            <w:r>
              <w:t xml:space="preserve">0.207</w:t>
            </w:r>
          </w:p>
        </w:tc>
        <w:tc>
          <w:tcPr/>
          <w:p>
            <w:pPr>
              <w:pStyle w:val="Compact"/>
              <w:jc w:val="right"/>
            </w:pPr>
            <w:r>
              <w:t xml:space="preserve">0.326</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p>
      <w:pPr>
        <w:pStyle w:val="BodyText"/>
      </w:pPr>
      <w:r>
        <w:t xml:space="preserve">The coefficient of interest in Table 2 is the draft-strength slope and its interaction with the post-2019 reform indicator. Because</w:t>
      </w:r>
      <w:r>
        <w:t xml:space="preserve"> </w:t>
      </w:r>
      <w:r>
        <w:rPr>
          <w:rStyle w:val="VerbatimChar"/>
        </w:rPr>
        <w:t xml:space="preserve">top4_avg_rating</w:t>
      </w:r>
      <w:r>
        <w:t xml:space="preserve"> </w:t>
      </w:r>
      <w:r>
        <w:t xml:space="preserve">is standardized, the top-four draft rating coefficient means that, before the reform, a one-standard-deviation increase in top-four draft strength is associated with a 0.077 change in the tanking index, holding pre-March strength and disrupted-season controls fixed. The interaction coefficient of 0.207 is the additional post-reform change in that slope, so the implied post-reform slope is 0.284. Since the interaction p-value is 0.33, we do not treat this as strong evidence that the relationship changed after the lottery reform.</w:t>
      </w:r>
    </w:p>
    <w:bookmarkEnd w:id="46"/>
    <w:bookmarkStart w:id="47" w:name="Xe837124f9f200bd350346b45a493dd227e53ca1"/>
    <w:p>
      <w:pPr>
        <w:pStyle w:val="Heading3"/>
      </w:pPr>
      <w:r>
        <w:t xml:space="preserve">Analysis 2: Position-Adjusted Team-Season Regression</w:t>
      </w:r>
    </w:p>
    <w:p>
      <w:pPr>
        <w:pStyle w:val="FirstParagraph"/>
      </w:pPr>
      <w:r>
        <w:t xml:space="preserve">For that reason, our final model pools all seasons together and focuses on the team-specific position-adjusted draft incentive. This keeps the model simpler than the pre/post interaction while addressing an important weakness of the raw draft-rating model: not every likely lottery team has the same chance of turning a strong top-four draft class into a top-four pick.</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BodyText"/>
      </w:pPr>
      <w:r>
        <w:t xml:space="preserve">We also compared two ways of measuring draft strength: the average rating of the top 35 prospects and the average rating of only the top four prospects. The top-four version is our preferred measure because the lottery is mainly about access to the top of the draft. In both models, the coefficient of interest has the same interpretation: the expected change in</w:t>
      </w:r>
      <w:r>
        <w:t xml:space="preserve"> </w:t>
      </w:r>
      <w:r>
        <w:rPr>
          <w:rStyle w:val="VerbatimChar"/>
        </w:rPr>
        <w:t xml:space="preserve">tanking_index</w:t>
      </w:r>
      <w:r>
        <w:t xml:space="preserve"> </w:t>
      </w:r>
      <w:r>
        <w:t xml:space="preserve">for a one-standard-deviation increase in the position-adjusted draft incentive. The top-four version performs slightly better in the final model: the top-35 incentive p-value is 0.13, compared with 0.12 for the top-four incentive.</w:t>
      </w:r>
    </w:p>
    <w:p>
      <w:pPr>
        <w:pStyle w:val="BodyText"/>
      </w:pPr>
      <w:r>
        <w:t xml:space="preserve">We also compared the full</w:t>
      </w:r>
      <w:r>
        <w:t xml:space="preserve"> </w:t>
      </w:r>
      <w:r>
        <w:rPr>
          <w:rStyle w:val="VerbatimChar"/>
        </w:rPr>
        <w:t xml:space="preserve">tanking_index</w:t>
      </w:r>
      <w:r>
        <w:t xml:space="preserve"> </w:t>
      </w:r>
      <w:r>
        <w:t xml:space="preserve">to the positive-only late-collapse score. The positive-only model uses the same incentive coefficient, but the outcome changes: instead of predicting all late-season underperformance and overperformance, it predicts only the positive part of the late-collapse signal. The positive-only score is useful for labeling obvious cases, but it throws away information by setting all late-season overperformance to zero. With the same controls, the positive-only score gives a position-adjusted incentive p-value of 0.37, compared with 0.12 for the full</w:t>
      </w:r>
      <w:r>
        <w:t xml:space="preserve"> </w:t>
      </w:r>
      <w:r>
        <w:rPr>
          <w:rStyle w:val="VerbatimChar"/>
        </w:rPr>
        <w:t xml:space="preserve">tanking_index</w:t>
      </w:r>
      <w:r>
        <w:t xml:space="preserve">. For that reason, the final model uses the full index as the clearer primary outcome.</w:t>
      </w:r>
    </w:p>
    <w:p>
      <w:pPr>
        <w:pStyle w:val="TableCaption"/>
      </w:pPr>
      <w:r>
        <w:t xml:space="preserve">Table 3. Final pooled regression models using position-adjusted draft incentives among likely lottery candidates.</w:t>
      </w:r>
    </w:p>
    <w:tbl>
      <w:tblPr>
        <w:tblStyle w:val="Table"/>
        <w:tblW w:type="pct" w:w="5000"/>
        <w:tblLayout w:type="fixed"/>
        <w:tblLook w:firstRow="1" w:lastRow="0" w:firstColumn="0" w:lastColumn="0" w:noHBand="0" w:noVBand="0" w:val="0020"/>
        <w:tblCaption w:val="Table 3. Final pooled regression models using position-adjusted draft incentives among likely lottery candidates."/>
      </w:tblPr>
      <w:tblGrid>
        <w:gridCol w:w="1458"/>
        <w:gridCol w:w="3543"/>
        <w:gridCol w:w="937"/>
        <w:gridCol w:w="1146"/>
        <w:gridCol w:w="83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0.099</w:t>
            </w:r>
          </w:p>
        </w:tc>
        <w:tc>
          <w:tcPr/>
          <w:p>
            <w:pPr>
              <w:pStyle w:val="Compact"/>
              <w:jc w:val="right"/>
            </w:pPr>
            <w:r>
              <w:t xml:space="preserve">0.115</w:t>
            </w:r>
          </w:p>
        </w:tc>
      </w:tr>
      <w:tr>
        <w:tc>
          <w:tcPr/>
          <w:p>
            <w:pPr>
              <w:pStyle w:val="Compact"/>
              <w:jc w:val="left"/>
            </w:pPr>
            <w:r>
              <w:t xml:space="preserve">Tanking index</w:t>
            </w:r>
          </w:p>
        </w:tc>
        <w:tc>
          <w:tcPr/>
          <w:p>
            <w:pPr>
              <w:pStyle w:val="Compact"/>
              <w:jc w:val="left"/>
            </w:pPr>
            <w:r>
              <w:t xml:space="preserve">Pre-March win pct</w:t>
            </w:r>
          </w:p>
        </w:tc>
        <w:tc>
          <w:tcPr/>
          <w:p>
            <w:pPr>
              <w:pStyle w:val="Compact"/>
              <w:jc w:val="right"/>
            </w:pPr>
            <w:r>
              <w:t xml:space="preserve">4.852</w:t>
            </w:r>
          </w:p>
        </w:tc>
        <w:tc>
          <w:tcPr/>
          <w:p>
            <w:pPr>
              <w:pStyle w:val="Compact"/>
              <w:jc w:val="right"/>
            </w:pPr>
            <w:r>
              <w:t xml:space="preserve">1.135</w:t>
            </w:r>
          </w:p>
        </w:tc>
        <w:tc>
          <w:tcPr/>
          <w:p>
            <w:pPr>
              <w:pStyle w:val="Compact"/>
              <w:jc w:val="right"/>
            </w:pPr>
            <w:r>
              <w:t xml:space="preserve">0.000</w:t>
            </w:r>
          </w:p>
        </w:tc>
      </w:tr>
      <w:tr>
        <w:tc>
          <w:tcPr/>
          <w:p>
            <w:pPr>
              <w:pStyle w:val="Compact"/>
              <w:jc w:val="left"/>
            </w:pPr>
            <w:r>
              <w:t xml:space="preserve">Tanking index</w:t>
            </w:r>
          </w:p>
        </w:tc>
        <w:tc>
          <w:tcPr/>
          <w:p>
            <w:pPr>
              <w:pStyle w:val="Compact"/>
              <w:jc w:val="left"/>
            </w:pPr>
            <w:r>
              <w:t xml:space="preserve">2012 season</w:t>
            </w:r>
          </w:p>
        </w:tc>
        <w:tc>
          <w:tcPr/>
          <w:p>
            <w:pPr>
              <w:pStyle w:val="Compact"/>
              <w:jc w:val="right"/>
            </w:pPr>
            <w:r>
              <w:t xml:space="preserve">-0.741</w:t>
            </w:r>
          </w:p>
        </w:tc>
        <w:tc>
          <w:tcPr/>
          <w:p>
            <w:pPr>
              <w:pStyle w:val="Compact"/>
              <w:jc w:val="right"/>
            </w:pPr>
            <w:r>
              <w:t xml:space="preserve">0.403</w:t>
            </w:r>
          </w:p>
        </w:tc>
        <w:tc>
          <w:tcPr/>
          <w:p>
            <w:pPr>
              <w:pStyle w:val="Compact"/>
              <w:jc w:val="right"/>
            </w:pPr>
            <w:r>
              <w:t xml:space="preserve">0.068</w:t>
            </w:r>
          </w:p>
        </w:tc>
      </w:tr>
      <w:tr>
        <w:tc>
          <w:tcPr/>
          <w:p>
            <w:pPr>
              <w:pStyle w:val="Compact"/>
              <w:jc w:val="left"/>
            </w:pPr>
            <w:r>
              <w:t xml:space="preserve">Tanking index</w:t>
            </w:r>
          </w:p>
        </w:tc>
        <w:tc>
          <w:tcPr/>
          <w:p>
            <w:pPr>
              <w:pStyle w:val="Compact"/>
              <w:jc w:val="left"/>
            </w:pPr>
            <w:r>
              <w:t xml:space="preserve">2020 season</w:t>
            </w:r>
          </w:p>
        </w:tc>
        <w:tc>
          <w:tcPr/>
          <w:p>
            <w:pPr>
              <w:pStyle w:val="Compact"/>
              <w:jc w:val="right"/>
            </w:pPr>
            <w:r>
              <w:t xml:space="preserve">-0.610</w:t>
            </w:r>
          </w:p>
        </w:tc>
        <w:tc>
          <w:tcPr/>
          <w:p>
            <w:pPr>
              <w:pStyle w:val="Compact"/>
              <w:jc w:val="right"/>
            </w:pPr>
            <w:r>
              <w:t xml:space="preserve">0.374</w:t>
            </w:r>
          </w:p>
        </w:tc>
        <w:tc>
          <w:tcPr/>
          <w:p>
            <w:pPr>
              <w:pStyle w:val="Compact"/>
              <w:jc w:val="right"/>
            </w:pPr>
            <w:r>
              <w:t xml:space="preserve">0.105</w:t>
            </w:r>
          </w:p>
        </w:tc>
      </w:tr>
      <w:tr>
        <w:tc>
          <w:tcPr/>
          <w:p>
            <w:pPr>
              <w:pStyle w:val="Compact"/>
              <w:jc w:val="left"/>
            </w:pPr>
            <w:r>
              <w:t xml:space="preserve">Tanking index</w:t>
            </w:r>
          </w:p>
        </w:tc>
        <w:tc>
          <w:tcPr/>
          <w:p>
            <w:pPr>
              <w:pStyle w:val="Compact"/>
              <w:jc w:val="left"/>
            </w:pPr>
            <w:r>
              <w:t xml:space="preserve">2021 season</w:t>
            </w:r>
          </w:p>
        </w:tc>
        <w:tc>
          <w:tcPr/>
          <w:p>
            <w:pPr>
              <w:pStyle w:val="Compact"/>
              <w:jc w:val="right"/>
            </w:pPr>
            <w:r>
              <w:t xml:space="preserve">0.567</w:t>
            </w:r>
          </w:p>
        </w:tc>
        <w:tc>
          <w:tcPr/>
          <w:p>
            <w:pPr>
              <w:pStyle w:val="Compact"/>
              <w:jc w:val="right"/>
            </w:pPr>
            <w:r>
              <w:t xml:space="preserve">0.500</w:t>
            </w:r>
          </w:p>
        </w:tc>
        <w:tc>
          <w:tcPr/>
          <w:p>
            <w:pPr>
              <w:pStyle w:val="Compact"/>
              <w:jc w:val="right"/>
            </w:pPr>
            <w:r>
              <w:t xml:space="preserve">0.258</w:t>
            </w:r>
          </w:p>
        </w:tc>
      </w:tr>
    </w:tbl>
    <w:p>
      <w:pPr>
        <w:pStyle w:val="BodyText"/>
      </w:pPr>
      <w:r>
        <w:t xml:space="preserve">The tanking-index model has a positive position-adjusted incentive coefficient of 0.157, with a p-value of 0.12. Because the incentive variable is standardized, this means that a likely lottery team with a one-standard-deviation larger marginal top-four draft incentive is expected to have a tanking index that is 0.157 units higher, holding pre-March win percentage and disrupted-season controls fixed. Positive values of the tanking index mean more late-season wins below expectation, so the positive coefficient points in the direction predicted by the tanking-incentive story. This is stronger than the earlier positive-only late-collapse score because the full index keeps all information: underperformance counts positively, while late-season overperformance counts against the tanking-incentive story.</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0.115</w:t>
            </w:r>
          </w:p>
        </w:tc>
      </w:tr>
      <w:tr>
        <w:tc>
          <w:tcPr/>
          <w:p>
            <w:pPr>
              <w:pStyle w:val="Compact"/>
              <w:jc w:val="left"/>
            </w:pPr>
            <w:r>
              <w:t xml:space="preserve">Tanking index</w:t>
            </w: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0.145</w:t>
            </w:r>
          </w:p>
        </w:tc>
        <w:tc>
          <w:tcPr/>
          <w:p>
            <w:pPr>
              <w:pStyle w:val="Compact"/>
              <w:jc w:val="right"/>
            </w:pPr>
            <w:r>
              <w:t xml:space="preserve">0.140</w:t>
            </w:r>
          </w:p>
        </w:tc>
      </w:tr>
    </w:tbl>
    <w:p>
      <w:pPr>
        <w:pStyle w:val="BodyText"/>
      </w:pPr>
      <w:r>
        <w:t xml:space="preserve">Excluding 2021 does not reverse the direction of the estimate. The coefficient has the same interpretation as in Table 3, but it is estimated on the sample without the unusual 2021 season: a one-standard-deviation larger position-adjusted draft incentive is associated with a 0.145 higher tanking index, holding the remaining controls fixed. The position-adjusted incentive coefficient changes from 0.157 in the all-years model to 0.145 after excluding 2021, with the p-value changing from 0.12 to 0.14. This suggests that 2021 matters, but the main pattern is not simply a one-season artifact. The separate season controls in the main model let us keep all years in the primary analysis while acknowledging that disrupted seasons are not perfectly comparable to normal 82-game seasons.</w:t>
      </w:r>
    </w:p>
    <w:bookmarkEnd w:id="47"/>
    <w:bookmarkStart w:id="51" w:name="analysis-3-team-fit-heterogeneity-check"/>
    <w:p>
      <w:pPr>
        <w:pStyle w:val="Heading3"/>
      </w:pPr>
      <w:r>
        <w:t xml:space="preserve">Analysis 3: Team-Fit Heterogeneity Check</w:t>
      </w:r>
    </w:p>
    <w:p>
      <w:pPr>
        <w:pStyle w:val="FirstParagraph"/>
      </w:pPr>
      <w:r>
        <w:t xml:space="preserve">One peer-review suggestion was to account for whether a draft class fits a particular team’s needs. This is a useful idea because a strong draft class may not create the same incentive for every team. For example, a team that badly needs guard creation may respond differently to a guard-heavy draft than to a draft whose best prospects are mostly bigs.</w:t>
      </w:r>
    </w:p>
    <w:p>
      <w:pPr>
        <w:pStyle w:val="BodyText"/>
      </w:pPr>
      <w:r>
        <w:t xml:space="preserve">We build a rough</w:t>
      </w:r>
      <w:r>
        <w:t xml:space="preserve"> </w:t>
      </w:r>
      <w:r>
        <w:rPr>
          <w:rStyle w:val="VerbatimChar"/>
        </w:rPr>
        <w:t xml:space="preserve">team_fit_score</w:t>
      </w:r>
      <w:r>
        <w:t xml:space="preserve"> </w:t>
      </w:r>
      <w:r>
        <w:t xml:space="preserve">in two steps. First, we use pre-March player game logs to measure each team’s production by position group: guard, wing, and big. Position groups that are below the league average in that season receive higher need scores. Second, we use CraftedNBA prospect positions and ratings to measure how much of each draft class’s top-35 prospect value is concentrated in each position group. The final fit score is higher when a team’s weak position groups align with the position groups where that draft has more high-rated prospects.</w:t>
      </w:r>
    </w:p>
    <w:p>
      <w:pPr>
        <w:pStyle w:val="BodyText"/>
      </w:pPr>
      <w:r>
        <w:t xml:space="preserve">This extension is exploratory, so it is not our preferred final model. It is still useful because</w:t>
      </w:r>
      <w:r>
        <w:t xml:space="preserve"> </w:t>
      </w:r>
      <w:r>
        <w:rPr>
          <w:rStyle w:val="VerbatimChar"/>
        </w:rPr>
        <w:t xml:space="preserve">team_fit_score</w:t>
      </w:r>
      <w:r>
        <w:t xml:space="preserve"> </w:t>
      </w:r>
      <w:r>
        <w:t xml:space="preserve">is team-specific and is only weakly correlated with top-four draft rating among likely lottery candidates (0.009). In other words, it is not just another version of draft strength.</w:t>
      </w:r>
    </w:p>
    <w:p>
      <w:pPr>
        <w:pStyle w:val="CaptionedFigure"/>
      </w:pPr>
      <w:r>
        <w:drawing>
          <wp:inline>
            <wp:extent cx="5334000" cy="3597671"/>
            <wp:effectExtent b="0" l="0" r="0" t="0"/>
            <wp:docPr descr="Figure 6. Team fit and tanking index among likely lottery candidates. Each point is one team-season. The x-axis measures whether a team’s pre-March positional weaknesses align with the strongest prospect position groups in that year’s draft, and color shows top-four draft class strength." title="" id="49" name="Picture"/>
            <a:graphic>
              <a:graphicData uri="http://schemas.openxmlformats.org/drawingml/2006/picture">
                <pic:pic>
                  <pic:nvPicPr>
                    <pic:cNvPr descr="final-report_files/figure-docx/team-fit-visual-1.png" id="50" name="Picture"/>
                    <pic:cNvPicPr>
                      <a:picLocks noChangeArrowheads="1" noChangeAspect="1"/>
                    </pic:cNvPicPr>
                  </pic:nvPicPr>
                  <pic:blipFill>
                    <a:blip r:embed="rId48"/>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Team fit and tanking index among likely lottery candidates. Each point is one team-season. The x-axis measures whether a team’s pre-March positional weaknesses align with the strongest prospect position groups in that year’s draft, and color shows top-four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0.154</w:t>
            </w:r>
          </w:p>
        </w:tc>
        <w:tc>
          <w:tcPr/>
          <w:p>
            <w:pPr>
              <w:pStyle w:val="Compact"/>
              <w:jc w:val="right"/>
            </w:pPr>
            <w:r>
              <w:t xml:space="preserve">0.121</w:t>
            </w:r>
          </w:p>
        </w:tc>
      </w:tr>
      <w:tr>
        <w:tc>
          <w:tcPr/>
          <w:p>
            <w:pPr>
              <w:pStyle w:val="Compact"/>
              <w:jc w:val="left"/>
            </w:pPr>
            <w:r>
              <w:t xml:space="preserve">Tanking index</w:t>
            </w:r>
          </w:p>
        </w:tc>
        <w:tc>
          <w:tcPr/>
          <w:p>
            <w:pPr>
              <w:pStyle w:val="Compact"/>
              <w:jc w:val="left"/>
            </w:pPr>
            <w:r>
              <w:t xml:space="preserve">Team fit</w:t>
            </w:r>
          </w:p>
        </w:tc>
        <w:tc>
          <w:tcPr/>
          <w:p>
            <w:pPr>
              <w:pStyle w:val="Compact"/>
              <w:jc w:val="right"/>
            </w:pPr>
            <w:r>
              <w:t xml:space="preserve">0.141</w:t>
            </w:r>
          </w:p>
        </w:tc>
        <w:tc>
          <w:tcPr/>
          <w:p>
            <w:pPr>
              <w:pStyle w:val="Compact"/>
              <w:jc w:val="right"/>
            </w:pPr>
            <w:r>
              <w:t xml:space="preserve">0.175</w:t>
            </w:r>
          </w:p>
        </w:tc>
      </w:tr>
      <w:tr>
        <w:tc>
          <w:tcPr/>
          <w:p>
            <w:pPr>
              <w:pStyle w:val="Compact"/>
              <w:jc w:val="left"/>
            </w:pPr>
            <w:r>
              <w:t xml:space="preserve">Tanking index</w:t>
            </w:r>
          </w:p>
        </w:tc>
        <w:tc>
          <w:tcPr/>
          <w:p>
            <w:pPr>
              <w:pStyle w:val="Compact"/>
              <w:jc w:val="left"/>
            </w:pPr>
            <w:r>
              <w:t xml:space="preserve">Top-four draft rating x team fit</w:t>
            </w:r>
          </w:p>
        </w:tc>
        <w:tc>
          <w:tcPr/>
          <w:p>
            <w:pPr>
              <w:pStyle w:val="Compact"/>
              <w:jc w:val="right"/>
            </w:pPr>
            <w:r>
              <w:t xml:space="preserve">-0.032</w:t>
            </w:r>
          </w:p>
        </w:tc>
        <w:tc>
          <w:tcPr/>
          <w:p>
            <w:pPr>
              <w:pStyle w:val="Compact"/>
              <w:jc w:val="right"/>
            </w:pPr>
            <w:r>
              <w:t xml:space="preserve">0.757</w:t>
            </w:r>
          </w:p>
        </w:tc>
      </w:tr>
    </w:tbl>
    <w:p>
      <w:pPr>
        <w:pStyle w:val="BodyText"/>
      </w:pPr>
      <w:r>
        <w:t xml:space="preserve">The coefficient of interest in Table 5 is the interaction between top-four draft strength and team fit. Because both variables are standardized, the interaction coefficient of -0.032 means that a one-standard-deviation increase in team fit changes the draft-strength slope by -0.032 tanking-index units, holding the controls fixed. The interaction p-value is 0.76, so this is not statistically significant. This does not mean fit is irrelevant; it means our simple fit proxy does not add clear evidence beyond the main draft-strength model. A stronger version of this idea would use team-specific draft boards, roster contract data, or play-type needs instead of broad position groups.</w:t>
      </w:r>
    </w:p>
    <w:bookmarkEnd w:id="51"/>
    <w:bookmarkStart w:id="55" w:name="analysis-4-core-player-usage-reduction"/>
    <w:p>
      <w:pPr>
        <w:pStyle w:val="Heading3"/>
      </w:pPr>
      <w:r>
        <w:t xml:space="preserve">Analysis 4: Core-Player Usage Reduction</w:t>
      </w:r>
    </w:p>
    <w:p>
      <w:pPr>
        <w:pStyle w:val="FirstParagraph"/>
      </w:pPr>
      <w:r>
        <w:t xml:space="preserve">The final exploratory model uses a different kind of tanking signal: whether likely lottery teams reduce the minutes of their main pre-March players late in the season. This is motivated by the idea that tanking may show up not only in losses, but also in roster management. We define each team’s core players as the three players with the most pre-March starts, breaking ties by pre-March minutes. To focus on usage changes rather than trades or complete absences, we keep only core players who appeared for the same team at least once after March 1. We then calculate their combined minutes per team game before March and after March. The outcome,</w:t>
      </w:r>
      <w:r>
        <w:t xml:space="preserve"> </w:t>
      </w:r>
      <w:r>
        <w:rPr>
          <w:rStyle w:val="VerbatimChar"/>
        </w:rPr>
        <w:t xml:space="preserve">core_usage_drop_rate</w:t>
      </w:r>
      <w:r>
        <w:t xml:space="preserve">, is the percentage drop in those core-player minutes after March 1. Positive values mean the team’s main continuing pre-March players were used less late in the season.</w:t>
      </w:r>
    </w:p>
    <w:p>
      <w:pPr>
        <w:pStyle w:val="BodyText"/>
      </w:pPr>
      <w:r>
        <w:t xml:space="preserve">This model should be interpreted cautiously. The player logs include</w:t>
      </w:r>
      <w:r>
        <w:t xml:space="preserve"> </w:t>
      </w:r>
      <w:r>
        <w:rPr>
          <w:rStyle w:val="VerbatimChar"/>
        </w:rPr>
        <w:t xml:space="preserve">did_not_play</w:t>
      </w:r>
      <w:r>
        <w:t xml:space="preserve">,</w:t>
      </w:r>
      <w:r>
        <w:t xml:space="preserve"> </w:t>
      </w:r>
      <w:r>
        <w:rPr>
          <w:rStyle w:val="VerbatimChar"/>
        </w:rPr>
        <w:t xml:space="preserve">active</w:t>
      </w:r>
      <w:r>
        <w:t xml:space="preserve">, and</w:t>
      </w:r>
      <w:r>
        <w:t xml:space="preserve"> </w:t>
      </w:r>
      <w:r>
        <w:rPr>
          <w:rStyle w:val="VerbatimChar"/>
        </w:rPr>
        <w:t xml:space="preserve">reason</w:t>
      </w:r>
      <w:r>
        <w:t xml:space="preserve"> </w:t>
      </w:r>
      <w:r>
        <w:t xml:space="preserve">fields, but they do not perfectly tell us whether a player was healthy. Therefore this is a</w:t>
      </w:r>
      <w:r>
        <w:t xml:space="preserve"> </w:t>
      </w:r>
      <w:r>
        <w:rPr>
          <w:b/>
          <w:bCs/>
        </w:rPr>
        <w:t xml:space="preserve">core-player usage reduction</w:t>
      </w:r>
      <w:r>
        <w:t xml:space="preserve"> </w:t>
      </w:r>
      <w:r>
        <w:t xml:space="preserve">model, not proof that teams intentionally benched healthy starters. We use raw top-four draft rating here, instead of the position-adjusted lottery incentive, because this mechanism asks whether stronger top-end classes are associated with a broader roster-management response among likely lottery teams.</w:t>
      </w:r>
    </w:p>
    <w:p>
      <w:pPr>
        <w:pStyle w:val="CaptionedFigure"/>
      </w:pPr>
      <w:r>
        <w:drawing>
          <wp:inline>
            <wp:extent cx="5334000" cy="3597671"/>
            <wp:effectExtent b="0" l="0" r="0" t="0"/>
            <wp:docPr descr="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 title="" id="53" name="Picture"/>
            <a:graphic>
              <a:graphicData uri="http://schemas.openxmlformats.org/drawingml/2006/picture">
                <pic:pic>
                  <pic:nvPicPr>
                    <pic:cNvPr descr="final-report_files/figure-docx/core-usage-visual-1.png" id="54" name="Picture"/>
                    <pic:cNvPicPr>
                      <a:picLocks noChangeArrowheads="1" noChangeAspect="1"/>
                    </pic:cNvPicPr>
                  </pic:nvPicPr>
                  <pic:blipFill>
                    <a:blip r:embed="rId5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w:t>
      </w:r>
    </w:p>
    <w:p>
      <w:pPr>
        <w:pStyle w:val="TableCaption"/>
      </w:pPr>
      <w:r>
        <w:t xml:space="preserve">Table 6. Exploratory model predicting late-season core-player usage reduction among likely lottery candidates.</w:t>
      </w:r>
    </w:p>
    <w:tbl>
      <w:tblPr>
        <w:tblStyle w:val="Table"/>
        <w:tblW w:type="pct" w:w="5000"/>
        <w:tblLayout w:type="fixed"/>
        <w:tblLook w:firstRow="1" w:lastRow="0" w:firstColumn="0" w:lastColumn="0" w:noHBand="0" w:noVBand="0" w:val="0020"/>
        <w:tblCaption w:val="Table 6. Exploratory model predicting late-season core-player usage reduction among likely lottery candidates."/>
      </w:tblPr>
      <w:tblGrid>
        <w:gridCol w:w="2843"/>
        <w:gridCol w:w="2233"/>
        <w:gridCol w:w="913"/>
        <w:gridCol w:w="1116"/>
        <w:gridCol w:w="812"/>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Core-player usage drop rate</w:t>
            </w:r>
          </w:p>
        </w:tc>
        <w:tc>
          <w:tcPr/>
          <w:p>
            <w:pPr>
              <w:pStyle w:val="Compact"/>
              <w:jc w:val="left"/>
            </w:pPr>
            <w:r>
              <w:t xml:space="preserve">Top-four draft rating</w:t>
            </w:r>
          </w:p>
        </w:tc>
        <w:tc>
          <w:tcPr/>
          <w:p>
            <w:pPr>
              <w:pStyle w:val="Compact"/>
              <w:jc w:val="right"/>
            </w:pPr>
            <w:r>
              <w:t xml:space="preserve">0.054</w:t>
            </w:r>
          </w:p>
        </w:tc>
        <w:tc>
          <w:tcPr/>
          <w:p>
            <w:pPr>
              <w:pStyle w:val="Compact"/>
              <w:jc w:val="right"/>
            </w:pPr>
            <w:r>
              <w:t xml:space="preserve">0.016</w:t>
            </w:r>
          </w:p>
        </w:tc>
        <w:tc>
          <w:tcPr/>
          <w:p>
            <w:pPr>
              <w:pStyle w:val="Compact"/>
              <w:jc w:val="right"/>
            </w:pPr>
            <w:r>
              <w:t xml:space="preserve">0.001</w:t>
            </w:r>
          </w:p>
        </w:tc>
      </w:tr>
      <w:tr>
        <w:tc>
          <w:tcPr/>
          <w:p>
            <w:pPr>
              <w:pStyle w:val="Compact"/>
              <w:jc w:val="left"/>
            </w:pPr>
            <w:r>
              <w:t xml:space="preserve">Core-player usage drop rate</w:t>
            </w:r>
          </w:p>
        </w:tc>
        <w:tc>
          <w:tcPr/>
          <w:p>
            <w:pPr>
              <w:pStyle w:val="Compact"/>
              <w:jc w:val="left"/>
            </w:pPr>
            <w:r>
              <w:t xml:space="preserve">Pre-March core MPG</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0.591</w:t>
            </w:r>
          </w:p>
        </w:tc>
      </w:tr>
      <w:tr>
        <w:tc>
          <w:tcPr/>
          <w:p>
            <w:pPr>
              <w:pStyle w:val="Compact"/>
              <w:jc w:val="left"/>
            </w:pPr>
            <w:r>
              <w:t xml:space="preserve">Core-player usage drop rate</w:t>
            </w:r>
          </w:p>
        </w:tc>
        <w:tc>
          <w:tcPr/>
          <w:p>
            <w:pPr>
              <w:pStyle w:val="Compact"/>
              <w:jc w:val="left"/>
            </w:pPr>
            <w:r>
              <w:t xml:space="preserve">2012 season</w:t>
            </w:r>
          </w:p>
        </w:tc>
        <w:tc>
          <w:tcPr/>
          <w:p>
            <w:pPr>
              <w:pStyle w:val="Compact"/>
              <w:jc w:val="right"/>
            </w:pPr>
            <w:r>
              <w:t xml:space="preserve">0.057</w:t>
            </w:r>
          </w:p>
        </w:tc>
        <w:tc>
          <w:tcPr/>
          <w:p>
            <w:pPr>
              <w:pStyle w:val="Compact"/>
              <w:jc w:val="right"/>
            </w:pPr>
            <w:r>
              <w:t xml:space="preserve">0.065</w:t>
            </w:r>
          </w:p>
        </w:tc>
        <w:tc>
          <w:tcPr/>
          <w:p>
            <w:pPr>
              <w:pStyle w:val="Compact"/>
              <w:jc w:val="right"/>
            </w:pPr>
            <w:r>
              <w:t xml:space="preserve">0.386</w:t>
            </w:r>
          </w:p>
        </w:tc>
      </w:tr>
      <w:tr>
        <w:tc>
          <w:tcPr/>
          <w:p>
            <w:pPr>
              <w:pStyle w:val="Compact"/>
              <w:jc w:val="left"/>
            </w:pPr>
            <w:r>
              <w:t xml:space="preserve">Core-player usage drop rate</w:t>
            </w:r>
          </w:p>
        </w:tc>
        <w:tc>
          <w:tcPr/>
          <w:p>
            <w:pPr>
              <w:pStyle w:val="Compact"/>
              <w:jc w:val="left"/>
            </w:pPr>
            <w:r>
              <w:t xml:space="preserve">2020 season</w:t>
            </w:r>
          </w:p>
        </w:tc>
        <w:tc>
          <w:tcPr/>
          <w:p>
            <w:pPr>
              <w:pStyle w:val="Compact"/>
              <w:jc w:val="right"/>
            </w:pPr>
            <w:r>
              <w:t xml:space="preserve">-0.178</w:t>
            </w:r>
          </w:p>
        </w:tc>
        <w:tc>
          <w:tcPr/>
          <w:p>
            <w:pPr>
              <w:pStyle w:val="Compact"/>
              <w:jc w:val="right"/>
            </w:pPr>
            <w:r>
              <w:t xml:space="preserve">0.063</w:t>
            </w:r>
          </w:p>
        </w:tc>
        <w:tc>
          <w:tcPr/>
          <w:p>
            <w:pPr>
              <w:pStyle w:val="Compact"/>
              <w:jc w:val="right"/>
            </w:pPr>
            <w:r>
              <w:t xml:space="preserve">0.005</w:t>
            </w:r>
          </w:p>
        </w:tc>
      </w:tr>
      <w:tr>
        <w:tc>
          <w:tcPr/>
          <w:p>
            <w:pPr>
              <w:pStyle w:val="Compact"/>
              <w:jc w:val="left"/>
            </w:pPr>
            <w:r>
              <w:t xml:space="preserve">Core-player usage drop rate</w:t>
            </w:r>
          </w:p>
        </w:tc>
        <w:tc>
          <w:tcPr/>
          <w:p>
            <w:pPr>
              <w:pStyle w:val="Compact"/>
              <w:jc w:val="left"/>
            </w:pPr>
            <w:r>
              <w:t xml:space="preserve">2021 season</w:t>
            </w:r>
          </w:p>
        </w:tc>
        <w:tc>
          <w:tcPr/>
          <w:p>
            <w:pPr>
              <w:pStyle w:val="Compact"/>
              <w:jc w:val="right"/>
            </w:pPr>
            <w:r>
              <w:t xml:space="preserve">0.181</w:t>
            </w:r>
          </w:p>
        </w:tc>
        <w:tc>
          <w:tcPr/>
          <w:p>
            <w:pPr>
              <w:pStyle w:val="Compact"/>
              <w:jc w:val="right"/>
            </w:pPr>
            <w:r>
              <w:t xml:space="preserve">0.080</w:t>
            </w:r>
          </w:p>
        </w:tc>
        <w:tc>
          <w:tcPr/>
          <w:p>
            <w:pPr>
              <w:pStyle w:val="Compact"/>
              <w:jc w:val="right"/>
            </w:pPr>
            <w:r>
              <w:t xml:space="preserve">0.025</w:t>
            </w:r>
          </w:p>
        </w:tc>
      </w:tr>
    </w:tbl>
    <w:p>
      <w:pPr>
        <w:pStyle w:val="BodyText"/>
      </w:pPr>
      <w:r>
        <w:t xml:space="preserve">The coefficient of interest in Table 6 is the standardized top-four draft rating. Because the draft rating is standardized and the outcome is a percentage drop in core-player minutes, the coefficient of 0.054 means that a one-standard-deviation stronger top-four draft class is associated with a 5.4 percentage point larger drop in late-season core-player usage, holding pre-March core-player minutes and disrupted-season controls fixed. The usual team-season p-value is 0.00098, and the p-value remains 0.0036 when standard errors are clustered by draft season. This matters because</w:t>
      </w:r>
      <w:r>
        <w:t xml:space="preserve"> </w:t>
      </w:r>
      <w:r>
        <w:rPr>
          <w:rStyle w:val="VerbatimChar"/>
        </w:rPr>
        <w:t xml:space="preserve">top4_avg_rating</w:t>
      </w:r>
      <w:r>
        <w:t xml:space="preserve"> </w:t>
      </w:r>
      <w:r>
        <w:t xml:space="preserve">has only 17 unique season-level values even though the outcome is measured for many team-seasons. The result therefore gives evidence of a roster-management pattern associated with stronger draft classes, but it should not be interpreted as causal proof of tanking because injuries, planned rest, player development, and unobserved availability can also affect late-season minutes.</w:t>
      </w:r>
    </w:p>
    <w:p>
      <w:pPr>
        <w:pStyle w:val="BodyText"/>
      </w:pPr>
      <w:r>
        <w:t xml:space="preserve">Because this result is stronger than the main win-loss models, we also re-used the earlier model structures with</w:t>
      </w:r>
      <w:r>
        <w:t xml:space="preserve"> </w:t>
      </w:r>
      <w:r>
        <w:rPr>
          <w:rStyle w:val="VerbatimChar"/>
        </w:rPr>
        <w:t xml:space="preserve">core_usage_drop_rate</w:t>
      </w:r>
      <w:r>
        <w:t xml:space="preserve"> </w:t>
      </w:r>
      <w:r>
        <w:t xml:space="preserve">as the outcome. Table 7 reports both the usual team-season p-value and a season-clustered p-value. The raw top-four draft rating remains positive when 2021 is excluded, but the position-adjusted lottery incentive does not explain the core-usage outcome. This suggests that core-player minutes respond more to the overall strength of the top of the draft than to the exact marginal lottery-odds gain from one March lottery position. The pre/post interaction is also not strong, so we do not treat the 2019 lottery reform as clearly changing the core-usage relationship. The core-usage team-fit interaction is interesting under clustered inference, but because it is a secondary interaction built from a rough fit proxy, we treat it as hypothesis-generating rather than as a main result.</w:t>
      </w:r>
    </w:p>
    <w:p>
      <w:pPr>
        <w:pStyle w:val="TableCaption"/>
      </w:pPr>
      <w:r>
        <w:t xml:space="preserve">Table 7. Sensitivity checks using core-player usage reduction as the outcome.</w:t>
      </w:r>
    </w:p>
    <w:tbl>
      <w:tblPr>
        <w:tblStyle w:val="Table"/>
        <w:tblW w:type="pct" w:w="5000"/>
        <w:tblLayout w:type="fixed"/>
        <w:tblLook w:firstRow="1" w:lastRow="0" w:firstColumn="0" w:lastColumn="0" w:noHBand="0" w:noVBand="0" w:val="0020"/>
        <w:tblCaption w:val="Table 7. Sensitivity checks using core-player usage reduction as the outcome."/>
      </w:tblPr>
      <w:tblGrid>
        <w:gridCol w:w="2225"/>
        <w:gridCol w:w="1832"/>
        <w:gridCol w:w="916"/>
        <w:gridCol w:w="523"/>
        <w:gridCol w:w="1636"/>
        <w:gridCol w:w="261"/>
        <w:gridCol w:w="52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 (pp)</w:t>
            </w:r>
          </w:p>
        </w:tc>
        <w:tc>
          <w:tcPr/>
          <w:p>
            <w:pPr>
              <w:pStyle w:val="Compact"/>
              <w:jc w:val="right"/>
            </w:pPr>
            <w:r>
              <w:t xml:space="preserve">p-value</w:t>
            </w:r>
          </w:p>
        </w:tc>
        <w:tc>
          <w:tcPr/>
          <w:p>
            <w:pPr>
              <w:pStyle w:val="Compact"/>
              <w:jc w:val="right"/>
            </w:pPr>
            <w:r>
              <w:t xml:space="preserve">Season-clustered p-value</w:t>
            </w:r>
          </w:p>
        </w:tc>
        <w:tc>
          <w:tcPr/>
          <w:p>
            <w:pPr>
              <w:pStyle w:val="Compact"/>
              <w:jc w:val="right"/>
            </w:pPr>
            <w:r>
              <w:t xml:space="preserve">N</w:t>
            </w:r>
          </w:p>
        </w:tc>
        <w:tc>
          <w:tcPr/>
          <w:p>
            <w:pPr>
              <w:pStyle w:val="Compact"/>
              <w:jc w:val="right"/>
            </w:pPr>
            <w:r>
              <w:t xml:space="preserve">Adj. R2</w:t>
            </w:r>
          </w:p>
        </w:tc>
      </w:tr>
      <w:tr>
        <w:tc>
          <w:tcPr/>
          <w:p>
            <w:pPr>
              <w:pStyle w:val="Compact"/>
              <w:jc w:val="left"/>
            </w:pPr>
            <w:r>
              <w:t xml:space="preserve">Raw top-four rating</w:t>
            </w:r>
          </w:p>
        </w:tc>
        <w:tc>
          <w:tcPr/>
          <w:p>
            <w:pPr>
              <w:pStyle w:val="Compact"/>
              <w:jc w:val="left"/>
            </w:pPr>
            <w:r>
              <w:t xml:space="preserve">Top-four draft rating</w:t>
            </w:r>
          </w:p>
        </w:tc>
        <w:tc>
          <w:tcPr/>
          <w:p>
            <w:pPr>
              <w:pStyle w:val="Compact"/>
              <w:jc w:val="right"/>
            </w:pPr>
            <w:r>
              <w:t xml:space="preserve">5.352</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172</w:t>
            </w:r>
          </w:p>
        </w:tc>
        <w:tc>
          <w:tcPr/>
          <w:p>
            <w:pPr>
              <w:pStyle w:val="Compact"/>
              <w:jc w:val="right"/>
            </w:pPr>
            <w:r>
              <w:t xml:space="preserve">0.094</w:t>
            </w:r>
          </w:p>
        </w:tc>
      </w:tr>
      <w:tr>
        <w:tc>
          <w:tcPr/>
          <w:p>
            <w:pPr>
              <w:pStyle w:val="Compact"/>
              <w:jc w:val="left"/>
            </w:pPr>
            <w:r>
              <w:t xml:space="preserve">Pre/post interaction</w:t>
            </w:r>
          </w:p>
        </w:tc>
        <w:tc>
          <w:tcPr/>
          <w:p>
            <w:pPr>
              <w:pStyle w:val="Compact"/>
              <w:jc w:val="left"/>
            </w:pPr>
            <w:r>
              <w:t xml:space="preserve">Top-four rating</w:t>
            </w:r>
          </w:p>
        </w:tc>
        <w:tc>
          <w:tcPr/>
          <w:p>
            <w:pPr>
              <w:pStyle w:val="Compact"/>
              <w:jc w:val="right"/>
            </w:pPr>
            <w:r>
              <w:t xml:space="preserve">4.284</w:t>
            </w:r>
          </w:p>
        </w:tc>
        <w:tc>
          <w:tcPr/>
          <w:p>
            <w:pPr>
              <w:pStyle w:val="Compact"/>
              <w:jc w:val="right"/>
            </w:pPr>
            <w:r>
              <w:t xml:space="preserve">0.030</w:t>
            </w:r>
          </w:p>
        </w:tc>
        <w:tc>
          <w:tcPr/>
          <w:p>
            <w:pPr>
              <w:pStyle w:val="Compact"/>
              <w:jc w:val="right"/>
            </w:pPr>
            <w:r>
              <w:t xml:space="preserve">0.156</w:t>
            </w:r>
          </w:p>
        </w:tc>
        <w:tc>
          <w:tcPr/>
          <w:p>
            <w:pPr>
              <w:pStyle w:val="Compact"/>
              <w:jc w:val="right"/>
            </w:pPr>
            <w:r>
              <w:t xml:space="preserve">172</w:t>
            </w:r>
          </w:p>
        </w:tc>
        <w:tc>
          <w:tcPr/>
          <w:p>
            <w:pPr>
              <w:pStyle w:val="Compact"/>
              <w:jc w:val="right"/>
            </w:pPr>
            <w:r>
              <w:t xml:space="preserve">0.130</w:t>
            </w:r>
          </w:p>
        </w:tc>
      </w:tr>
      <w:tr>
        <w:tc>
          <w:tcPr/>
          <w:p>
            <w:pPr>
              <w:pStyle w:val="Compact"/>
              <w:jc w:val="left"/>
            </w:pPr>
            <w:r>
              <w:t xml:space="preserve">Pre/post interaction</w:t>
            </w:r>
          </w:p>
        </w:tc>
        <w:tc>
          <w:tcPr/>
          <w:p>
            <w:pPr>
              <w:pStyle w:val="Compact"/>
              <w:jc w:val="left"/>
            </w:pPr>
            <w:r>
              <w:t xml:space="preserve">Top-four rating x post-2019</w:t>
            </w:r>
          </w:p>
        </w:tc>
        <w:tc>
          <w:tcPr/>
          <w:p>
            <w:pPr>
              <w:pStyle w:val="Compact"/>
              <w:jc w:val="right"/>
            </w:pPr>
            <w:r>
              <w:t xml:space="preserve">0.808</w:t>
            </w:r>
          </w:p>
        </w:tc>
        <w:tc>
          <w:tcPr/>
          <w:p>
            <w:pPr>
              <w:pStyle w:val="Compact"/>
              <w:jc w:val="right"/>
            </w:pPr>
            <w:r>
              <w:t xml:space="preserve">0.809</w:t>
            </w:r>
          </w:p>
        </w:tc>
        <w:tc>
          <w:tcPr/>
          <w:p>
            <w:pPr>
              <w:pStyle w:val="Compact"/>
              <w:jc w:val="right"/>
            </w:pPr>
            <w:r>
              <w:t xml:space="preserve">0.811</w:t>
            </w:r>
          </w:p>
        </w:tc>
        <w:tc>
          <w:tcPr/>
          <w:p>
            <w:pPr>
              <w:pStyle w:val="Compact"/>
              <w:jc w:val="right"/>
            </w:pPr>
            <w:r>
              <w:t xml:space="preserve">172</w:t>
            </w:r>
          </w:p>
        </w:tc>
        <w:tc>
          <w:tcPr/>
          <w:p>
            <w:pPr>
              <w:pStyle w:val="Compact"/>
              <w:jc w:val="right"/>
            </w:pPr>
            <w:r>
              <w:t xml:space="preserve">0.130</w:t>
            </w:r>
          </w:p>
        </w:tc>
      </w:tr>
      <w:tr>
        <w:tc>
          <w:tcPr/>
          <w:p>
            <w:pPr>
              <w:pStyle w:val="Compact"/>
              <w:jc w:val="left"/>
            </w:pPr>
            <w:r>
              <w:t xml:space="preserve">Position-adjusted incentive</w:t>
            </w:r>
          </w:p>
        </w:tc>
        <w:tc>
          <w:tcPr/>
          <w:p>
            <w:pPr>
              <w:pStyle w:val="Compact"/>
              <w:jc w:val="left"/>
            </w:pPr>
            <w:r>
              <w:t xml:space="preserve">Position-adjusted incentive</w:t>
            </w:r>
          </w:p>
        </w:tc>
        <w:tc>
          <w:tcPr/>
          <w:p>
            <w:pPr>
              <w:pStyle w:val="Compact"/>
              <w:jc w:val="right"/>
            </w:pPr>
            <w:r>
              <w:t xml:space="preserve">0.317</w:t>
            </w:r>
          </w:p>
        </w:tc>
        <w:tc>
          <w:tcPr/>
          <w:p>
            <w:pPr>
              <w:pStyle w:val="Compact"/>
              <w:jc w:val="right"/>
            </w:pPr>
            <w:r>
              <w:t xml:space="preserve">0.847</w:t>
            </w:r>
          </w:p>
        </w:tc>
        <w:tc>
          <w:tcPr/>
          <w:p>
            <w:pPr>
              <w:pStyle w:val="Compact"/>
              <w:jc w:val="right"/>
            </w:pPr>
            <w:r>
              <w:t xml:space="preserve">0.875</w:t>
            </w:r>
          </w:p>
        </w:tc>
        <w:tc>
          <w:tcPr/>
          <w:p>
            <w:pPr>
              <w:pStyle w:val="Compact"/>
              <w:jc w:val="right"/>
            </w:pPr>
            <w:r>
              <w:t xml:space="preserve">172</w:t>
            </w:r>
          </w:p>
        </w:tc>
        <w:tc>
          <w:tcPr/>
          <w:p>
            <w:pPr>
              <w:pStyle w:val="Compact"/>
              <w:jc w:val="right"/>
            </w:pPr>
            <w:r>
              <w:t xml:space="preserve">0.033</w:t>
            </w:r>
          </w:p>
        </w:tc>
      </w:tr>
      <w:tr>
        <w:tc>
          <w:tcPr/>
          <w:p>
            <w:pPr>
              <w:pStyle w:val="Compact"/>
              <w:jc w:val="left"/>
            </w:pPr>
            <w:r>
              <w:t xml:space="preserve">Position-adjusted, excluding 2021</w:t>
            </w:r>
          </w:p>
        </w:tc>
        <w:tc>
          <w:tcPr/>
          <w:p>
            <w:pPr>
              <w:pStyle w:val="Compact"/>
              <w:jc w:val="left"/>
            </w:pPr>
            <w:r>
              <w:t xml:space="preserve">Position-adjusted incentive</w:t>
            </w:r>
          </w:p>
        </w:tc>
        <w:tc>
          <w:tcPr/>
          <w:p>
            <w:pPr>
              <w:pStyle w:val="Compact"/>
              <w:jc w:val="right"/>
            </w:pPr>
            <w:r>
              <w:t xml:space="preserve">0.425</w:t>
            </w:r>
          </w:p>
        </w:tc>
        <w:tc>
          <w:tcPr/>
          <w:p>
            <w:pPr>
              <w:pStyle w:val="Compact"/>
              <w:jc w:val="right"/>
            </w:pPr>
            <w:r>
              <w:t xml:space="preserve">0.799</w:t>
            </w:r>
          </w:p>
        </w:tc>
        <w:tc>
          <w:tcPr/>
          <w:p>
            <w:pPr>
              <w:pStyle w:val="Compact"/>
              <w:jc w:val="right"/>
            </w:pPr>
            <w:r>
              <w:t xml:space="preserve">0.836</w:t>
            </w:r>
          </w:p>
        </w:tc>
        <w:tc>
          <w:tcPr/>
          <w:p>
            <w:pPr>
              <w:pStyle w:val="Compact"/>
              <w:jc w:val="right"/>
            </w:pPr>
            <w:r>
              <w:t xml:space="preserve">165</w:t>
            </w:r>
          </w:p>
        </w:tc>
        <w:tc>
          <w:tcPr/>
          <w:p>
            <w:pPr>
              <w:pStyle w:val="Compact"/>
              <w:jc w:val="right"/>
            </w:pPr>
            <w:r>
              <w:t xml:space="preserve">0.015</w:t>
            </w:r>
          </w:p>
        </w:tc>
      </w:tr>
      <w:tr>
        <w:tc>
          <w:tcPr/>
          <w:p>
            <w:pPr>
              <w:pStyle w:val="Compact"/>
              <w:jc w:val="left"/>
            </w:pPr>
            <w:r>
              <w:t xml:space="preserve">Raw top-four, excluding 2021</w:t>
            </w:r>
          </w:p>
        </w:tc>
        <w:tc>
          <w:tcPr/>
          <w:p>
            <w:pPr>
              <w:pStyle w:val="Compact"/>
              <w:jc w:val="left"/>
            </w:pPr>
            <w:r>
              <w:t xml:space="preserve">Top-four draft rating</w:t>
            </w:r>
          </w:p>
        </w:tc>
        <w:tc>
          <w:tcPr/>
          <w:p>
            <w:pPr>
              <w:pStyle w:val="Compact"/>
              <w:jc w:val="right"/>
            </w:pPr>
            <w:r>
              <w:t xml:space="preserve">5.438</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165</w:t>
            </w:r>
          </w:p>
        </w:tc>
        <w:tc>
          <w:tcPr/>
          <w:p>
            <w:pPr>
              <w:pStyle w:val="Compact"/>
              <w:jc w:val="right"/>
            </w:pPr>
            <w:r>
              <w:t xml:space="preserve">0.079</w:t>
            </w:r>
          </w:p>
        </w:tc>
      </w:tr>
      <w:tr>
        <w:tc>
          <w:tcPr/>
          <w:p>
            <w:pPr>
              <w:pStyle w:val="Compact"/>
              <w:jc w:val="left"/>
            </w:pPr>
            <w:r>
              <w:t xml:space="preserve">Team-fit interaction</w:t>
            </w:r>
          </w:p>
        </w:tc>
        <w:tc>
          <w:tcPr/>
          <w:p>
            <w:pPr>
              <w:pStyle w:val="Compact"/>
              <w:jc w:val="left"/>
            </w:pPr>
            <w:r>
              <w:t xml:space="preserve">Top-four rating x team fit</w:t>
            </w:r>
          </w:p>
        </w:tc>
        <w:tc>
          <w:tcPr/>
          <w:p>
            <w:pPr>
              <w:pStyle w:val="Compact"/>
              <w:jc w:val="right"/>
            </w:pPr>
            <w:r>
              <w:t xml:space="preserve">2.877</w:t>
            </w:r>
          </w:p>
        </w:tc>
        <w:tc>
          <w:tcPr/>
          <w:p>
            <w:pPr>
              <w:pStyle w:val="Compact"/>
              <w:jc w:val="right"/>
            </w:pPr>
            <w:r>
              <w:t xml:space="preserve">0.084</w:t>
            </w:r>
          </w:p>
        </w:tc>
        <w:tc>
          <w:tcPr/>
          <w:p>
            <w:pPr>
              <w:pStyle w:val="Compact"/>
              <w:jc w:val="right"/>
            </w:pPr>
            <w:r>
              <w:t xml:space="preserve">0.001</w:t>
            </w:r>
          </w:p>
        </w:tc>
        <w:tc>
          <w:tcPr/>
          <w:p>
            <w:pPr>
              <w:pStyle w:val="Compact"/>
              <w:jc w:val="right"/>
            </w:pPr>
            <w:r>
              <w:t xml:space="preserve">172</w:t>
            </w:r>
          </w:p>
        </w:tc>
        <w:tc>
          <w:tcPr/>
          <w:p>
            <w:pPr>
              <w:pStyle w:val="Compact"/>
              <w:jc w:val="right"/>
            </w:pPr>
            <w:r>
              <w:t xml:space="preserve">0.100</w:t>
            </w:r>
          </w:p>
        </w:tc>
      </w:tr>
      <w:tr>
        <w:tc>
          <w:tcPr/>
          <w:p>
            <w:pPr>
              <w:pStyle w:val="Compact"/>
              <w:jc w:val="left"/>
            </w:pPr>
            <w:r>
              <w:t xml:space="preserve">Top-35 rating</w:t>
            </w:r>
          </w:p>
        </w:tc>
        <w:tc>
          <w:tcPr/>
          <w:p>
            <w:pPr>
              <w:pStyle w:val="Compact"/>
              <w:jc w:val="left"/>
            </w:pPr>
            <w:r>
              <w:t xml:space="preserve">Top-35 draft rating</w:t>
            </w:r>
          </w:p>
        </w:tc>
        <w:tc>
          <w:tcPr/>
          <w:p>
            <w:pPr>
              <w:pStyle w:val="Compact"/>
              <w:jc w:val="right"/>
            </w:pPr>
            <w:r>
              <w:t xml:space="preserve">3.162</w:t>
            </w:r>
          </w:p>
        </w:tc>
        <w:tc>
          <w:tcPr/>
          <w:p>
            <w:pPr>
              <w:pStyle w:val="Compact"/>
              <w:jc w:val="right"/>
            </w:pPr>
            <w:r>
              <w:t xml:space="preserve">0.074</w:t>
            </w:r>
          </w:p>
        </w:tc>
        <w:tc>
          <w:tcPr/>
          <w:p>
            <w:pPr>
              <w:pStyle w:val="Compact"/>
              <w:jc w:val="right"/>
            </w:pPr>
            <w:r>
              <w:t xml:space="preserve">0.191</w:t>
            </w:r>
          </w:p>
        </w:tc>
        <w:tc>
          <w:tcPr/>
          <w:p>
            <w:pPr>
              <w:pStyle w:val="Compact"/>
              <w:jc w:val="right"/>
            </w:pPr>
            <w:r>
              <w:t xml:space="preserve">172</w:t>
            </w:r>
          </w:p>
        </w:tc>
        <w:tc>
          <w:tcPr/>
          <w:p>
            <w:pPr>
              <w:pStyle w:val="Compact"/>
              <w:jc w:val="right"/>
            </w:pPr>
            <w:r>
              <w:t xml:space="preserve">0.051</w:t>
            </w:r>
          </w:p>
        </w:tc>
      </w:tr>
    </w:tbl>
    <w:bookmarkEnd w:id="55"/>
    <w:bookmarkStart w:id="56" w:name="conclusions-from-the-formal-analysis"/>
    <w:p>
      <w:pPr>
        <w:pStyle w:val="Heading3"/>
      </w:pPr>
      <w:r>
        <w:t xml:space="preserve">Conclusions From the Formal Analysis</w:t>
      </w:r>
    </w:p>
    <w:p>
      <w:pPr>
        <w:pStyle w:val="FirstParagraph"/>
      </w:pPr>
      <w:r>
        <w:t xml:space="preserve">The main finding is that draft strength appears related to late-season losing signals, but the strength of the evidence depends on how directly we model incentives. The raw draft-strength figures show a clearer positive relationship, but they are partly season-level summaries. The position-adjusted model is more conservative because it asks whether a team’s own lottery position gives it more to gain from a strong class. In that model, the estimate remains positive for the tanking index, but it is not strong enough to support a causal claim.</w:t>
      </w:r>
    </w:p>
    <w:p>
      <w:pPr>
        <w:pStyle w:val="BodyText"/>
      </w:pPr>
      <w:r>
        <w:t xml:space="preserve">The analysis also shows why the definition of tanking matters. A strict 10 percentage point late-collapse proxy flags only a small number of team-seasons. That makes the proxy conservative, but it can miss meaningful variation around the cutoff. It also creates extra noise by treating all non-flagged teams as the same. The full tanking index is better suited for regression because it measures degree of underperformance rather than forcing a binary cutoff.</w:t>
      </w:r>
    </w:p>
    <w:p>
      <w:pPr>
        <w:pStyle w:val="BodyText"/>
      </w:pPr>
      <w:r>
        <w:t xml:space="preserve">The team-fit extension adds a second check on heterogeneity. It asks whether a strong class matters more when its strongest prospect positions line up with a team’s roster weaknesses. In our version, the answer is not clear. The fit interaction is not statistically significant, so we do not make it part of the main conclusion. Still, including the extension makes the model more responsive to the basketball mechanism: teams are not only responding to abstract draft strength, but to the players they could realistically hope to add.</w:t>
      </w:r>
    </w:p>
    <w:p>
      <w:pPr>
        <w:pStyle w:val="BodyText"/>
      </w:pPr>
      <w:r>
        <w:t xml:space="preserve">The core-player usage model adds a different type of outcome. It asks whether stronger top-four draft classes are associated with using main continuing pre-March players less often late in the season. This is closer to a behavioral tanking mechanism than the win-loss outcome alone, and this version points in the expected direction: stronger top-four classes are associated with larger percentage drops in core-player minutes. However, the raw top-four rating is season-level, so we interpret this as a draft-class-level signal with team-season outcomes rather than as 172 independent draft-strength observations. The sensitivity checks show that this result is stronger for raw draft strength than for the position-adjusted lottery incentive. That makes the result interesting, but still exploratory: injuries, planned rest, player development, and unobserved availability can all reduce minutes for reasons unrelated to intentional tanking.</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56"/>
    <w:bookmarkEnd w:id="57"/>
    <w:bookmarkStart w:id="61" w:name="vi.-next-steps"/>
    <w:p>
      <w:pPr>
        <w:pStyle w:val="Heading2"/>
      </w:pPr>
      <w:r>
        <w:t xml:space="preserve">VI. Next Steps</w:t>
      </w:r>
    </w:p>
    <w:p>
      <w:pPr>
        <w:pStyle w:val="FirstParagraph"/>
      </w:pPr>
      <w:r>
        <w:t xml:space="preserve">The results should be interpreted cautiously. The model finds a positive relationship between position-adjusted top-four draft incentives and late-season underperformance, but it does not prove intent and should not be read as definitive evidence that teams deliberately lost games.</w:t>
      </w:r>
    </w:p>
    <w:bookmarkStart w:id="58" w:name="limitations-and-cautions"/>
    <w:p>
      <w:pPr>
        <w:pStyle w:val="Heading3"/>
      </w:pPr>
      <w:r>
        <w:t xml:space="preserve">Limitations and Cautions</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raw draft strength varies by season, not by team. Even after expanding the data to 2010-2026, there are only 17 draft-class observations. The position-adjusted incentive improves this by combining draft strength with each team’s lottery position, but part of the signal still comes from season-level variation in draft quality. The incentive measure is also simplified: it uses the marginal gain in top-four-pick probability from moving one lottery slot worse, so it does not distinguish between the value of the first, second, third, and fourth picks, larger multi-slot changes, player-specific team preferences, or the possibility that teams care about protecting an already-strong lottery position.</w:t>
      </w:r>
    </w:p>
    <w:bookmarkEnd w:id="58"/>
    <w:bookmarkStart w:id="59" w:name="future-extensions"/>
    <w:p>
      <w:pPr>
        <w:pStyle w:val="Heading3"/>
      </w:pPr>
      <w:r>
        <w:t xml:space="preserve">Future Extensions</w:t>
      </w:r>
    </w:p>
    <w:p>
      <w:pPr>
        <w:pStyle w:val="FirstParagraph"/>
      </w:pPr>
      <w:r>
        <w:t xml:space="preserve">A direct next step is to improve the core-player usage model with better availability data. The version in this report uses player game logs to identify each team’s main pre-March players who stayed with the team and appeared after March 1, then measures whether their minutes drop late in the season. This keeps the analysis focused on continuing players, but it still cannot perfectly distinguish injuries, rest, player development, and coach’s decisions. A stronger version would merge injury reports, transaction data, and inactive-list reasons to separate strategic late-season roster management from ordinary player availability.</w:t>
      </w:r>
    </w:p>
    <w:p>
      <w:pPr>
        <w:pStyle w:val="BodyText"/>
      </w:pPr>
      <w:r>
        <w:t xml:space="preserve">Another extension would improve the team-fit score. The current version uses broad position groups and pre-March box-score production, not detailed roster needs, contracts, player age, front-office preferences, or team-specific draft evaluations. The fit extension should therefore be interpreted as a first-pass robustness check rather than a final answer about roster construction.</w:t>
      </w:r>
    </w:p>
    <w:p>
      <w:pPr>
        <w:pStyle w:val="BodyText"/>
      </w:pPr>
      <w:r>
        <w:t xml:space="preserve">A final extension would compare multiple draft-quality measures.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59"/>
    <w:bookmarkStart w:id="60" w:name="final-takeaway"/>
    <w:p>
      <w:pPr>
        <w:pStyle w:val="Heading3"/>
      </w:pPr>
      <w:r>
        <w:t xml:space="preserve">Final Takeaway</w:t>
      </w:r>
    </w:p>
    <w:p>
      <w:pPr>
        <w:pStyle w:val="FirstParagraph"/>
      </w:pPr>
      <w:r>
        <w:t xml:space="preserve">This project finds suggestive evidence that draft class strength is related to late-season losing signals among likely lottery candidates. The clearest descriptive patterns come from season-level draft-strength graphs, while the more conservative position-adjusted win-loss model shows positive but noisier estimates. The core-player usage model adds a stronger exploratory signal that teams in better top-four draft classes reduced minutes more for continuing core players. The full tanking index is a better final win-loss outcome than a hard 10 percentage point cutoff because it measures the size and direction of late-season underperformance instead of only flagging the most obvious collapses.</w:t>
      </w:r>
    </w:p>
    <w:p>
      <w:pPr>
        <w:pStyle w:val="BodyText"/>
      </w:pPr>
      <w:r>
        <w:t xml:space="preserve">The most defensible conclusion is therefore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and draft class quality into one framework.</w:t>
      </w:r>
    </w:p>
    <w:p>
      <w:pPr>
        <w:pStyle w:val="BodyText"/>
      </w:pPr>
      <w:r>
        <w:t xml:space="preserve">The exploratory team-fit extension for the main win-loss outcome is less conclusive. It gives a plausible way to think about team-level heterogeneity, but the broad fit proxy does not add strong statistical evidence beyond overall draft strength in the primary tanking-index model. That leaves team fit as an important direction for future work rather than a core result of this report.</w:t>
      </w:r>
    </w:p>
    <w:bookmarkEnd w:id="60"/>
    <w:bookmarkEnd w:id="61"/>
    <w:bookmarkStart w:id="64" w:name="references"/>
    <w:p>
      <w:pPr>
        <w:pStyle w:val="Heading2"/>
      </w:pPr>
      <w:r>
        <w:t xml:space="preserve">References</w:t>
      </w:r>
    </w:p>
    <w:p>
      <w:pPr>
        <w:pStyle w:val="Compact"/>
        <w:numPr>
          <w:ilvl w:val="0"/>
          <w:numId w:val="1002"/>
        </w:numPr>
      </w:pPr>
      <w:r>
        <w:t xml:space="preserve">CraftedNBA.</w:t>
      </w:r>
      <w:r>
        <w:t xml:space="preserve"> </w:t>
      </w:r>
      <w:hyperlink r:id="rId28">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62">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7">
        <w:r>
          <w:rPr>
            <w:rStyle w:val="Hyperlink"/>
          </w:rPr>
          <w:t xml:space="preserve">SportsDataverse hoopR package</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3">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63">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5">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4">
        <w:r>
          <w:rPr>
            <w:rStyle w:val="Hyperlink"/>
          </w:rPr>
          <w:t xml:space="preserve">Losing to Win: Tournament Incentives in the National Basketball Association</w:t>
        </w:r>
      </w:hyperlink>
      <w:r>
        <w:t xml:space="preserv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2026-06-08T04:09:11Z</dcterms:created>
  <dcterms:modified xsi:type="dcterms:W3CDTF">2026-06-08T04:09:11Z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