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Draft Class Strength and NBA Tanking Incentives</w:t>
      </w:r>
    </w:p>
    <w:p>
      <w:pPr>
        <w:pStyle w:val="Author"/>
      </w:pPr>
      <w:r>
        <w:t xml:space="preserve">Nico L, Leo K, Colin C</w:t>
      </w:r>
    </w:p>
    <w:bookmarkStart w:id="23" w:name="research-question"/>
    <w:p>
      <w:pPr>
        <w:pStyle w:val="Heading2"/>
      </w:pPr>
      <w:r>
        <w:t xml:space="preserve">Research Question</w:t>
      </w:r>
    </w:p>
    <w:p>
      <w:pPr>
        <w:pStyle w:val="FirstParagraph"/>
      </w:pPr>
      <w:r>
        <w:t xml:space="preserve">This project asks:</w:t>
      </w:r>
      <w:r>
        <w:t xml:space="preserve"> </w:t>
      </w:r>
      <w:r>
        <w:rPr>
          <w:b/>
          <w:bCs/>
        </w:rPr>
        <w:t xml:space="preserve">Are stronger NBA draft classes associated with more late-season underperformance among teams with weak playoff outlooks, and did this relationship change after the NBA flattened the draft lottery odds?</w:t>
      </w:r>
    </w:p>
    <w:p>
      <w:pPr>
        <w:pStyle w:val="BodyText"/>
      </w:pPr>
      <w:r>
        <w:t xml:space="preserve">This question is about incentives, but our data cannot directly observe intent. We therefore measure</w:t>
      </w:r>
      <w:r>
        <w:t xml:space="preserve"> </w:t>
      </w:r>
      <w:r>
        <w:rPr>
          <w:b/>
          <w:bCs/>
        </w:rPr>
        <w:t xml:space="preserve">tanking signals</w:t>
      </w:r>
      <w:r>
        <w:t xml:space="preserve">, not confirmed tanking. A tanking signal is a team-season where a team had a weak postseason outlook entering March and then performed worse than expected late in the regular season. This framing is important because a team can lose late-season games for many reasons, including injuries, player development, fatigue, roster trades, or strategic resting.</w:t>
      </w:r>
    </w:p>
    <w:p>
      <w:pPr>
        <w:pStyle w:val="BodyText"/>
      </w:pPr>
      <w:r>
        <w:t xml:space="preserve">Prior research has studied tanking as a response to draft lottery incentives.</w:t>
      </w:r>
      <w:r>
        <w:t xml:space="preserve"> </w:t>
      </w:r>
      <w:hyperlink r:id="rId20">
        <w:r>
          <w:rPr>
            <w:rStyle w:val="Hyperlink"/>
          </w:rPr>
          <w:t xml:space="preserve">Taylor and Trogdon (2002)</w:t>
        </w:r>
      </w:hyperlink>
      <w:r>
        <w:t xml:space="preserve"> </w:t>
      </w:r>
      <w:r>
        <w:t xml:space="preserve">and</w:t>
      </w:r>
      <w:r>
        <w:t xml:space="preserve"> </w:t>
      </w:r>
      <w:hyperlink r:id="rId21">
        <w:r>
          <w:rPr>
            <w:rStyle w:val="Hyperlink"/>
          </w:rPr>
          <w:t xml:space="preserve">Price et al. (2010)</w:t>
        </w:r>
      </w:hyperlink>
      <w:r>
        <w:t xml:space="preserve"> </w:t>
      </w:r>
      <w:r>
        <w:t xml:space="preserve">examine whether NBA teams lose more often when the reward for losing is larger. Our project builds on that idea by adding a second source of incentive: the quality of the incoming draft class. Instead of treating every draft as equally valuable, we ask whether likely lottery teams appear to underperform more in years when the player pool at the top of the draft is stronger.</w:t>
      </w:r>
    </w:p>
    <w:p>
      <w:pPr>
        <w:pStyle w:val="BodyText"/>
      </w:pPr>
      <w:r>
        <w:t xml:space="preserve">The pre/post reform part of the question matters because the</w:t>
      </w:r>
      <w:r>
        <w:t xml:space="preserve"> </w:t>
      </w:r>
      <w:hyperlink r:id="rId22">
        <w:r>
          <w:rPr>
            <w:rStyle w:val="Hyperlink"/>
          </w:rPr>
          <w:t xml:space="preserve">NBA changed its lottery odds beginning with the 2019 draft</w:t>
        </w:r>
      </w:hyperlink>
      <w:r>
        <w:t xml:space="preserve">. Under the newer system, the three worst regular-season teams each receive a 14 percent chance of winning the No. 1 pick. This flattened the reward for finishing with the very worst record, but it did not remove the broader value of landing high in a strong draft.</w:t>
      </w:r>
    </w:p>
    <w:bookmarkEnd w:id="23"/>
    <w:bookmarkStart w:id="26" w:name="dataset"/>
    <w:p>
      <w:pPr>
        <w:pStyle w:val="Heading2"/>
      </w:pPr>
      <w:r>
        <w:t xml:space="preserve">Dataset</w:t>
      </w:r>
    </w:p>
    <w:p>
      <w:pPr>
        <w:pStyle w:val="FirstParagraph"/>
      </w:pPr>
      <w:r>
        <w:t xml:space="preserve">We use two main sources. First, NBA team game logs come from the</w:t>
      </w:r>
      <w:r>
        <w:t xml:space="preserve"> </w:t>
      </w:r>
      <w:hyperlink r:id="rId24">
        <w:r>
          <w:rPr>
            <w:rStyle w:val="VerbatimChar"/>
          </w:rPr>
          <w:t xml:space="preserve">hoopR</w:t>
        </w:r>
      </w:hyperlink>
      <w:r>
        <w:t xml:space="preserve"> </w:t>
      </w:r>
      <w:r>
        <w:t xml:space="preserve">package, which provides team-level NBA game results. These data include the game date, team, opponent, score, and win/loss result. Second, draft class quality comes from</w:t>
      </w:r>
      <w:r>
        <w:t xml:space="preserve"> </w:t>
      </w:r>
      <w:hyperlink r:id="rId25">
        <w:r>
          <w:rPr>
            <w:rStyle w:val="Hyperlink"/>
          </w:rPr>
          <w:t xml:space="preserve">CraftedNBA draft class rankings</w:t>
        </w:r>
      </w:hyperlink>
      <w:r>
        <w:t xml:space="preserve">, which rate draft classes from 2010 through 2026. The main draft-quality variable is</w:t>
      </w:r>
      <w:r>
        <w:t xml:space="preserve"> </w:t>
      </w:r>
      <w:r>
        <w:rPr>
          <w:rStyle w:val="VerbatimChar"/>
        </w:rPr>
        <w:t xml:space="preserve">avg_rating</w:t>
      </w:r>
      <w:r>
        <w:t xml:space="preserve">, the average rating of the top 35 prospects in that draft class. We also keep the number of elite prospects, number of above-average prospects, and rating of the top prospect as alternate draft-strength measures.</w:t>
      </w:r>
    </w:p>
    <w:p>
      <w:pPr>
        <w:pStyle w:val="BodyText"/>
      </w:pPr>
      <w:r>
        <w:t xml:space="preserve">The final dataset contains 510 team-seasons from 2010 through 2026. Each row is one team in one season. Draft quality changes only at the season level, so the analysis has 17 draft-class observations, not 510 independent draft-strength observations. This is one of the main limitations of the project and is why we interpret the model results cautiously.</w:t>
      </w:r>
    </w:p>
    <w:p>
      <w:pPr>
        <w:pStyle w:val="BodyText"/>
      </w:pPr>
      <w:r>
        <w:t xml:space="preserve">We split each season at March 1. The pre-March portion gives a baseline estimate of team strength before the final stretch of the regular season. The March-onward portion is the window where late-season incentives are more likely to matter.</w:t>
      </w:r>
    </w:p>
    <w:p>
      <w:pPr>
        <w:pStyle w:val="BodyText"/>
      </w:pPr>
      <w:r>
        <w:t xml:space="preserve">Key constructed variables:</w:t>
      </w:r>
    </w:p>
    <w:p>
      <w:pPr>
        <w:pStyle w:val="Compact"/>
        <w:numPr>
          <w:ilvl w:val="0"/>
          <w:numId w:val="1001"/>
        </w:numPr>
      </w:pPr>
      <w:r>
        <w:rPr>
          <w:rStyle w:val="VerbatimChar"/>
        </w:rPr>
        <w:t xml:space="preserve">pre_win_pct</w:t>
      </w:r>
      <w:r>
        <w:t xml:space="preserve">: team win percentage before March 1.</w:t>
      </w:r>
    </w:p>
    <w:p>
      <w:pPr>
        <w:pStyle w:val="Compact"/>
        <w:numPr>
          <w:ilvl w:val="0"/>
          <w:numId w:val="1001"/>
        </w:numPr>
      </w:pPr>
      <w:r>
        <w:rPr>
          <w:rStyle w:val="VerbatimChar"/>
        </w:rPr>
        <w:t xml:space="preserve">late_win_pct</w:t>
      </w:r>
      <w:r>
        <w:t xml:space="preserve">: team win percentage on or after March 1.</w:t>
      </w:r>
    </w:p>
    <w:p>
      <w:pPr>
        <w:pStyle w:val="Compact"/>
        <w:numPr>
          <w:ilvl w:val="0"/>
          <w:numId w:val="1001"/>
        </w:numPr>
      </w:pPr>
      <w:r>
        <w:rPr>
          <w:rStyle w:val="VerbatimChar"/>
        </w:rPr>
        <w:t xml:space="preserve">games_back_cutline</w:t>
      </w:r>
      <w:r>
        <w:t xml:space="preserve">: games behind the postseason/play-in cutoff entering March. For seasons before the play-in era, the cutoff is the 8th seed. For seasons beginning in 2021, the cutoff is the 10th seed.</w:t>
      </w:r>
    </w:p>
    <w:p>
      <w:pPr>
        <w:pStyle w:val="Compact"/>
        <w:numPr>
          <w:ilvl w:val="0"/>
          <w:numId w:val="1001"/>
        </w:numPr>
      </w:pPr>
      <w:r>
        <w:rPr>
          <w:rStyle w:val="VerbatimChar"/>
        </w:rPr>
        <w:t xml:space="preserve">likely_lottery_candidate</w:t>
      </w:r>
      <w:r>
        <w:t xml:space="preserve">: a team outside the relevant postseason cutoff that was either at least 3 games behind the cutoff or below a .400 pre-March win percentage.</w:t>
      </w:r>
    </w:p>
    <w:p>
      <w:pPr>
        <w:pStyle w:val="Compact"/>
        <w:numPr>
          <w:ilvl w:val="0"/>
          <w:numId w:val="1001"/>
        </w:numPr>
      </w:pPr>
      <w:r>
        <w:rPr>
          <w:rStyle w:val="VerbatimChar"/>
        </w:rPr>
        <w:t xml:space="preserve">tanking_index</w:t>
      </w:r>
      <w:r>
        <w:t xml:space="preserve">: standardized late-season win shortfall. Positive values mean a team won fewer March-onward games than expected from its pre-March record.</w:t>
      </w:r>
    </w:p>
    <w:p>
      <w:pPr>
        <w:pStyle w:val="Compact"/>
        <w:numPr>
          <w:ilvl w:val="0"/>
          <w:numId w:val="1001"/>
        </w:numPr>
      </w:pPr>
      <w:r>
        <w:rPr>
          <w:rStyle w:val="VerbatimChar"/>
        </w:rPr>
        <w:t xml:space="preserve">tanking_proxy</w:t>
      </w:r>
      <w:r>
        <w:t xml:space="preserve">: a conservative yes/no flag for likely lottery candidates whose late win percentage dropped by at least 10 percentage points and whose late wins were unusually low under a binomial expectation.</w:t>
      </w:r>
    </w:p>
    <w:p>
      <w:pPr>
        <w:pStyle w:val="Compact"/>
        <w:numPr>
          <w:ilvl w:val="0"/>
          <w:numId w:val="1001"/>
        </w:numPr>
      </w:pPr>
      <w:r>
        <w:rPr>
          <w:rStyle w:val="VerbatimChar"/>
        </w:rPr>
        <w:t xml:space="preserve">lower_left_candidate</w:t>
      </w:r>
      <w:r>
        <w:t xml:space="preserve">: a likely lottery candidate that was below .500 both before March and after March. This captures teams that remained very weak late in the season, even if they did not sharply collapse.</w:t>
      </w:r>
    </w:p>
    <w:p>
      <w:pPr>
        <w:pStyle w:val="Compact"/>
        <w:numPr>
          <w:ilvl w:val="0"/>
          <w:numId w:val="1001"/>
        </w:numPr>
      </w:pPr>
      <w:r>
        <w:rPr>
          <w:rStyle w:val="VerbatimChar"/>
        </w:rPr>
        <w:t xml:space="preserve">late_low_win_score</w:t>
      </w:r>
      <w:r>
        <w:t xml:space="preserve">: a secondary continuous outcome measuring how far below .500 a likely lottery team’s late-season win percentage was.</w:t>
      </w:r>
    </w:p>
    <w:p>
      <w:pPr>
        <w:pStyle w:val="Compact"/>
        <w:numPr>
          <w:ilvl w:val="0"/>
          <w:numId w:val="1001"/>
        </w:numPr>
      </w:pPr>
      <w:r>
        <w:rPr>
          <w:rStyle w:val="VerbatimChar"/>
        </w:rPr>
        <w:t xml:space="preserve">post_reform</w:t>
      </w:r>
      <w:r>
        <w:t xml:space="preserve">: whether the season occurred after the 2019 lottery reform.</w:t>
      </w:r>
    </w:p>
    <w:p>
      <w:pPr>
        <w:pStyle w:val="Compact"/>
        <w:numPr>
          <w:ilvl w:val="0"/>
          <w:numId w:val="1001"/>
        </w:numPr>
      </w:pPr>
      <w:r>
        <w:rPr>
          <w:rStyle w:val="VerbatimChar"/>
        </w:rPr>
        <w:t xml:space="preserve">disrupted_season</w:t>
      </w:r>
      <w:r>
        <w:t xml:space="preserve">: whether the season was shortened or highly disrupted. This includes 2012, 2020, and 2021.</w:t>
      </w:r>
    </w:p>
    <w:p>
      <w:pPr>
        <w:pStyle w:val="FirstParagraph"/>
      </w:pPr>
      <w:r>
        <w:t xml:space="preserve">The</w:t>
      </w:r>
      <w:r>
        <w:t xml:space="preserve"> </w:t>
      </w:r>
      <w:r>
        <w:rPr>
          <w:rStyle w:val="VerbatimChar"/>
        </w:rPr>
        <w:t xml:space="preserve">tanking_index</w:t>
      </w:r>
      <w:r>
        <w:t xml:space="preserve"> </w:t>
      </w:r>
      <w:r>
        <w:t xml:space="preserve">is the main outcome because it uses more information than a simple cutoff. For example, the 2021 Rockets were 11-21 before March, a .344 win percentage. If they had kept winning at that rate over their 40 March-onward games, they would have been expected to win about 13.8 games. They won 6, leaving a shortfall of 7.8 wins and a tanking index of 2.58. This does not prove intent, but it identifies a large late-season underperformance relative to that team’s own earlier baseline.</w:t>
      </w:r>
    </w:p>
    <w:bookmarkEnd w:id="26"/>
    <w:bookmarkStart w:id="33" w:name="exploratory-analysis"/>
    <w:p>
      <w:pPr>
        <w:pStyle w:val="Heading2"/>
      </w:pPr>
      <w:r>
        <w:t xml:space="preserve">Exploratory Analysis</w:t>
      </w:r>
    </w:p>
    <w:p>
      <w:pPr>
        <w:pStyle w:val="TableCaption"/>
      </w:pPr>
      <w:r>
        <w:t xml:space="preserve">Table 1. Summary statistics by lottery era and team group.</w:t>
      </w:r>
    </w:p>
    <w:tbl>
      <w:tblPr>
        <w:tblStyle w:val="Table"/>
        <w:tblW w:type="pct" w:w="5000"/>
        <w:tblLayout w:type="fixed"/>
        <w:tblLook w:firstRow="1" w:lastRow="0" w:firstColumn="0" w:lastColumn="0" w:noHBand="0" w:noVBand="0" w:val="0020"/>
        <w:tblCaption w:val="Table 1. Summary statistics by lottery era and team group."/>
      </w:tblPr>
      <w:tblGrid>
        <w:gridCol w:w="1440"/>
        <w:gridCol w:w="1560"/>
        <w:gridCol w:w="240"/>
        <w:gridCol w:w="720"/>
        <w:gridCol w:w="780"/>
        <w:gridCol w:w="840"/>
        <w:gridCol w:w="1140"/>
        <w:gridCol w:w="1200"/>
      </w:tblGrid>
      <w:tr>
        <w:trPr>
          <w:tblHeader w:val="on"/>
        </w:trPr>
        <w:tc>
          <w:tcPr/>
          <w:p>
            <w:pPr>
              <w:pStyle w:val="Compact"/>
              <w:jc w:val="left"/>
            </w:pPr>
            <w:r>
              <w:t xml:space="preserve">Era</w:t>
            </w:r>
          </w:p>
        </w:tc>
        <w:tc>
          <w:tcPr/>
          <w:p>
            <w:pPr>
              <w:pStyle w:val="Compact"/>
              <w:jc w:val="left"/>
            </w:pPr>
            <w:r>
              <w:t xml:space="preserve">Group</w:t>
            </w:r>
          </w:p>
        </w:tc>
        <w:tc>
          <w:tcPr/>
          <w:p>
            <w:pPr>
              <w:pStyle w:val="Compact"/>
              <w:jc w:val="right"/>
            </w:pPr>
            <w:r>
              <w:t xml:space="preserve">N</w:t>
            </w:r>
          </w:p>
        </w:tc>
        <w:tc>
          <w:tcPr/>
          <w:p>
            <w:pPr>
              <w:pStyle w:val="Compact"/>
              <w:jc w:val="right"/>
            </w:pPr>
            <w:r>
              <w:t xml:space="preserve">Pre win pct</w:t>
            </w:r>
          </w:p>
        </w:tc>
        <w:tc>
          <w:tcPr/>
          <w:p>
            <w:pPr>
              <w:pStyle w:val="Compact"/>
              <w:jc w:val="right"/>
            </w:pPr>
            <w:r>
              <w:t xml:space="preserve">Late win pct</w:t>
            </w:r>
          </w:p>
        </w:tc>
        <w:tc>
          <w:tcPr/>
          <w:p>
            <w:pPr>
              <w:pStyle w:val="Compact"/>
              <w:jc w:val="right"/>
            </w:pPr>
            <w:r>
              <w:t xml:space="preserve">Tanking index</w:t>
            </w:r>
          </w:p>
        </w:tc>
        <w:tc>
          <w:tcPr/>
          <w:p>
            <w:pPr>
              <w:pStyle w:val="Compact"/>
              <w:jc w:val="right"/>
            </w:pPr>
            <w:r>
              <w:t xml:space="preserve">Late-collapse rate</w:t>
            </w:r>
          </w:p>
        </w:tc>
        <w:tc>
          <w:tcPr/>
          <w:p>
            <w:pPr>
              <w:pStyle w:val="Compact"/>
              <w:jc w:val="right"/>
            </w:pPr>
            <w:r>
              <w:t xml:space="preserve">Low-win signal rate</w:t>
            </w:r>
          </w:p>
        </w:tc>
      </w:tr>
      <w:tr>
        <w:tc>
          <w:tcPr/>
          <w:p>
            <w:pPr>
              <w:pStyle w:val="Compact"/>
              <w:jc w:val="left"/>
            </w:pPr>
            <w:r>
              <w:t xml:space="preserve">Post-reform (2019-2026)</w:t>
            </w:r>
          </w:p>
        </w:tc>
        <w:tc>
          <w:tcPr/>
          <w:p>
            <w:pPr>
              <w:pStyle w:val="Compact"/>
              <w:jc w:val="left"/>
            </w:pPr>
            <w:r>
              <w:t xml:space="preserve">Likely lottery candidates</w:t>
            </w:r>
          </w:p>
        </w:tc>
        <w:tc>
          <w:tcPr/>
          <w:p>
            <w:pPr>
              <w:pStyle w:val="Compact"/>
              <w:jc w:val="right"/>
            </w:pPr>
            <w:r>
              <w:t xml:space="preserve">73</w:t>
            </w:r>
          </w:p>
        </w:tc>
        <w:tc>
          <w:tcPr/>
          <w:p>
            <w:pPr>
              <w:pStyle w:val="Compact"/>
              <w:jc w:val="right"/>
            </w:pPr>
            <w:r>
              <w:t xml:space="preserve">0.325</w:t>
            </w:r>
          </w:p>
        </w:tc>
        <w:tc>
          <w:tcPr/>
          <w:p>
            <w:pPr>
              <w:pStyle w:val="Compact"/>
              <w:jc w:val="right"/>
            </w:pPr>
            <w:r>
              <w:t xml:space="preserve">0.323</w:t>
            </w:r>
          </w:p>
        </w:tc>
        <w:tc>
          <w:tcPr/>
          <w:p>
            <w:pPr>
              <w:pStyle w:val="Compact"/>
              <w:jc w:val="right"/>
            </w:pPr>
            <w:r>
              <w:t xml:space="preserve">0.039</w:t>
            </w:r>
          </w:p>
        </w:tc>
        <w:tc>
          <w:tcPr/>
          <w:p>
            <w:pPr>
              <w:pStyle w:val="Compact"/>
              <w:jc w:val="right"/>
            </w:pPr>
            <w:r>
              <w:t xml:space="preserve">0.137</w:t>
            </w:r>
          </w:p>
        </w:tc>
        <w:tc>
          <w:tcPr/>
          <w:p>
            <w:pPr>
              <w:pStyle w:val="Compact"/>
              <w:jc w:val="right"/>
            </w:pPr>
            <w:r>
              <w:t xml:space="preserve">0.877</w:t>
            </w:r>
          </w:p>
        </w:tc>
      </w:tr>
      <w:tr>
        <w:tc>
          <w:tcPr/>
          <w:p>
            <w:pPr>
              <w:pStyle w:val="Compact"/>
              <w:jc w:val="left"/>
            </w:pPr>
            <w:r>
              <w:t xml:space="preserve">Post-reform (2019-2026)</w:t>
            </w:r>
          </w:p>
        </w:tc>
        <w:tc>
          <w:tcPr/>
          <w:p>
            <w:pPr>
              <w:pStyle w:val="Compact"/>
              <w:jc w:val="left"/>
            </w:pPr>
            <w:r>
              <w:t xml:space="preserve">Other teams</w:t>
            </w:r>
          </w:p>
        </w:tc>
        <w:tc>
          <w:tcPr/>
          <w:p>
            <w:pPr>
              <w:pStyle w:val="Compact"/>
              <w:jc w:val="right"/>
            </w:pPr>
            <w:r>
              <w:t xml:space="preserve">167</w:t>
            </w:r>
          </w:p>
        </w:tc>
        <w:tc>
          <w:tcPr/>
          <w:p>
            <w:pPr>
              <w:pStyle w:val="Compact"/>
              <w:jc w:val="right"/>
            </w:pPr>
            <w:r>
              <w:t xml:space="preserve">0.577</w:t>
            </w:r>
          </w:p>
        </w:tc>
        <w:tc>
          <w:tcPr/>
          <w:p>
            <w:pPr>
              <w:pStyle w:val="Compact"/>
              <w:jc w:val="right"/>
            </w:pPr>
            <w:r>
              <w:t xml:space="preserve">0.574</w:t>
            </w:r>
          </w:p>
        </w:tc>
        <w:tc>
          <w:tcPr/>
          <w:p>
            <w:pPr>
              <w:pStyle w:val="Compact"/>
              <w:jc w:val="right"/>
            </w:pPr>
            <w:r>
              <w:t xml:space="preserve">0.028</w:t>
            </w:r>
          </w:p>
        </w:tc>
        <w:tc>
          <w:tcPr/>
          <w:p>
            <w:pPr>
              <w:pStyle w:val="Compact"/>
              <w:jc w:val="right"/>
            </w:pPr>
            <w:r>
              <w:t xml:space="preserve">0.000</w:t>
            </w:r>
          </w:p>
        </w:tc>
        <w:tc>
          <w:tcPr/>
          <w:p>
            <w:pPr>
              <w:pStyle w:val="Compact"/>
              <w:jc w:val="right"/>
            </w:pPr>
            <w:r>
              <w:t xml:space="preserve">0.000</w:t>
            </w:r>
          </w:p>
        </w:tc>
      </w:tr>
      <w:tr>
        <w:tc>
          <w:tcPr/>
          <w:p>
            <w:pPr>
              <w:pStyle w:val="Compact"/>
              <w:jc w:val="left"/>
            </w:pPr>
            <w:r>
              <w:t xml:space="preserve">Pre-reform (2010-2018)</w:t>
            </w:r>
          </w:p>
        </w:tc>
        <w:tc>
          <w:tcPr/>
          <w:p>
            <w:pPr>
              <w:pStyle w:val="Compact"/>
              <w:jc w:val="left"/>
            </w:pPr>
            <w:r>
              <w:t xml:space="preserve">Likely lottery candidates</w:t>
            </w:r>
          </w:p>
        </w:tc>
        <w:tc>
          <w:tcPr/>
          <w:p>
            <w:pPr>
              <w:pStyle w:val="Compact"/>
              <w:jc w:val="right"/>
            </w:pPr>
            <w:r>
              <w:t xml:space="preserve">102</w:t>
            </w:r>
          </w:p>
        </w:tc>
        <w:tc>
          <w:tcPr/>
          <w:p>
            <w:pPr>
              <w:pStyle w:val="Compact"/>
              <w:jc w:val="right"/>
            </w:pPr>
            <w:r>
              <w:t xml:space="preserve">0.340</w:t>
            </w:r>
          </w:p>
        </w:tc>
        <w:tc>
          <w:tcPr/>
          <w:p>
            <w:pPr>
              <w:pStyle w:val="Compact"/>
              <w:jc w:val="right"/>
            </w:pPr>
            <w:r>
              <w:t xml:space="preserve">0.338</w:t>
            </w:r>
          </w:p>
        </w:tc>
        <w:tc>
          <w:tcPr/>
          <w:p>
            <w:pPr>
              <w:pStyle w:val="Compact"/>
              <w:jc w:val="right"/>
            </w:pPr>
            <w:r>
              <w:t xml:space="preserve">-0.022</w:t>
            </w:r>
          </w:p>
        </w:tc>
        <w:tc>
          <w:tcPr/>
          <w:p>
            <w:pPr>
              <w:pStyle w:val="Compact"/>
              <w:jc w:val="right"/>
            </w:pPr>
            <w:r>
              <w:t xml:space="preserve">0.108</w:t>
            </w:r>
          </w:p>
        </w:tc>
        <w:tc>
          <w:tcPr/>
          <w:p>
            <w:pPr>
              <w:pStyle w:val="Compact"/>
              <w:jc w:val="right"/>
            </w:pPr>
            <w:r>
              <w:t xml:space="preserve">0.873</w:t>
            </w:r>
          </w:p>
        </w:tc>
      </w:tr>
      <w:tr>
        <w:tc>
          <w:tcPr/>
          <w:p>
            <w:pPr>
              <w:pStyle w:val="Compact"/>
              <w:jc w:val="left"/>
            </w:pPr>
            <w:r>
              <w:t xml:space="preserve">Pre-reform (2010-2018)</w:t>
            </w:r>
          </w:p>
        </w:tc>
        <w:tc>
          <w:tcPr/>
          <w:p>
            <w:pPr>
              <w:pStyle w:val="Compact"/>
              <w:jc w:val="left"/>
            </w:pPr>
            <w:r>
              <w:t xml:space="preserve">Other teams</w:t>
            </w:r>
          </w:p>
        </w:tc>
        <w:tc>
          <w:tcPr/>
          <w:p>
            <w:pPr>
              <w:pStyle w:val="Compact"/>
              <w:jc w:val="right"/>
            </w:pPr>
            <w:r>
              <w:t xml:space="preserve">168</w:t>
            </w:r>
          </w:p>
        </w:tc>
        <w:tc>
          <w:tcPr/>
          <w:p>
            <w:pPr>
              <w:pStyle w:val="Compact"/>
              <w:jc w:val="right"/>
            </w:pPr>
            <w:r>
              <w:t xml:space="preserve">0.597</w:t>
            </w:r>
          </w:p>
        </w:tc>
        <w:tc>
          <w:tcPr/>
          <w:p>
            <w:pPr>
              <w:pStyle w:val="Compact"/>
              <w:jc w:val="right"/>
            </w:pPr>
            <w:r>
              <w:t xml:space="preserve">0.598</w:t>
            </w:r>
          </w:p>
        </w:tc>
        <w:tc>
          <w:tcPr/>
          <w:p>
            <w:pPr>
              <w:pStyle w:val="Compact"/>
              <w:jc w:val="right"/>
            </w:pPr>
            <w:r>
              <w:t xml:space="preserve">0.039</w:t>
            </w:r>
          </w:p>
        </w:tc>
        <w:tc>
          <w:tcPr/>
          <w:p>
            <w:pPr>
              <w:pStyle w:val="Compact"/>
              <w:jc w:val="right"/>
            </w:pPr>
            <w:r>
              <w:t xml:space="preserve">0.000</w:t>
            </w:r>
          </w:p>
        </w:tc>
        <w:tc>
          <w:tcPr/>
          <w:p>
            <w:pPr>
              <w:pStyle w:val="Compact"/>
              <w:jc w:val="right"/>
            </w:pPr>
            <w:r>
              <w:t xml:space="preserve">0.000</w:t>
            </w:r>
          </w:p>
        </w:tc>
      </w:tr>
    </w:tbl>
    <w:p>
      <w:pPr>
        <w:pStyle w:val="BodyText"/>
      </w:pPr>
      <w:r>
        <w:t xml:space="preserve">Table 1 shows that likely lottery candidates are much weaker than other teams before March, as expected. The average win percentage change from pre-March to late season is small in both eras, which suggests that most weak teams do not suddenly collapse late in the year. The conservative late-collapse proxy appears in only 21 of 175 likely-candidate seasons, so our binary proxy is intentionally strict. The sustained low-win signal is much more common because many likely lottery teams are bad before March and remain bad afterward.</w:t>
      </w:r>
    </w:p>
    <w:p>
      <w:pPr>
        <w:pStyle w:val="CaptionedFigure"/>
      </w:pPr>
      <w:r>
        <w:drawing>
          <wp:inline>
            <wp:extent cx="5334000" cy="3333750"/>
            <wp:effectExtent b="0" l="0" r="0" t="0"/>
            <wp:docPr descr="Figure 1. Late-season performance compared with pre-March performance. Each point is one team-season from 2010 through 2026. The dashed line shows equal pre-March and March-onward win percentages. Triangles are likely lottery candidates. Red points are conservative late-collapse proxy seasons, orange points are sustained low-win signal seasons, and blue points are all other team-seasons. Labels identify the largest late-collapse proxy seasons." title="" id="28" name="Picture"/>
            <a:graphic>
              <a:graphicData uri="http://schemas.openxmlformats.org/drawingml/2006/picture">
                <pic:pic>
                  <pic:nvPicPr>
                    <pic:cNvPr descr="project-report_files/figure-docx/visual-expected-vs-actual-1.png" id="29" name="Picture"/>
                    <pic:cNvPicPr>
                      <a:picLocks noChangeArrowheads="1" noChangeAspect="1"/>
                    </pic:cNvPicPr>
                  </pic:nvPicPr>
                  <pic:blipFill>
                    <a:blip r:embed="rId27"/>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1. Late-season performance compared with pre-March performance. Each point is one team-season from 2010 through 2026. The dashed line shows equal pre-March and March-onward win percentages. Triangles are likely lottery candidates. Red points are conservative late-collapse proxy seasons, orange points are sustained low-win signal seasons, and blue points are all other team-seasons. Labels identify the largest late-collapse proxy seasons.</w:t>
      </w:r>
    </w:p>
    <w:p>
      <w:pPr>
        <w:pStyle w:val="BodyText"/>
      </w:pPr>
      <w:r>
        <w:t xml:space="preserve">Figure 1 shows that most teams cluster near the diagonal, meaning their late-season winning percentage was similar to their pre-March winning percentage. The likely lottery candidates mostly appear in the lower-left portion of the graph, which confirms that the candidate definition is identifying weaker teams. The red points are rarer and more extreme: they are teams that were not only bad, but substantially worse late in the season than their earlier record would predict. The orange points address an important weakness of the original binary proxy: some teams do not sharply collapse because they were already near the bottom, but their continued low-win performance may still be relevant to tanking incentives.</w:t>
      </w:r>
    </w:p>
    <w:p>
      <w:pPr>
        <w:pStyle w:val="CaptionedFigure"/>
      </w:pPr>
      <w:r>
        <w:drawing>
          <wp:inline>
            <wp:extent cx="5334000" cy="3333750"/>
            <wp:effectExtent b="0" l="0" r="0" t="0"/>
            <wp:docPr descr="Figure 2. Draft strength and average late-season underperformance among likely lottery candidates. Each point is one NBA season. The x-axis is the CraftedNBA average draft class rating, the y-axis is the mean tanking index among likely lottery candidates, and point size is the number of conservative late-collapse proxy team-seasons in that year. Fitted lines are descriptive and are shown separately for the pre-reform and post-reform lottery eras." title="" id="31" name="Picture"/>
            <a:graphic>
              <a:graphicData uri="http://schemas.openxmlformats.org/drawingml/2006/picture">
                <pic:pic>
                  <pic:nvPicPr>
                    <pic:cNvPr descr="project-report_files/figure-docx/visual-draft-strength-1.png" id="32" name="Picture"/>
                    <pic:cNvPicPr>
                      <a:picLocks noChangeArrowheads="1" noChangeAspect="1"/>
                    </pic:cNvPicPr>
                  </pic:nvPicPr>
                  <pic:blipFill>
                    <a:blip r:embed="rId30"/>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2. Draft strength and average late-season underperformance among likely lottery candidates. Each point is one NBA season. The x-axis is the CraftedNBA average draft class rating, the y-axis is the mean tanking index among likely lottery candidates, and point size is the number of conservative late-collapse proxy team-seasons in that year. Fitted lines are descriptive and are shown separately for the pre-reform and post-reform lottery eras.</w:t>
      </w:r>
    </w:p>
    <w:p>
      <w:pPr>
        <w:pStyle w:val="BodyText"/>
      </w:pPr>
      <w:r>
        <w:t xml:space="preserve">Figure 2 suggests a different pattern before and after the lottery reform. In the pre-reform seasons, the relationship between draft strength and average tanking index is weak and slightly negative. In the post-reform seasons, the relationship is positive, mainly because the stronger recent draft classes in 2025 and 2026 coincide with higher average late-season underperformance among likely lottery candidates. However, the figure also shows why the conclusion should be cautious: there are only 17 season-level draft class observations, and 2021 remains unusual because it was affected by COVID-era scheduling and roster disruptions.</w:t>
      </w:r>
    </w:p>
    <w:bookmarkEnd w:id="33"/>
    <w:bookmarkStart w:id="34" w:name="modeling-results"/>
    <w:p>
      <w:pPr>
        <w:pStyle w:val="Heading2"/>
      </w:pPr>
      <w:r>
        <w:t xml:space="preserve">Modeling Results</w:t>
      </w:r>
    </w:p>
    <w:p>
      <w:pPr>
        <w:pStyle w:val="FirstParagraph"/>
      </w:pPr>
      <w:r>
        <w:t xml:space="preserve">Our main model is limited to likely lottery candidates because those are the teams with the clearest incentive to lose late-season games. The model predicts</w:t>
      </w:r>
      <w:r>
        <w:t xml:space="preserve"> </w:t>
      </w:r>
      <w:r>
        <w:rPr>
          <w:rStyle w:val="VerbatimChar"/>
        </w:rPr>
        <w:t xml:space="preserve">tanking_index</w:t>
      </w:r>
      <w:r>
        <w:t xml:space="preserve"> </w:t>
      </w:r>
      <w:r>
        <w:t xml:space="preserve">using draft class rating, lottery era, their interaction, games behind the postseason cutline, pre-March win percentage, and a disrupted-season indicator.</w:t>
      </w:r>
    </w:p>
    <w:p>
      <w:pPr>
        <w:pStyle w:val="BodyText"/>
      </w:pPr>
      <w:r>
        <w:t xml:space="preserve">The interaction term is the key test. It asks whether the relationship between draft class strength and late-season underperformance changed after the lottery reform.</w:t>
      </w:r>
    </w:p>
    <w:p>
      <w:pPr>
        <w:pStyle w:val="TableCaption"/>
      </w:pPr>
      <w:r>
        <w:t xml:space="preserve">Table 2. Regression models among likely lottery candidates.</w:t>
      </w:r>
    </w:p>
    <w:tbl>
      <w:tblPr>
        <w:tblStyle w:val="Table"/>
        <w:tblW w:type="pct" w:w="5000"/>
        <w:tblLayout w:type="fixed"/>
        <w:tblLook w:firstRow="1" w:lastRow="0" w:firstColumn="0" w:lastColumn="0" w:noHBand="0" w:noVBand="0" w:val="0020"/>
        <w:tblCaption w:val="Table 2. Regression models among likely lottery candidates."/>
      </w:tblPr>
      <w:tblGrid>
        <w:gridCol w:w="2006"/>
        <w:gridCol w:w="2956"/>
        <w:gridCol w:w="950"/>
        <w:gridCol w:w="1161"/>
        <w:gridCol w:w="844"/>
      </w:tblGrid>
      <w:tr>
        <w:trPr>
          <w:tblHeader w:val="on"/>
        </w:trPr>
        <w:tc>
          <w:tcPr/>
          <w:p>
            <w:pPr>
              <w:pStyle w:val="Compact"/>
              <w:jc w:val="left"/>
            </w:pPr>
            <w:r>
              <w:t xml:space="preserve">Model</w:t>
            </w:r>
          </w:p>
        </w:tc>
        <w:tc>
          <w:tcPr/>
          <w:p>
            <w:pPr>
              <w:pStyle w:val="Compact"/>
              <w:jc w:val="left"/>
            </w:pPr>
            <w:r>
              <w:t xml:space="preserve">Term</w:t>
            </w:r>
          </w:p>
        </w:tc>
        <w:tc>
          <w:tcPr/>
          <w:p>
            <w:pPr>
              <w:pStyle w:val="Compact"/>
              <w:jc w:val="right"/>
            </w:pPr>
            <w:r>
              <w:t xml:space="preserve">Estimate</w:t>
            </w:r>
          </w:p>
        </w:tc>
        <w:tc>
          <w:tcPr/>
          <w:p>
            <w:pPr>
              <w:pStyle w:val="Compact"/>
              <w:jc w:val="right"/>
            </w:pPr>
            <w:r>
              <w:t xml:space="preserve">Std. error</w:t>
            </w:r>
          </w:p>
        </w:tc>
        <w:tc>
          <w:tcPr/>
          <w:p>
            <w:pPr>
              <w:pStyle w:val="Compact"/>
              <w:jc w:val="right"/>
            </w:pPr>
            <w:r>
              <w:t xml:space="preserve">p-value</w:t>
            </w:r>
          </w:p>
        </w:tc>
      </w:tr>
      <w:tr>
        <w:tc>
          <w:tcPr/>
          <w:p>
            <w:pPr>
              <w:pStyle w:val="Compact"/>
              <w:jc w:val="left"/>
            </w:pPr>
            <w:r>
              <w:t xml:space="preserve">Tanking index</w:t>
            </w:r>
          </w:p>
        </w:tc>
        <w:tc>
          <w:tcPr/>
          <w:p>
            <w:pPr>
              <w:pStyle w:val="Compact"/>
              <w:jc w:val="left"/>
            </w:pPr>
            <w:r>
              <w:t xml:space="preserve">Draft rating (standardized)</w:t>
            </w:r>
          </w:p>
        </w:tc>
        <w:tc>
          <w:tcPr/>
          <w:p>
            <w:pPr>
              <w:pStyle w:val="Compact"/>
              <w:jc w:val="right"/>
            </w:pPr>
            <w:r>
              <w:t xml:space="preserve">-0.127</w:t>
            </w:r>
          </w:p>
        </w:tc>
        <w:tc>
          <w:tcPr/>
          <w:p>
            <w:pPr>
              <w:pStyle w:val="Compact"/>
              <w:jc w:val="right"/>
            </w:pPr>
            <w:r>
              <w:t xml:space="preserve">0.319</w:t>
            </w:r>
          </w:p>
        </w:tc>
        <w:tc>
          <w:tcPr/>
          <w:p>
            <w:pPr>
              <w:pStyle w:val="Compact"/>
              <w:jc w:val="right"/>
            </w:pPr>
            <w:r>
              <w:t xml:space="preserve">0.690</w:t>
            </w:r>
          </w:p>
        </w:tc>
      </w:tr>
      <w:tr>
        <w:tc>
          <w:tcPr/>
          <w:p>
            <w:pPr>
              <w:pStyle w:val="Compact"/>
              <w:jc w:val="left"/>
            </w:pPr>
            <w:r>
              <w:t xml:space="preserve">Tanking index</w:t>
            </w:r>
          </w:p>
        </w:tc>
        <w:tc>
          <w:tcPr/>
          <w:p>
            <w:pPr>
              <w:pStyle w:val="Compact"/>
              <w:jc w:val="left"/>
            </w:pPr>
            <w:r>
              <w:t xml:space="preserve">Post-reform era</w:t>
            </w:r>
          </w:p>
        </w:tc>
        <w:tc>
          <w:tcPr/>
          <w:p>
            <w:pPr>
              <w:pStyle w:val="Compact"/>
              <w:jc w:val="right"/>
            </w:pPr>
            <w:r>
              <w:t xml:space="preserve">0.205</w:t>
            </w:r>
          </w:p>
        </w:tc>
        <w:tc>
          <w:tcPr/>
          <w:p>
            <w:pPr>
              <w:pStyle w:val="Compact"/>
              <w:jc w:val="right"/>
            </w:pPr>
            <w:r>
              <w:t xml:space="preserve">0.210</w:t>
            </w:r>
          </w:p>
        </w:tc>
        <w:tc>
          <w:tcPr/>
          <w:p>
            <w:pPr>
              <w:pStyle w:val="Compact"/>
              <w:jc w:val="right"/>
            </w:pPr>
            <w:r>
              <w:t xml:space="preserve">0.329</w:t>
            </w:r>
          </w:p>
        </w:tc>
      </w:tr>
      <w:tr>
        <w:tc>
          <w:tcPr/>
          <w:p>
            <w:pPr>
              <w:pStyle w:val="Compact"/>
              <w:jc w:val="left"/>
            </w:pPr>
            <w:r>
              <w:t xml:space="preserve">Tanking index</w:t>
            </w:r>
          </w:p>
        </w:tc>
        <w:tc>
          <w:tcPr/>
          <w:p>
            <w:pPr>
              <w:pStyle w:val="Compact"/>
              <w:jc w:val="left"/>
            </w:pPr>
            <w:r>
              <w:t xml:space="preserve">Games behind cutoff</w:t>
            </w:r>
          </w:p>
        </w:tc>
        <w:tc>
          <w:tcPr/>
          <w:p>
            <w:pPr>
              <w:pStyle w:val="Compact"/>
              <w:jc w:val="right"/>
            </w:pPr>
            <w:r>
              <w:t xml:space="preserve">0.012</w:t>
            </w:r>
          </w:p>
        </w:tc>
        <w:tc>
          <w:tcPr/>
          <w:p>
            <w:pPr>
              <w:pStyle w:val="Compact"/>
              <w:jc w:val="right"/>
            </w:pPr>
            <w:r>
              <w:t xml:space="preserve">0.041</w:t>
            </w:r>
          </w:p>
        </w:tc>
        <w:tc>
          <w:tcPr/>
          <w:p>
            <w:pPr>
              <w:pStyle w:val="Compact"/>
              <w:jc w:val="right"/>
            </w:pPr>
            <w:r>
              <w:t xml:space="preserve">0.776</w:t>
            </w:r>
          </w:p>
        </w:tc>
      </w:tr>
      <w:tr>
        <w:tc>
          <w:tcPr/>
          <w:p>
            <w:pPr>
              <w:pStyle w:val="Compact"/>
              <w:jc w:val="left"/>
            </w:pPr>
            <w:r>
              <w:t xml:space="preserve">Tanking index</w:t>
            </w:r>
          </w:p>
        </w:tc>
        <w:tc>
          <w:tcPr/>
          <w:p>
            <w:pPr>
              <w:pStyle w:val="Compact"/>
              <w:jc w:val="left"/>
            </w:pPr>
            <w:r>
              <w:t xml:space="preserve">Pre-March win pct</w:t>
            </w:r>
          </w:p>
        </w:tc>
        <w:tc>
          <w:tcPr/>
          <w:p>
            <w:pPr>
              <w:pStyle w:val="Compact"/>
              <w:jc w:val="right"/>
            </w:pPr>
            <w:r>
              <w:t xml:space="preserve">5.441</w:t>
            </w:r>
          </w:p>
        </w:tc>
        <w:tc>
          <w:tcPr/>
          <w:p>
            <w:pPr>
              <w:pStyle w:val="Compact"/>
              <w:jc w:val="right"/>
            </w:pPr>
            <w:r>
              <w:t xml:space="preserve">2.298</w:t>
            </w:r>
          </w:p>
        </w:tc>
        <w:tc>
          <w:tcPr/>
          <w:p>
            <w:pPr>
              <w:pStyle w:val="Compact"/>
              <w:jc w:val="right"/>
            </w:pPr>
            <w:r>
              <w:t xml:space="preserve">0.019</w:t>
            </w:r>
          </w:p>
        </w:tc>
      </w:tr>
      <w:tr>
        <w:tc>
          <w:tcPr/>
          <w:p>
            <w:pPr>
              <w:pStyle w:val="Compact"/>
              <w:jc w:val="left"/>
            </w:pPr>
            <w:r>
              <w:t xml:space="preserve">Tanking index</w:t>
            </w:r>
          </w:p>
        </w:tc>
        <w:tc>
          <w:tcPr/>
          <w:p>
            <w:pPr>
              <w:pStyle w:val="Compact"/>
              <w:jc w:val="left"/>
            </w:pPr>
            <w:r>
              <w:t xml:space="preserve">Disrupted season</w:t>
            </w:r>
          </w:p>
        </w:tc>
        <w:tc>
          <w:tcPr/>
          <w:p>
            <w:pPr>
              <w:pStyle w:val="Compact"/>
              <w:jc w:val="right"/>
            </w:pPr>
            <w:r>
              <w:t xml:space="preserve">-0.284</w:t>
            </w:r>
          </w:p>
        </w:tc>
        <w:tc>
          <w:tcPr/>
          <w:p>
            <w:pPr>
              <w:pStyle w:val="Compact"/>
              <w:jc w:val="right"/>
            </w:pPr>
            <w:r>
              <w:t xml:space="preserve">0.305</w:t>
            </w:r>
          </w:p>
        </w:tc>
        <w:tc>
          <w:tcPr/>
          <w:p>
            <w:pPr>
              <w:pStyle w:val="Compact"/>
              <w:jc w:val="right"/>
            </w:pPr>
            <w:r>
              <w:t xml:space="preserve">0.354</w:t>
            </w:r>
          </w:p>
        </w:tc>
      </w:tr>
      <w:tr>
        <w:tc>
          <w:tcPr/>
          <w:p>
            <w:pPr>
              <w:pStyle w:val="Compact"/>
              <w:jc w:val="left"/>
            </w:pPr>
            <w:r>
              <w:t xml:space="preserve">Tanking index</w:t>
            </w:r>
          </w:p>
        </w:tc>
        <w:tc>
          <w:tcPr/>
          <w:p>
            <w:pPr>
              <w:pStyle w:val="Compact"/>
              <w:jc w:val="left"/>
            </w:pPr>
            <w:r>
              <w:t xml:space="preserve">Draft rating x post-reform</w:t>
            </w:r>
          </w:p>
        </w:tc>
        <w:tc>
          <w:tcPr/>
          <w:p>
            <w:pPr>
              <w:pStyle w:val="Compact"/>
              <w:jc w:val="right"/>
            </w:pPr>
            <w:r>
              <w:t xml:space="preserve">0.316</w:t>
            </w:r>
          </w:p>
        </w:tc>
        <w:tc>
          <w:tcPr/>
          <w:p>
            <w:pPr>
              <w:pStyle w:val="Compact"/>
              <w:jc w:val="right"/>
            </w:pPr>
            <w:r>
              <w:t xml:space="preserve">0.338</w:t>
            </w:r>
          </w:p>
        </w:tc>
        <w:tc>
          <w:tcPr/>
          <w:p>
            <w:pPr>
              <w:pStyle w:val="Compact"/>
              <w:jc w:val="right"/>
            </w:pPr>
            <w:r>
              <w:t xml:space="preserve">0.351</w:t>
            </w:r>
          </w:p>
        </w:tc>
      </w:tr>
      <w:tr>
        <w:tc>
          <w:tcPr/>
          <w:p>
            <w:pPr>
              <w:pStyle w:val="Compact"/>
              <w:jc w:val="left"/>
            </w:pPr>
            <w:r>
              <w:t xml:space="preserve">Late low-win score</w:t>
            </w:r>
          </w:p>
        </w:tc>
        <w:tc>
          <w:tcPr/>
          <w:p>
            <w:pPr>
              <w:pStyle w:val="Compact"/>
              <w:jc w:val="left"/>
            </w:pPr>
            <w:r>
              <w:t xml:space="preserve">Draft rating (standardized)</w:t>
            </w:r>
          </w:p>
        </w:tc>
        <w:tc>
          <w:tcPr/>
          <w:p>
            <w:pPr>
              <w:pStyle w:val="Compact"/>
              <w:jc w:val="right"/>
            </w:pPr>
            <w:r>
              <w:t xml:space="preserve">-0.008</w:t>
            </w:r>
          </w:p>
        </w:tc>
        <w:tc>
          <w:tcPr/>
          <w:p>
            <w:pPr>
              <w:pStyle w:val="Compact"/>
              <w:jc w:val="right"/>
            </w:pPr>
            <w:r>
              <w:t xml:space="preserve">0.027</w:t>
            </w:r>
          </w:p>
        </w:tc>
        <w:tc>
          <w:tcPr/>
          <w:p>
            <w:pPr>
              <w:pStyle w:val="Compact"/>
              <w:jc w:val="right"/>
            </w:pPr>
            <w:r>
              <w:t xml:space="preserve">0.774</w:t>
            </w:r>
          </w:p>
        </w:tc>
      </w:tr>
      <w:tr>
        <w:tc>
          <w:tcPr/>
          <w:p>
            <w:pPr>
              <w:pStyle w:val="Compact"/>
              <w:jc w:val="left"/>
            </w:pPr>
            <w:r>
              <w:t xml:space="preserve">Late low-win score</w:t>
            </w:r>
          </w:p>
        </w:tc>
        <w:tc>
          <w:tcPr/>
          <w:p>
            <w:pPr>
              <w:pStyle w:val="Compact"/>
              <w:jc w:val="left"/>
            </w:pPr>
            <w:r>
              <w:t xml:space="preserve">Post-reform era</w:t>
            </w:r>
          </w:p>
        </w:tc>
        <w:tc>
          <w:tcPr/>
          <w:p>
            <w:pPr>
              <w:pStyle w:val="Compact"/>
              <w:jc w:val="right"/>
            </w:pPr>
            <w:r>
              <w:t xml:space="preserve">0.016</w:t>
            </w:r>
          </w:p>
        </w:tc>
        <w:tc>
          <w:tcPr/>
          <w:p>
            <w:pPr>
              <w:pStyle w:val="Compact"/>
              <w:jc w:val="right"/>
            </w:pPr>
            <w:r>
              <w:t xml:space="preserve">0.018</w:t>
            </w:r>
          </w:p>
        </w:tc>
        <w:tc>
          <w:tcPr/>
          <w:p>
            <w:pPr>
              <w:pStyle w:val="Compact"/>
              <w:jc w:val="right"/>
            </w:pPr>
            <w:r>
              <w:t xml:space="preserve">0.363</w:t>
            </w:r>
          </w:p>
        </w:tc>
      </w:tr>
      <w:tr>
        <w:tc>
          <w:tcPr/>
          <w:p>
            <w:pPr>
              <w:pStyle w:val="Compact"/>
              <w:jc w:val="left"/>
            </w:pPr>
            <w:r>
              <w:t xml:space="preserve">Late low-win score</w:t>
            </w:r>
          </w:p>
        </w:tc>
        <w:tc>
          <w:tcPr/>
          <w:p>
            <w:pPr>
              <w:pStyle w:val="Compact"/>
              <w:jc w:val="left"/>
            </w:pPr>
            <w:r>
              <w:t xml:space="preserve">Games behind cutoff</w:t>
            </w:r>
          </w:p>
        </w:tc>
        <w:tc>
          <w:tcPr/>
          <w:p>
            <w:pPr>
              <w:pStyle w:val="Compact"/>
              <w:jc w:val="right"/>
            </w:pPr>
            <w:r>
              <w:t xml:space="preserve">0.001</w:t>
            </w:r>
          </w:p>
        </w:tc>
        <w:tc>
          <w:tcPr/>
          <w:p>
            <w:pPr>
              <w:pStyle w:val="Compact"/>
              <w:jc w:val="right"/>
            </w:pPr>
            <w:r>
              <w:t xml:space="preserve">0.004</w:t>
            </w:r>
          </w:p>
        </w:tc>
        <w:tc>
          <w:tcPr/>
          <w:p>
            <w:pPr>
              <w:pStyle w:val="Compact"/>
              <w:jc w:val="right"/>
            </w:pPr>
            <w:r>
              <w:t xml:space="preserve">0.840</w:t>
            </w:r>
          </w:p>
        </w:tc>
      </w:tr>
      <w:tr>
        <w:tc>
          <w:tcPr/>
          <w:p>
            <w:pPr>
              <w:pStyle w:val="Compact"/>
              <w:jc w:val="left"/>
            </w:pPr>
            <w:r>
              <w:t xml:space="preserve">Late low-win score</w:t>
            </w:r>
          </w:p>
        </w:tc>
        <w:tc>
          <w:tcPr/>
          <w:p>
            <w:pPr>
              <w:pStyle w:val="Compact"/>
              <w:jc w:val="left"/>
            </w:pPr>
            <w:r>
              <w:t xml:space="preserve">Pre-March win pct</w:t>
            </w:r>
          </w:p>
        </w:tc>
        <w:tc>
          <w:tcPr/>
          <w:p>
            <w:pPr>
              <w:pStyle w:val="Compact"/>
              <w:jc w:val="right"/>
            </w:pPr>
            <w:r>
              <w:t xml:space="preserve">-0.453</w:t>
            </w:r>
          </w:p>
        </w:tc>
        <w:tc>
          <w:tcPr/>
          <w:p>
            <w:pPr>
              <w:pStyle w:val="Compact"/>
              <w:jc w:val="right"/>
            </w:pPr>
            <w:r>
              <w:t xml:space="preserve">0.196</w:t>
            </w:r>
          </w:p>
        </w:tc>
        <w:tc>
          <w:tcPr/>
          <w:p>
            <w:pPr>
              <w:pStyle w:val="Compact"/>
              <w:jc w:val="right"/>
            </w:pPr>
            <w:r>
              <w:t xml:space="preserve">0.022</w:t>
            </w:r>
          </w:p>
        </w:tc>
      </w:tr>
      <w:tr>
        <w:tc>
          <w:tcPr/>
          <w:p>
            <w:pPr>
              <w:pStyle w:val="Compact"/>
              <w:jc w:val="left"/>
            </w:pPr>
            <w:r>
              <w:t xml:space="preserve">Late low-win score</w:t>
            </w:r>
          </w:p>
        </w:tc>
        <w:tc>
          <w:tcPr/>
          <w:p>
            <w:pPr>
              <w:pStyle w:val="Compact"/>
              <w:jc w:val="left"/>
            </w:pPr>
            <w:r>
              <w:t xml:space="preserve">Disrupted season</w:t>
            </w:r>
          </w:p>
        </w:tc>
        <w:tc>
          <w:tcPr/>
          <w:p>
            <w:pPr>
              <w:pStyle w:val="Compact"/>
              <w:jc w:val="right"/>
            </w:pPr>
            <w:r>
              <w:t xml:space="preserve">-0.029</w:t>
            </w:r>
          </w:p>
        </w:tc>
        <w:tc>
          <w:tcPr/>
          <w:p>
            <w:pPr>
              <w:pStyle w:val="Compact"/>
              <w:jc w:val="right"/>
            </w:pPr>
            <w:r>
              <w:t xml:space="preserve">0.026</w:t>
            </w:r>
          </w:p>
        </w:tc>
        <w:tc>
          <w:tcPr/>
          <w:p>
            <w:pPr>
              <w:pStyle w:val="Compact"/>
              <w:jc w:val="right"/>
            </w:pPr>
            <w:r>
              <w:t xml:space="preserve">0.272</w:t>
            </w:r>
          </w:p>
        </w:tc>
      </w:tr>
      <w:tr>
        <w:tc>
          <w:tcPr/>
          <w:p>
            <w:pPr>
              <w:pStyle w:val="Compact"/>
              <w:jc w:val="left"/>
            </w:pPr>
            <w:r>
              <w:t xml:space="preserve">Late low-win score</w:t>
            </w:r>
          </w:p>
        </w:tc>
        <w:tc>
          <w:tcPr/>
          <w:p>
            <w:pPr>
              <w:pStyle w:val="Compact"/>
              <w:jc w:val="left"/>
            </w:pPr>
            <w:r>
              <w:t xml:space="preserve">Draft rating x post-reform</w:t>
            </w:r>
          </w:p>
        </w:tc>
        <w:tc>
          <w:tcPr/>
          <w:p>
            <w:pPr>
              <w:pStyle w:val="Compact"/>
              <w:jc w:val="right"/>
            </w:pPr>
            <w:r>
              <w:t xml:space="preserve">0.024</w:t>
            </w:r>
          </w:p>
        </w:tc>
        <w:tc>
          <w:tcPr/>
          <w:p>
            <w:pPr>
              <w:pStyle w:val="Compact"/>
              <w:jc w:val="right"/>
            </w:pPr>
            <w:r>
              <w:t xml:space="preserve">0.029</w:t>
            </w:r>
          </w:p>
        </w:tc>
        <w:tc>
          <w:tcPr/>
          <w:p>
            <w:pPr>
              <w:pStyle w:val="Compact"/>
              <w:jc w:val="right"/>
            </w:pPr>
            <w:r>
              <w:t xml:space="preserve">0.396</w:t>
            </w:r>
          </w:p>
        </w:tc>
      </w:tr>
    </w:tbl>
    <w:p>
      <w:pPr>
        <w:pStyle w:val="BodyText"/>
      </w:pPr>
      <w:r>
        <w:t xml:space="preserve">The model does not provide strong statistical evidence that draft strength predicts late-season underperformance across the full 2010-2026 period. In the tanking-index model, the pre-reform draft-rating coefficient is -0.127, while the post-reform interaction is 0.316 with a p-value of 0.35. This means the estimated draft-strength relationship is more positive after the 2019 reform, but the difference is not statistically significant at conventional levels. The implied post-reform draft-rating slope is about 0.188 tanking-index units for a one-standard-deviation increase in draft class rating.</w:t>
      </w:r>
    </w:p>
    <w:p>
      <w:pPr>
        <w:pStyle w:val="BodyText"/>
      </w:pPr>
      <w:r>
        <w:t xml:space="preserve">The secondary</w:t>
      </w:r>
      <w:r>
        <w:t xml:space="preserve"> </w:t>
      </w:r>
      <w:r>
        <w:rPr>
          <w:rStyle w:val="VerbatimChar"/>
        </w:rPr>
        <w:t xml:space="preserve">late_low_win_score</w:t>
      </w:r>
      <w:r>
        <w:t xml:space="preserve"> </w:t>
      </w:r>
      <w:r>
        <w:t xml:space="preserve">model tells a similar story. It is included because it is more sensitive to lower-left teams in Figure 1: teams that were already weak before March and continued to perform poorly late in the year. The post-reform draft-strength interaction is again positive, but still not statistically decisive. Overall, the results support a cautious conclusion: stronger draft classes may be associated with more late-season underperformance in the post-reform era, but the evidence is suggestive rather than conclusive.</w:t>
      </w:r>
    </w:p>
    <w:bookmarkEnd w:id="34"/>
    <w:bookmarkStart w:id="35" w:name="discussion"/>
    <w:p>
      <w:pPr>
        <w:pStyle w:val="Heading2"/>
      </w:pPr>
      <w:r>
        <w:t xml:space="preserve">Discussion</w:t>
      </w:r>
    </w:p>
    <w:p>
      <w:pPr>
        <w:pStyle w:val="FirstParagraph"/>
      </w:pPr>
      <w:r>
        <w:t xml:space="preserve">The main finding is that the relationship between draft strength and late-season underperformance appears stronger after the 2019 lottery reform, but the model does not estimate that change precisely enough to make a strong causal claim. This is still useful because it clarifies the story the data can support. The project does not show that teams definitely tank more in strong draft years. Instead, it shows that a draft-quality based tanking signal is plausible, especially after 2019, and that the signal deserves more careful measurement.</w:t>
      </w:r>
    </w:p>
    <w:p>
      <w:pPr>
        <w:pStyle w:val="BodyText"/>
      </w:pPr>
      <w:r>
        <w:t xml:space="preserve">The analysis also shows why the definition of tanking matters. A strict late-collapse proxy flags only a small number of team-seasons. That makes the proxy conservative, but it can miss teams that were already very weak and remained very weak. The lower-left and late-low-win measures help address this by capturing sustained poor late-season performance. For the final interpretation, we should treat these as complementary signals rather than competing definitions.</w:t>
      </w:r>
    </w:p>
    <w:p>
      <w:pPr>
        <w:pStyle w:val="BodyText"/>
      </w:pPr>
      <w:r>
        <w:t xml:space="preserve">The 2021 season remains an important case. Several teams underperformed sharply late in the season, but that year was shortened and affected by COVID-era scheduling and player availability. Rather than deleting 2021, the model includes a disrupted-season control. This keeps the observation in the analysis while acknowledging that it may not be comparable to a normal 82-game season.</w:t>
      </w:r>
    </w:p>
    <w:bookmarkEnd w:id="35"/>
    <w:bookmarkStart w:id="36" w:name="limitations-and-future-work"/>
    <w:p>
      <w:pPr>
        <w:pStyle w:val="Heading2"/>
      </w:pPr>
      <w:r>
        <w:t xml:space="preserve">Limitations and Future Work</w:t>
      </w:r>
    </w:p>
    <w:p>
      <w:pPr>
        <w:pStyle w:val="FirstParagraph"/>
      </w:pPr>
      <w:r>
        <w:t xml:space="preserve">The biggest limitation is that tanking is not directly observable. We can observe losses, late-season underperformance, and playoff context, but we cannot observe whether a front office intended to lose. For that reason, all outcomes in this report should be interpreted as tanking proxies or tanking signals.</w:t>
      </w:r>
    </w:p>
    <w:p>
      <w:pPr>
        <w:pStyle w:val="BodyText"/>
      </w:pPr>
      <w:r>
        <w:t xml:space="preserve">A second limitation is that draft strength varies by season, not by team. Even after expanding the data to 2010-2026, there are only 17 draft-class observations. The team-season structure gives us more information about which teams were in position to tank, but it does not create 510 independent draft-strength observations.</w:t>
      </w:r>
    </w:p>
    <w:p>
      <w:pPr>
        <w:pStyle w:val="BodyText"/>
      </w:pPr>
      <w:r>
        <w:t xml:space="preserve">A third limitation is that our current model does not directly measure player resting. One peer-review suggestion was to add a variable for whether teams benched starters or reduced minutes for their best players late in the season. That would be a strong addition. A practical version would use player game logs to identify each team’s top pre-March minute players, then measure whether those players’ minutes or games played dropped sharply after March. This would help separate strategic late-season roster management from ordinary losing.</w:t>
      </w:r>
    </w:p>
    <w:p>
      <w:pPr>
        <w:pStyle w:val="BodyText"/>
      </w:pPr>
      <w:r>
        <w:t xml:space="preserve">Finally, the CraftedNBA rating is useful because it gives one consistent external measure of draft class quality, but it is still one source’s model-based ranking. Future versions should test whether results change when draft strength is measured by top-prospect rating, number of elite prospects, consensus mock draft rankings, or later NBA outcomes such as win shares.</w:t>
      </w:r>
    </w:p>
    <w:bookmarkEnd w:id="36"/>
    <w:bookmarkStart w:id="37" w:name="conclusion"/>
    <w:p>
      <w:pPr>
        <w:pStyle w:val="Heading2"/>
      </w:pPr>
      <w:r>
        <w:t xml:space="preserve">Conclusion</w:t>
      </w:r>
    </w:p>
    <w:p>
      <w:pPr>
        <w:pStyle w:val="FirstParagraph"/>
      </w:pPr>
      <w:r>
        <w:t xml:space="preserve">This project finds suggestive but not conclusive evidence that draft class strength may be more related to late-season underperformance after the NBA flattened lottery odds in 2019. The strongest visual evidence comes from the post-reform seasons, especially 2025 and 2026, where strong draft classes line up with higher average tanking-index values among likely lottery candidates. The regression model points in the same direction, but the interaction is not statistically significant.</w:t>
      </w:r>
    </w:p>
    <w:p>
      <w:pPr>
        <w:pStyle w:val="BodyText"/>
      </w:pPr>
      <w:r>
        <w:t xml:space="preserve">The most defensible conclusion is therefore cautious: draft class quality appears relevant to tanking incentives, but the current evidence is better viewed as an early signal than as proof. The project improves on simpler tanking analyses by combining playoff context, within-season underperformance, draft class quality, and the 2019 lottery reform into one framework.</w:t>
      </w:r>
    </w:p>
    <w:bookmarkEnd w:id="37"/>
    <w:bookmarkStart w:id="39" w:name="references"/>
    <w:p>
      <w:pPr>
        <w:pStyle w:val="Heading2"/>
      </w:pPr>
      <w:r>
        <w:t xml:space="preserve">References</w:t>
      </w:r>
    </w:p>
    <w:p>
      <w:pPr>
        <w:pStyle w:val="Compact"/>
        <w:numPr>
          <w:ilvl w:val="0"/>
          <w:numId w:val="1002"/>
        </w:numPr>
      </w:pPr>
      <w:r>
        <w:t xml:space="preserve">CraftedNBA.</w:t>
      </w:r>
      <w:r>
        <w:t xml:space="preserve"> </w:t>
      </w:r>
      <w:hyperlink r:id="rId25">
        <w:r>
          <w:rPr>
            <w:rStyle w:val="Hyperlink"/>
          </w:rPr>
          <w:t xml:space="preserve">Draft Class Rankings</w:t>
        </w:r>
      </w:hyperlink>
      <w:r>
        <w:t xml:space="preserve">.</w:t>
      </w:r>
    </w:p>
    <w:p>
      <w:pPr>
        <w:pStyle w:val="Compact"/>
        <w:numPr>
          <w:ilvl w:val="0"/>
          <w:numId w:val="1002"/>
        </w:numPr>
      </w:pPr>
      <w:r>
        <w:t xml:space="preserve">hoopR.</w:t>
      </w:r>
      <w:r>
        <w:t xml:space="preserve"> </w:t>
      </w:r>
      <w:hyperlink r:id="rId24">
        <w:r>
          <w:rPr>
            <w:rStyle w:val="Hyperlink"/>
          </w:rPr>
          <w:t xml:space="preserve">SportsDataverse hoopR package</w:t>
        </w:r>
      </w:hyperlink>
      <w:r>
        <w:t xml:space="preserve">.</w:t>
      </w:r>
    </w:p>
    <w:p>
      <w:pPr>
        <w:pStyle w:val="Compact"/>
        <w:numPr>
          <w:ilvl w:val="0"/>
          <w:numId w:val="1002"/>
        </w:numPr>
      </w:pPr>
      <w:r>
        <w:t xml:space="preserve">NBA.com.</w:t>
      </w:r>
      <w:r>
        <w:t xml:space="preserve"> </w:t>
      </w:r>
      <w:hyperlink r:id="rId22">
        <w:r>
          <w:rPr>
            <w:rStyle w:val="Hyperlink"/>
          </w:rPr>
          <w:t xml:space="preserve">NBA Board of Governors approves changes to Draft Lottery system</w:t>
        </w:r>
      </w:hyperlink>
      <w:r>
        <w:t xml:space="preserve">.</w:t>
      </w:r>
    </w:p>
    <w:p>
      <w:pPr>
        <w:pStyle w:val="Compact"/>
        <w:numPr>
          <w:ilvl w:val="0"/>
          <w:numId w:val="1002"/>
        </w:numPr>
      </w:pPr>
      <w:r>
        <w:t xml:space="preserve">NBA.com.</w:t>
      </w:r>
      <w:r>
        <w:t xml:space="preserve"> </w:t>
      </w:r>
      <w:hyperlink r:id="rId38">
        <w:r>
          <w:rPr>
            <w:rStyle w:val="Hyperlink"/>
          </w:rPr>
          <w:t xml:space="preserve">NBA Draft Lottery explainer</w:t>
        </w:r>
      </w:hyperlink>
      <w:r>
        <w:t xml:space="preserve">.</w:t>
      </w:r>
    </w:p>
    <w:p>
      <w:pPr>
        <w:pStyle w:val="Compact"/>
        <w:numPr>
          <w:ilvl w:val="0"/>
          <w:numId w:val="1002"/>
        </w:numPr>
      </w:pPr>
      <w:r>
        <w:t xml:space="preserve">Price, J., Soebbing, B. P., Berri, D., &amp; Humphreys, B. R. (2010).</w:t>
      </w:r>
      <w:r>
        <w:t xml:space="preserve"> </w:t>
      </w:r>
      <w:hyperlink r:id="rId21">
        <w:r>
          <w:rPr>
            <w:rStyle w:val="Hyperlink"/>
          </w:rPr>
          <w:t xml:space="preserve">Tournament Incentives, League Policy, and NBA Team Performance Revisited</w:t>
        </w:r>
      </w:hyperlink>
      <w:r>
        <w:t xml:space="preserve">.</w:t>
      </w:r>
    </w:p>
    <w:p>
      <w:pPr>
        <w:pStyle w:val="Compact"/>
        <w:numPr>
          <w:ilvl w:val="0"/>
          <w:numId w:val="1002"/>
        </w:numPr>
      </w:pPr>
      <w:r>
        <w:t xml:space="preserve">Taylor, B. A., &amp; Trogdon, J. G. (2002).</w:t>
      </w:r>
      <w:r>
        <w:t xml:space="preserve"> </w:t>
      </w:r>
      <w:hyperlink r:id="rId20">
        <w:r>
          <w:rPr>
            <w:rStyle w:val="Hyperlink"/>
          </w:rPr>
          <w:t xml:space="preserve">Losing to Win: Tournament Incentives in the National Basketball Association</w:t>
        </w:r>
      </w:hyperlink>
      <w:r>
        <w:t xml:space="preserve">.</w:t>
      </w:r>
    </w:p>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27" Target="media/rId27.png" /><Relationship Type="http://schemas.openxmlformats.org/officeDocument/2006/relationships/hyperlink" Id="rId25" Target="https://craftednba.com/draft/class-rankings" TargetMode="External" /><Relationship Type="http://schemas.openxmlformats.org/officeDocument/2006/relationships/hyperlink" Id="rId24" Target="https://hoopr.sportsdataverse.org/" TargetMode="External" /><Relationship Type="http://schemas.openxmlformats.org/officeDocument/2006/relationships/hyperlink" Id="rId20" Target="https://ideas.repec.org/a/ucp/jlabec/v20y2002i1p23-41.html" TargetMode="External" /><Relationship Type="http://schemas.openxmlformats.org/officeDocument/2006/relationships/hyperlink" Id="rId21" Target="https://journals.sagepub.com/doi/10.1177/1527002510363103" TargetMode="External" /><Relationship Type="http://schemas.openxmlformats.org/officeDocument/2006/relationships/hyperlink" Id="rId22" Target="https://www.nba.com/news/nba-board-governors-approves-changes-draft-lottery-system" TargetMode="External" /><Relationship Type="http://schemas.openxmlformats.org/officeDocument/2006/relationships/hyperlink" Id="rId38" Target="https://www.nba.com/news/nba-draft-lottery-explainer?lv=true" TargetMode="External" /></Relationships>
</file>

<file path=word/_rels/footnotes.xml.rels><?xml version="1.0" encoding="UTF-8"?><Relationships xmlns="http://schemas.openxmlformats.org/package/2006/relationships"><Relationship Type="http://schemas.openxmlformats.org/officeDocument/2006/relationships/hyperlink" Id="rId25" Target="https://craftednba.com/draft/class-rankings" TargetMode="External" /><Relationship Type="http://schemas.openxmlformats.org/officeDocument/2006/relationships/hyperlink" Id="rId24" Target="https://hoopr.sportsdataverse.org/" TargetMode="External" /><Relationship Type="http://schemas.openxmlformats.org/officeDocument/2006/relationships/hyperlink" Id="rId20" Target="https://ideas.repec.org/a/ucp/jlabec/v20y2002i1p23-41.html" TargetMode="External" /><Relationship Type="http://schemas.openxmlformats.org/officeDocument/2006/relationships/hyperlink" Id="rId21" Target="https://journals.sagepub.com/doi/10.1177/1527002510363103" TargetMode="External" /><Relationship Type="http://schemas.openxmlformats.org/officeDocument/2006/relationships/hyperlink" Id="rId22" Target="https://www.nba.com/news/nba-board-governors-approves-changes-draft-lottery-system" TargetMode="External" /><Relationship Type="http://schemas.openxmlformats.org/officeDocument/2006/relationships/hyperlink" Id="rId38" Target="https://www.nba.com/news/nba-draft-lottery-explainer?lv=tru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Class Strength and NBA Tanking Incentives</dc:title>
  <dc:creator>Nico L, Leo K, Colin C</dc:creator>
  <cp:keywords/>
  <dcterms:created xsi:type="dcterms:W3CDTF">2026-06-03T17:15:06Z</dcterms:created>
  <dcterms:modified xsi:type="dcterms:W3CDTF">2026-06-03T17:15:06Z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