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9.png" ContentType="image/png"/>
  <Override PartName="/word/media/rId33.png" ContentType="image/png"/>
  <Override PartName="/word/media/rId30.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NBA draft classes are associated with more late-season underperformance among teams with weak playoff outlooks. Using NBA team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pStyle w:val="Compact"/>
        <w:numPr>
          <w:ilvl w:val="0"/>
          <w:numId w:val="1001"/>
        </w:numPr>
      </w:pPr>
      <w:r>
        <w:rPr>
          <w:rStyle w:val="VerbatimChar"/>
        </w:rPr>
        <w:t xml:space="preserve">pre_win_pct</w:t>
      </w:r>
      <w:r>
        <w:t xml:space="preserve">: team win percentage before March 1.</w:t>
      </w:r>
    </w:p>
    <w:p>
      <w:pPr>
        <w:pStyle w:val="Compact"/>
        <w:numPr>
          <w:ilvl w:val="0"/>
          <w:numId w:val="1001"/>
        </w:numPr>
      </w:pPr>
      <w:r>
        <w:rPr>
          <w:rStyle w:val="VerbatimChar"/>
        </w:rPr>
        <w:t xml:space="preserve">late_win_pct</w:t>
      </w:r>
      <w:r>
        <w:t xml:space="preserve">: team win percentage on or after March 1.</w:t>
      </w:r>
    </w:p>
    <w:p>
      <w:pPr>
        <w:pStyle w:val="Compact"/>
        <w:numPr>
          <w:ilvl w:val="0"/>
          <w:numId w:val="1001"/>
        </w:numPr>
      </w:pPr>
      <w:r>
        <w:rPr>
          <w:rStyle w:val="VerbatimChar"/>
        </w:rPr>
        <w:t xml:space="preserve">games_back_cutline</w:t>
      </w:r>
      <w:r>
        <w:t xml:space="preserve">: games behind the postseason/play-in cutoff entering March. For seasons before the play-in era, the cutoff is the 8th seed. For seasons beginning in 2021, the cutoff is the 10th seed.</w:t>
      </w:r>
    </w:p>
    <w:p>
      <w:pPr>
        <w:pStyle w:val="Compact"/>
        <w:numPr>
          <w:ilvl w:val="0"/>
          <w:numId w:val="1001"/>
        </w:numPr>
      </w:pPr>
      <w:r>
        <w:rPr>
          <w:rStyle w:val="VerbatimChar"/>
        </w:rPr>
        <w:t xml:space="preserve">likely_lottery_candidate</w:t>
      </w:r>
      <w:r>
        <w:t xml:space="preserve">: a team outside the relevant postseason cutoff that was either at least 3 games behind the cutoff or below a .400 pre-March win percentage.</w:t>
      </w:r>
    </w:p>
    <w:p>
      <w:pPr>
        <w:pStyle w:val="Compact"/>
        <w:numPr>
          <w:ilvl w:val="0"/>
          <w:numId w:val="1001"/>
        </w:numPr>
      </w:pPr>
      <w:r>
        <w:rPr>
          <w:rStyle w:val="VerbatimChar"/>
        </w:rPr>
        <w:t xml:space="preserve">lottery_seed_march</w:t>
      </w:r>
      <w:r>
        <w:t xml:space="preserve">: an estimated lottery position entering March, based on league-wide pre-March record. The worst pre-March record is seed 1, the second-worst is seed 2, and so on through the 14-team lottery.</w:t>
      </w:r>
    </w:p>
    <w:p>
      <w:pPr>
        <w:pStyle w:val="Compact"/>
        <w:numPr>
          <w:ilvl w:val="0"/>
          <w:numId w:val="1001"/>
        </w:numPr>
      </w:pPr>
      <w:r>
        <w:rPr>
          <w:rStyle w:val="VerbatimChar"/>
        </w:rPr>
        <w:t xml:space="preserve">marginal_lottery_incentive</w:t>
      </w:r>
      <w:r>
        <w:t xml:space="preserve">: a team-specific draft incentive equal to the top-four draft class rating multiplied by the increase in probability of landing a top-four pick from moving one lottery slot worse. For example, if moving from the fifth-worst to fourth-worst record raises the probability of a top-four pick, that gain is larger in a stronger top-four draft class.</w:t>
      </w:r>
    </w:p>
    <w:p>
      <w:pPr>
        <w:pStyle w:val="Compact"/>
        <w:numPr>
          <w:ilvl w:val="0"/>
          <w:numId w:val="1001"/>
        </w:numPr>
      </w:pPr>
      <w:r>
        <w:rPr>
          <w:rStyle w:val="VerbatimChar"/>
        </w:rPr>
        <w:t xml:space="preserve">tanking_index</w:t>
      </w:r>
      <w:r>
        <w:t xml:space="preserve">: standardized late-season win shortfall. Positive values mean a team won fewer March-onward games than expected from its pre-March record.</w:t>
      </w:r>
    </w:p>
    <w:p>
      <w:pPr>
        <w:pStyle w:val="Compact"/>
        <w:numPr>
          <w:ilvl w:val="0"/>
          <w:numId w:val="1001"/>
        </w:numPr>
      </w:pPr>
      <w:r>
        <w:rPr>
          <w:rStyle w:val="VerbatimChar"/>
        </w:rPr>
        <w:t xml:space="preserve">tanking_proxy</w:t>
      </w:r>
      <w:r>
        <w:t xml:space="preserve">: a conservative yes/no flag for likely lottery candidates whose late win percentage dropped by at least 10 percentage points and whose late wins were unusually low under a binomial expectation.</w:t>
      </w:r>
    </w:p>
    <w:p>
      <w:pPr>
        <w:pStyle w:val="Compact"/>
        <w:numPr>
          <w:ilvl w:val="0"/>
          <w:numId w:val="1001"/>
        </w:numPr>
      </w:pPr>
      <w:r>
        <w:rPr>
          <w:rStyle w:val="VerbatimChar"/>
        </w:rPr>
        <w:t xml:space="preserve">late_collapse_score</w:t>
      </w:r>
      <w:r>
        <w:t xml:space="preserve">: a positive-only version of the late-collapse signal. It equals the positive part of</w:t>
      </w:r>
      <w:r>
        <w:t xml:space="preserve"> </w:t>
      </w:r>
      <w:r>
        <w:rPr>
          <w:rStyle w:val="VerbatimChar"/>
        </w:rPr>
        <w:t xml:space="preserve">tanking_index</w:t>
      </w:r>
      <w:r>
        <w:t xml:space="preserve"> </w:t>
      </w:r>
      <w:r>
        <w:t xml:space="preserve">for likely lottery candidates. We use it descriptively, but the final regression uses the full</w:t>
      </w:r>
      <w:r>
        <w:t xml:space="preserve"> </w:t>
      </w:r>
      <w:r>
        <w:rPr>
          <w:rStyle w:val="VerbatimChar"/>
        </w:rPr>
        <w:t xml:space="preserve">tanking_index</w:t>
      </w:r>
      <w:r>
        <w:t xml:space="preserve"> </w:t>
      </w:r>
      <w:r>
        <w:t xml:space="preserve">because the full index keeps overperformance as negative evidence instead of turning it into zero.</w:t>
      </w:r>
    </w:p>
    <w:p>
      <w:pPr>
        <w:pStyle w:val="Compact"/>
        <w:numPr>
          <w:ilvl w:val="0"/>
          <w:numId w:val="1001"/>
        </w:numPr>
      </w:pPr>
      <w:r>
        <w:rPr>
          <w:rStyle w:val="VerbatimChar"/>
        </w:rPr>
        <w:t xml:space="preserve">team_fit_score</w:t>
      </w:r>
      <w:r>
        <w:t xml:space="preserve">: an exploratory measure of whether a team’s pre-March positional weaknesses line up with the strongest positions in that draft class. We group both teams and prospects into guards, wings, and bigs. A team gets a higher fit score when its weakest pre-March position groups match the position groups where the draft class has more high-rated prospects.</w:t>
      </w:r>
    </w:p>
    <w:p>
      <w:pPr>
        <w:pStyle w:val="Compact"/>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w:t>
      </w:r>
    </w:p>
    <w:bookmarkEnd w:id="29"/>
    <w:bookmarkStart w:id="45"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1697"/>
        <w:gridCol w:w="1838"/>
        <w:gridCol w:w="282"/>
        <w:gridCol w:w="848"/>
        <w:gridCol w:w="919"/>
        <w:gridCol w:w="990"/>
        <w:gridCol w:w="1343"/>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c>
          <w:tcPr/>
          <w:p>
            <w:pPr>
              <w:pStyle w:val="Compact"/>
              <w:jc w:val="right"/>
            </w:pPr>
            <w:r>
              <w:t xml:space="preserve">Late-collapse rate</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c>
          <w:tcPr/>
          <w:p>
            <w:pPr>
              <w:pStyle w:val="Compact"/>
              <w:jc w:val="right"/>
            </w:pPr>
            <w:r>
              <w:t xml:space="preserve">0.137</w:t>
            </w:r>
          </w:p>
        </w:tc>
      </w:tr>
      <w:tr>
        <w:tc>
          <w:tcPr/>
          <w:p>
            <w:pPr>
              <w:pStyle w:val="Compact"/>
              <w:jc w:val="left"/>
            </w:pPr>
            <w:r>
              <w:t xml:space="preserve">Post-reform (2019-2026)</w:t>
            </w: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c>
          <w:tcPr/>
          <w:p>
            <w:pPr>
              <w:pStyle w:val="Compact"/>
              <w:jc w:val="right"/>
            </w:pPr>
            <w:r>
              <w:t xml:space="preserve">0.000</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c>
          <w:tcPr/>
          <w:p>
            <w:pPr>
              <w:pStyle w:val="Compact"/>
              <w:jc w:val="right"/>
            </w:pPr>
            <w:r>
              <w:t xml:space="preserve">0.108</w:t>
            </w:r>
          </w:p>
        </w:tc>
      </w:tr>
      <w:tr>
        <w:tc>
          <w:tcPr/>
          <w:p>
            <w:pPr>
              <w:pStyle w:val="Compact"/>
              <w:jc w:val="left"/>
            </w:pPr>
            <w:r>
              <w:t xml:space="preserve">Pre-reform (2010-2018)</w:t>
            </w: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c>
          <w:tcPr/>
          <w:p>
            <w:pPr>
              <w:pStyle w:val="Compact"/>
              <w:jc w:val="right"/>
            </w:pPr>
            <w:r>
              <w:t xml:space="preserve">0.000</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conservative late-collapse proxy appears in only 21 of 175 likely-candidate seasons, so our binary proxy is intentionally strict. The final regression therefore relies on the full</w:t>
      </w:r>
      <w:r>
        <w:t xml:space="preserve"> </w:t>
      </w:r>
      <w:r>
        <w:rPr>
          <w:rStyle w:val="VerbatimChar"/>
        </w:rPr>
        <w:t xml:space="preserve">tanking_index</w:t>
      </w:r>
      <w:r>
        <w:t xml:space="preserve">, which measures degree of late-season underperformance instead of only flagging extreme cases.</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and blue points are all other team-seasons. Labels identify the largest late-collapse proxy seasons." title="" id="31" name="Picture"/>
            <a:graphic>
              <a:graphicData uri="http://schemas.openxmlformats.org/drawingml/2006/picture">
                <pic:pic>
                  <pic:nvPicPr>
                    <pic:cNvPr descr="final-report_files/figure-docx/visual-expected-vs-actual-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and blue points are all other team-seasons. Labels identify the largest late-collapse proxy seasons.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red points are rarer and more extreme: they are teams that were not only bad, but substantially worse late in the season than their earlier record would predict. Because the red proxy is intentionally strict, the regression below uses the full</w:t>
      </w:r>
      <w:r>
        <w:t xml:space="preserve"> </w:t>
      </w:r>
      <w:r>
        <w:rPr>
          <w:rStyle w:val="VerbatimChar"/>
        </w:rPr>
        <w:t xml:space="preserve">tanking_index</w:t>
      </w:r>
      <w:r>
        <w:t xml:space="preserve"> </w:t>
      </w:r>
      <w:r>
        <w:t xml:space="preserve">rather than treating the red points as the only relevant cases.</w:t>
      </w:r>
    </w:p>
    <w:p>
      <w:pPr>
        <w:pStyle w:val="CaptionedFigure"/>
      </w:pPr>
      <w:r>
        <w:drawing>
          <wp:inline>
            <wp:extent cx="5334000" cy="3333750"/>
            <wp:effectExtent b="0" l="0" r="0" t="0"/>
            <wp:docPr descr="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conservative late-collapse proxy team-seasons in that year. Fitted lines are descriptive and are shown separately for the pre-reform and post-reform lottery eras." title="" id="34" name="Picture"/>
            <a:graphic>
              <a:graphicData uri="http://schemas.openxmlformats.org/drawingml/2006/picture">
                <pic:pic>
                  <pic:nvPicPr>
                    <pic:cNvPr descr="final-report_files/figure-docx/visual-draft-strength-1.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conservative late-collapse proxy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 title="" id="37" name="Picture"/>
            <a:graphic>
              <a:graphicData uri="http://schemas.openxmlformats.org/drawingml/2006/picture">
                <pic:pic>
                  <pic:nvPicPr>
                    <pic:cNvPr descr="final-report_files/figure-docx/visual-team-season-observations-1.png" id="38" name="Picture"/>
                    <pic:cNvPicPr>
                      <a:picLocks noChangeArrowheads="1" noChangeAspect="1"/>
                    </pic:cNvPicPr>
                  </pic:nvPicPr>
                  <pic:blipFill>
                    <a:blip r:embed="rId3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0" name="Picture"/>
            <a:graphic>
              <a:graphicData uri="http://schemas.openxmlformats.org/drawingml/2006/picture">
                <pic:pic>
                  <pic:nvPicPr>
                    <pic:cNvPr descr="final-report_files/figure-docx/visual-draft-rating-comparison-1.png" id="41" name="Picture"/>
                    <pic:cNvPicPr>
                      <a:picLocks noChangeArrowheads="1" noChangeAspect="1"/>
                    </pic:cNvPicPr>
                  </pic:nvPicPr>
                  <pic:blipFill>
                    <a:blip r:embed="rId39"/>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4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3" name="Picture"/>
            <a:graphic>
              <a:graphicData uri="http://schemas.openxmlformats.org/drawingml/2006/picture">
                <pic:pic>
                  <pic:nvPicPr>
                    <pic:cNvPr descr="final-report_files/figure-docx/visual-position-adjusted-incentive-1.png" id="44" name="Picture"/>
                    <pic:cNvPicPr>
                      <a:picLocks noChangeArrowheads="1" noChangeAspect="1"/>
                    </pic:cNvPicPr>
                  </pic:nvPicPr>
                  <pic:blipFill>
                    <a:blip r:embed="rId4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5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5"/>
    <w:bookmarkStart w:id="53"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w:t>
      </w:r>
    </w:p>
    <w:p>
      <w:pPr>
        <w:pStyle w:val="BodyText"/>
      </w:pPr>
      <w:r>
        <w:t xml:space="preserve">The final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two follow-up checks: whether the relationship changed after the 2019 lottery reform, and whether a team’s roster fit with the draft class adds explanatory power.</w:t>
      </w:r>
    </w:p>
    <w:bookmarkStart w:id="46" w:name="analysis-1-prepost-reform-interaction"/>
    <w:p>
      <w:pPr>
        <w:pStyle w:val="Heading3"/>
      </w:pPr>
      <w:r>
        <w:t xml:space="preserve">Analysis 1: Pre/Post Reform Interaction</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0.539</w:t>
            </w:r>
          </w:p>
        </w:tc>
      </w:tr>
      <w:tr>
        <w:tc>
          <w:tcPr/>
          <w:p>
            <w:pPr>
              <w:pStyle w:val="Compact"/>
              <w:jc w:val="left"/>
            </w:pPr>
            <w:r>
              <w:t xml:space="preserve">Tanking index</w:t>
            </w: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0.657</w:t>
            </w:r>
          </w:p>
        </w:tc>
      </w:tr>
      <w:tr>
        <w:tc>
          <w:tcPr/>
          <w:p>
            <w:pPr>
              <w:pStyle w:val="Compact"/>
              <w:jc w:val="left"/>
            </w:pPr>
            <w:r>
              <w:t xml:space="preserve">Tanking index</w:t>
            </w: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0.326</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bookmarkEnd w:id="46"/>
    <w:bookmarkStart w:id="47" w:name="Xe837124f9f200bd350346b45a493dd227e53ca1"/>
    <w:p>
      <w:pPr>
        <w:pStyle w:val="Heading3"/>
      </w:pPr>
      <w:r>
        <w:t xml:space="preserve">Analysis 2: Position-Adjusted Team-Season Regression</w:t>
      </w:r>
    </w:p>
    <w:p>
      <w:pPr>
        <w:pStyle w:val="FirstParagraph"/>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of turning a strong top-four draft class into a top-four pick.</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two ways of measuring draft strength: the average rating of the top 35 prospects and the average rating of only the top four prospects. The top-four version is our preferred measure because the lottery is mainly about access to the top of the draft. It also performs slightly better in the final model: the top-35 incentive p-value is 0.13, compared with 0.12 for the top-four incentive.</w:t>
      </w:r>
    </w:p>
    <w:p>
      <w:pPr>
        <w:pStyle w:val="BodyText"/>
      </w:pPr>
      <w:r>
        <w:t xml:space="preserve">We also compared the full</w:t>
      </w:r>
      <w:r>
        <w:t xml:space="preserve"> </w:t>
      </w:r>
      <w:r>
        <w:rPr>
          <w:rStyle w:val="VerbatimChar"/>
        </w:rPr>
        <w:t xml:space="preserve">tanking_index</w:t>
      </w:r>
      <w:r>
        <w:t xml:space="preserve"> </w:t>
      </w:r>
      <w:r>
        <w:t xml:space="preserve">to the positive-only late-collapse score. The positive-only score is useful for labeling obvious cases, but it throws away information by setting all late-season overperformance to zero. With the same controls, the positive-only score gives a position-adjusted incentive p-value of 0.37, compared with 0.12 for the full</w:t>
      </w:r>
      <w:r>
        <w:t xml:space="preserve"> </w:t>
      </w:r>
      <w:r>
        <w:rPr>
          <w:rStyle w:val="VerbatimChar"/>
        </w:rPr>
        <w:t xml:space="preserve">tanking_index</w:t>
      </w:r>
      <w:r>
        <w:t xml:space="preserve">. For that reason, the final model uses the full index as the clearer primary outcome.</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jc w:val="left"/>
            </w:pPr>
            <w:r>
              <w:t xml:space="preserve">Tanking index</w:t>
            </w: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jc w:val="left"/>
            </w:pPr>
            <w:r>
              <w:t xml:space="preserve">Tanking index</w:t>
            </w: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jc w:val="left"/>
            </w:pPr>
            <w:r>
              <w:t xml:space="preserve">Tanking index</w:t>
            </w: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This is stronger than the earlier positive-only late-collapse score because the full index keeps all information: underperformance counts positively, while late-season overperformance counts against the tanking-incentive story.</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reverse the direction of the estimate. The position-adjusted incentive coefficient changes from 0.157 in the all-years model to 0.145 after excluding 2021, with the p-value changing from 0.12 to 0.14.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7"/>
    <w:bookmarkStart w:id="51" w:name="analysis-3-team-fit-heterogeneity-check"/>
    <w:p>
      <w:pPr>
        <w:pStyle w:val="Heading3"/>
      </w:pPr>
      <w:r>
        <w:t xml:space="preserve">Analysis 3: Team-Fit Heterogeneity Check</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in two steps. First, we use pre-March player game logs to measure each team’s production by position group: guard, wing, and big. Position groups that are below the league average in that season receive higher need scores. Second, we use CraftedNBA prospect positions and ratings to measure how much of each draft class’s top-35 prospect value is concentrated in each position group. The final fit score is higher when a team’s weak position groups align with the position groups where that draft has more high-rated prospects.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top-four draft rating among likely lottery candidates (0.009). In other words, it is not just another version of draft strength.</w:t>
      </w:r>
    </w:p>
    <w:p>
      <w:pPr>
        <w:pStyle w:val="CaptionedFigure"/>
      </w:pPr>
      <w:r>
        <w:drawing>
          <wp:inline>
            <wp:extent cx="5334000" cy="3597671"/>
            <wp:effectExtent b="0" l="0" r="0" t="0"/>
            <wp:docPr descr="Figure 6. Team fit and tanking index among likely lottery candidates. Each point is one team-season. The x-axis measures whether a team’s pre-March positional weaknesses align with the strongest prospect position groups in that year’s draft, and color shows top-four draft class strength." title="" id="49" name="Picture"/>
            <a:graphic>
              <a:graphicData uri="http://schemas.openxmlformats.org/drawingml/2006/picture">
                <pic:pic>
                  <pic:nvPicPr>
                    <pic:cNvPr descr="final-report_files/figure-docx/team-fit-visual-1.png" id="50" name="Picture"/>
                    <pic:cNvPicPr>
                      <a:picLocks noChangeArrowheads="1" noChangeAspect="1"/>
                    </pic:cNvPicPr>
                  </pic:nvPicPr>
                  <pic:blipFill>
                    <a:blip r:embed="rId48"/>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jc w:val="left"/>
            </w:pPr>
            <w:r>
              <w:t xml:space="preserve">Tanking index</w:t>
            </w: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jc w:val="left"/>
            </w:pPr>
            <w:r>
              <w:t xml:space="preserve">Tanking index</w:t>
            </w: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The team-fit interaction is not statistically significant. The interaction p-value is 0.76.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51"/>
    <w:bookmarkStart w:id="52" w:name="conclusions-from-the-formal-analysis"/>
    <w:p>
      <w:pPr>
        <w:pStyle w:val="Heading3"/>
      </w:pPr>
      <w:r>
        <w:t xml:space="preserve">Conclusions From the Formal Analysis</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 remains positive for the tanking index, but it is not strong enough to support a causal claim.</w:t>
      </w:r>
    </w:p>
    <w:p>
      <w:pPr>
        <w:pStyle w:val="BodyText"/>
      </w:pPr>
      <w:r>
        <w:t xml:space="preserve">The analysis also shows why the definition of tanking matters. A strict 10 percentage point late-collapse proxy flags only a small number of team-seasons. That makes the proxy conservative, but it can miss meaningful variation around the cutoff. It also creates extra noise by treating all non-flagged teams as the same. The full tanking index is better suited for regression because it measures degree of underperformance rather than forcing a binary cutoff.</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52"/>
    <w:bookmarkEnd w:id="53"/>
    <w:bookmarkStart w:id="57" w:name="vi.-next-steps"/>
    <w:p>
      <w:pPr>
        <w:pStyle w:val="Heading2"/>
      </w:pPr>
      <w:r>
        <w:t xml:space="preserve">VI. Next Steps</w:t>
      </w:r>
    </w:p>
    <w:p>
      <w:pPr>
        <w:pStyle w:val="FirstParagraph"/>
      </w:pPr>
      <w:r>
        <w:t xml:space="preserve">The results should be interpreted cautiously. The model finds a positive relationship between position-adjusted top-four draft incentives and late-season underperformance, but it does not prove intent and should not be read as definitive evidence that teams deliberately lost games.</w:t>
      </w:r>
    </w:p>
    <w:bookmarkStart w:id="54" w:name="limitations-and-cautions"/>
    <w:p>
      <w:pPr>
        <w:pStyle w:val="Heading3"/>
      </w:pPr>
      <w:r>
        <w:t xml:space="preserve">Limitations and Cautions</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uses the marginal gain in top-four-pick probability from moving one lottery slot worse, so it does not distinguish between the value of the first, second, third, and fourth picks, larger multi-slot changes, player-specific team preferences, or the possibility that teams care about protecting an already-strong lottery position.</w:t>
      </w:r>
    </w:p>
    <w:bookmarkEnd w:id="54"/>
    <w:bookmarkStart w:id="55" w:name="future-extensions"/>
    <w:p>
      <w:pPr>
        <w:pStyle w:val="Heading3"/>
      </w:pPr>
      <w:r>
        <w:t xml:space="preserve">Future Extensions</w:t>
      </w:r>
    </w:p>
    <w:p>
      <w:pPr>
        <w:pStyle w:val="FirstParagraph"/>
      </w:pPr>
      <w:r>
        <w:t xml:space="preserve">A direct next step is to measure player resting more explicitly. One peer-review suggestion was to add a variable for whether teams benched starters or reduced minutes for their best players late in the season. A practical version would use player game logs to identify each team’s top pre-March minute players, then measure whether those players’ minutes or games played dropped sharply after March. This would help separate strategic late-season roster management from ordinary losing.</w:t>
      </w:r>
    </w:p>
    <w:p>
      <w:pPr>
        <w:pStyle w:val="BodyText"/>
      </w:pPr>
      <w:r>
        <w:t xml:space="preserve">Another extension would improve the team-fit score. The current version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A final extension would compare multiple draft-quality measures.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5"/>
    <w:bookmarkStart w:id="56" w:name="final-takeaway"/>
    <w:p>
      <w:pPr>
        <w:pStyle w:val="Heading3"/>
      </w:pPr>
      <w:r>
        <w:t xml:space="preserve">Final Takeaway</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model shows positive but noisier estimates. The full tanking index is a better final outcome than a hard 10 percentage point cutoff because it measures the size and direction of late-season underperformance instead of only flagging the most obvious collapses.</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and draft class quality into one framework.</w:t>
      </w:r>
    </w:p>
    <w:p>
      <w:pPr>
        <w:pStyle w:val="BodyText"/>
      </w:pPr>
      <w:r>
        <w:t xml:space="preserve">The exploratory team-fit extension is less conclusive. It gives a plausible way to think about team-level heterogeneity, but the broad fit proxy does not add strong statistical evidence beyond overall draft strength. That leaves team fit as an important direction for future work rather than a core result of this report.</w:t>
      </w:r>
    </w:p>
    <w:bookmarkEnd w:id="56"/>
    <w:bookmarkEnd w:id="57"/>
    <w:bookmarkStart w:id="60"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58">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59">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58"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59"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58"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59"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2026-06-06T21:32:34Z</dcterms:created>
  <dcterms:modified xsi:type="dcterms:W3CDTF">2026-06-06T21:32:34Z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