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1.png" ContentType="image/png"/>
  <Override PartName="/word/media/rId28.png" ContentType="image/png"/>
  <Override PartName="/word/media/rId40.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3" w:name="research-question"/>
    <w:p>
      <w:pPr>
        <w:pStyle w:val="Heading2"/>
      </w:pPr>
      <w:r>
        <w:t xml:space="preserve">Research Question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Prior research has studied tanking as a response to draft lottery incentives.</w:t>
      </w:r>
      <w:r>
        <w:t xml:space="preserve"> </w:t>
      </w:r>
      <w:hyperlink r:id="rId20">
        <w:r>
          <w:rPr>
            <w:rStyle w:val="Hyperlink"/>
          </w:rPr>
          <w:t xml:space="preserve">Taylor and Trogdon (2002)</w:t>
        </w:r>
      </w:hyperlink>
      <w:r>
        <w:t xml:space="preserve"> </w:t>
      </w:r>
      <w:r>
        <w:t xml:space="preserve">and</w:t>
      </w:r>
      <w:r>
        <w:t xml:space="preserve"> </w:t>
      </w:r>
      <w:hyperlink r:id="rId21">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their lottery position makes additional losses more valuable.</w:t>
      </w:r>
    </w:p>
    <w:p>
      <w:pPr>
        <w:pStyle w:val="BodyText"/>
      </w:pPr>
      <w:r>
        <w:t xml:space="preserve">The</w:t>
      </w:r>
      <w:r>
        <w:t xml:space="preserve"> </w:t>
      </w:r>
      <w:hyperlink r:id="rId22">
        <w:r>
          <w:rPr>
            <w:rStyle w:val="Hyperlink"/>
          </w:rPr>
          <w:t xml:space="preserve">NBA changed its lottery odds beginning with the 2019 draft</w:t>
        </w:r>
      </w:hyperlink>
      <w:r>
        <w:t xml:space="preserve">, which is useful background for interpreting the modern seasons. The final model below pools all years from 2010 through 2026 rather than estimating separate pre-reform and post-reform slopes, but it still uses the correct pre- and post-reform lottery odds when building the team-specific incentive variable.</w:t>
      </w:r>
    </w:p>
    <w:bookmarkEnd w:id="23"/>
    <w:bookmarkStart w:id="27" w:name="dataset"/>
    <w:p>
      <w:pPr>
        <w:pStyle w:val="Heading2"/>
      </w:pPr>
      <w:r>
        <w:t xml:space="preserve">Dataset</w:t>
      </w:r>
    </w:p>
    <w:p>
      <w:pPr>
        <w:pStyle w:val="FirstParagraph"/>
      </w:pPr>
      <w:r>
        <w:t xml:space="preserve">We use two main source families. First, NBA game logs come from the</w:t>
      </w:r>
      <w:r>
        <w:t xml:space="preserve"> </w:t>
      </w:r>
      <w:hyperlink r:id="rId24">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5">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avg_rating</w:t>
      </w:r>
      <w:r>
        <w:t xml:space="preserve">, the average rating of the top 35 prospects in that draft class. We also keep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first-pick odds.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w:t>
      </w:r>
    </w:p>
    <w:p>
      <w:pPr>
        <w:pStyle w:val="BodyText"/>
      </w:pPr>
      <w:r>
        <w:t xml:space="preserve">The lottery-position adjustment uses published NBA lottery odds. The pre-reform odds give the worst team a 25.0% chance at the first pick, the second-worst team 19.9%, and the third-worst team 15.6%. Under the</w:t>
      </w:r>
      <w:r>
        <w:t xml:space="preserve"> </w:t>
      </w:r>
      <w:hyperlink r:id="rId26">
        <w:r>
          <w:rPr>
            <w:rStyle w:val="Hyperlink"/>
          </w:rPr>
          <w:t xml:space="preserve">post-2019 format</w:t>
        </w:r>
      </w:hyperlink>
      <w:r>
        <w:t xml:space="preserve">, the three worst teams each receive a 14.0% first-pick chance, with gradually lower odds for the rest of the lottery. We use standard lottery odds by seed rather than final lottery odds after end-of-season tiebreakers because the model is based on information available around March 1.</w:t>
      </w:r>
    </w:p>
    <w:p>
      <w:pPr>
        <w:pStyle w:val="BodyText"/>
      </w:pPr>
      <w:r>
        <w:t xml:space="preserve">Key constructed variables:</w:t>
      </w:r>
    </w:p>
    <w:p>
      <w:pPr>
        <w:pStyle w:val="Compact"/>
        <w:numPr>
          <w:ilvl w:val="0"/>
          <w:numId w:val="1001"/>
        </w:numPr>
      </w:pPr>
      <w:r>
        <w:rPr>
          <w:rStyle w:val="VerbatimChar"/>
        </w:rPr>
        <w:t xml:space="preserve">pre_win_pct</w:t>
      </w:r>
      <w:r>
        <w:t xml:space="preserve">: team win percentage before March 1.</w:t>
      </w:r>
    </w:p>
    <w:p>
      <w:pPr>
        <w:pStyle w:val="Compact"/>
        <w:numPr>
          <w:ilvl w:val="0"/>
          <w:numId w:val="1001"/>
        </w:numPr>
      </w:pPr>
      <w:r>
        <w:rPr>
          <w:rStyle w:val="VerbatimChar"/>
        </w:rPr>
        <w:t xml:space="preserve">late_win_pct</w:t>
      </w:r>
      <w:r>
        <w:t xml:space="preserve">: team win percentage on or after March 1.</w:t>
      </w:r>
    </w:p>
    <w:p>
      <w:pPr>
        <w:pStyle w:val="Compact"/>
        <w:numPr>
          <w:ilvl w:val="0"/>
          <w:numId w:val="1001"/>
        </w:numPr>
      </w:pPr>
      <w:r>
        <w:rPr>
          <w:rStyle w:val="VerbatimChar"/>
        </w:rPr>
        <w:t xml:space="preserve">games_back_cutline</w:t>
      </w:r>
      <w:r>
        <w:t xml:space="preserve">: games behind the postseason/play-in cutoff entering March. For seasons before the play-in era, the cutoff is the 8th seed. For seasons beginning in 2021, the cutoff is the 10th seed.</w:t>
      </w:r>
    </w:p>
    <w:p>
      <w:pPr>
        <w:pStyle w:val="Compact"/>
        <w:numPr>
          <w:ilvl w:val="0"/>
          <w:numId w:val="1001"/>
        </w:numPr>
      </w:pPr>
      <w:r>
        <w:rPr>
          <w:rStyle w:val="VerbatimChar"/>
        </w:rPr>
        <w:t xml:space="preserve">likely_lottery_candidate</w:t>
      </w:r>
      <w:r>
        <w:t xml:space="preserve">: a team outside the relevant postseason cutoff that was either at least 3 games behind the cutoff or below a .400 pre-March win percentage.</w:t>
      </w:r>
    </w:p>
    <w:p>
      <w:pPr>
        <w:pStyle w:val="Compact"/>
        <w:numPr>
          <w:ilvl w:val="0"/>
          <w:numId w:val="1001"/>
        </w:numPr>
      </w:pPr>
      <w:r>
        <w:rPr>
          <w:rStyle w:val="VerbatimChar"/>
        </w:rPr>
        <w:t xml:space="preserve">lottery_seed_march</w:t>
      </w:r>
      <w:r>
        <w:t xml:space="preserve">: an estimated lottery position entering March, based on league-wide pre-March record. The worst pre-March record is seed 1, the second-worst is seed 2, and so on through the 14-team lottery.</w:t>
      </w:r>
    </w:p>
    <w:p>
      <w:pPr>
        <w:pStyle w:val="Compact"/>
        <w:numPr>
          <w:ilvl w:val="0"/>
          <w:numId w:val="1001"/>
        </w:numPr>
      </w:pPr>
      <w:r>
        <w:rPr>
          <w:rStyle w:val="VerbatimChar"/>
        </w:rPr>
        <w:t xml:space="preserve">marginal_lottery_incentive</w:t>
      </w:r>
      <w:r>
        <w:t xml:space="preserve">: a team-specific draft incentive equal to draft class rating multiplied by the increase in first-pick odds from moving one lottery slot worse. For example, if moving from the fifth-worst to fourth-worst record raises first-pick odds, that gain is larger in a stronger draft class.</w:t>
      </w:r>
    </w:p>
    <w:p>
      <w:pPr>
        <w:pStyle w:val="Compact"/>
        <w:numPr>
          <w:ilvl w:val="0"/>
          <w:numId w:val="1001"/>
        </w:numPr>
      </w:pPr>
      <w:r>
        <w:rPr>
          <w:rStyle w:val="VerbatimChar"/>
        </w:rPr>
        <w:t xml:space="preserve">tanking_index</w:t>
      </w:r>
      <w:r>
        <w:t xml:space="preserve">: standardized late-season win shortfall. Positive values mean a team won fewer March-onward games than expected from its pre-March record.</w:t>
      </w:r>
    </w:p>
    <w:p>
      <w:pPr>
        <w:pStyle w:val="Compact"/>
        <w:numPr>
          <w:ilvl w:val="0"/>
          <w:numId w:val="1001"/>
        </w:numPr>
      </w:pPr>
      <w:r>
        <w:rPr>
          <w:rStyle w:val="VerbatimChar"/>
        </w:rPr>
        <w:t xml:space="preserve">tanking_proxy</w:t>
      </w:r>
      <w:r>
        <w:t xml:space="preserve">: a conservative yes/no flag for likely lottery candidates whose late win percentage dropped by at least 10 percentage points and whose late wins were unusually low under a binomial expectation.</w:t>
      </w:r>
    </w:p>
    <w:p>
      <w:pPr>
        <w:pStyle w:val="Compact"/>
        <w:numPr>
          <w:ilvl w:val="0"/>
          <w:numId w:val="1001"/>
        </w:numPr>
      </w:pPr>
      <w:r>
        <w:rPr>
          <w:rStyle w:val="VerbatimChar"/>
        </w:rPr>
        <w:t xml:space="preserve">late_collapse_score</w:t>
      </w:r>
      <w:r>
        <w:t xml:space="preserve">: a positive-only version of the late-collapse signal. It equals the positive part of</w:t>
      </w:r>
      <w:r>
        <w:t xml:space="preserve"> </w:t>
      </w:r>
      <w:r>
        <w:rPr>
          <w:rStyle w:val="VerbatimChar"/>
        </w:rPr>
        <w:t xml:space="preserve">tanking_index</w:t>
      </w:r>
      <w:r>
        <w:t xml:space="preserve"> </w:t>
      </w:r>
      <w:r>
        <w:t xml:space="preserve">for likely lottery candidates. We use it descriptively, but the final regression uses the full</w:t>
      </w:r>
      <w:r>
        <w:t xml:space="preserve"> </w:t>
      </w:r>
      <w:r>
        <w:rPr>
          <w:rStyle w:val="VerbatimChar"/>
        </w:rPr>
        <w:t xml:space="preserve">tanking_index</w:t>
      </w:r>
      <w:r>
        <w:t xml:space="preserve"> </w:t>
      </w:r>
      <w:r>
        <w:t xml:space="preserve">because the full index keeps overperformance as negative evidence instead of turning it into zero.</w:t>
      </w:r>
    </w:p>
    <w:p>
      <w:pPr>
        <w:pStyle w:val="Compact"/>
        <w:numPr>
          <w:ilvl w:val="0"/>
          <w:numId w:val="1001"/>
        </w:numPr>
      </w:pPr>
      <w:r>
        <w:rPr>
          <w:rStyle w:val="VerbatimChar"/>
        </w:rPr>
        <w:t xml:space="preserve">sustained_low_score</w:t>
      </w:r>
      <w:r>
        <w:t xml:space="preserve">: a continuous sustained-tanking signal measuring how far below .500 a likely lottery team’s late-season win percentage was. This captures teams that stayed very weak late in the season, even if they did not collapse relative to their already-low pre-March baseline.</w:t>
      </w:r>
    </w:p>
    <w:p>
      <w:pPr>
        <w:pStyle w:val="Compact"/>
        <w:numPr>
          <w:ilvl w:val="0"/>
          <w:numId w:val="1001"/>
        </w:numPr>
      </w:pPr>
      <w:r>
        <w:rPr>
          <w:rStyle w:val="VerbatimChar"/>
        </w:rPr>
        <w:t xml:space="preserve">team_fit_score</w:t>
      </w:r>
      <w:r>
        <w:t xml:space="preserve">: an exploratory measure of whether a team’s pre-March positional weaknesses line up with the strongest positions in that draft class. We group both teams and prospects into guards, wings, and bigs. A team gets a higher fit score when its weakest pre-March position groups match the position groups where the draft class has more high-rated prospects.</w:t>
      </w:r>
    </w:p>
    <w:p>
      <w:pPr>
        <w:pStyle w:val="Compact"/>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w:t>
      </w:r>
    </w:p>
    <w:bookmarkEnd w:id="27"/>
    <w:bookmarkStart w:id="43" w:name="exploratory-analysis"/>
    <w:p>
      <w:pPr>
        <w:pStyle w:val="Heading2"/>
      </w:pPr>
      <w:r>
        <w:t xml:space="preserve">Exploratory Analysis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1440"/>
        <w:gridCol w:w="1560"/>
        <w:gridCol w:w="240"/>
        <w:gridCol w:w="720"/>
        <w:gridCol w:w="780"/>
        <w:gridCol w:w="840"/>
        <w:gridCol w:w="1140"/>
        <w:gridCol w:w="1200"/>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c>
          <w:tcPr/>
          <w:p>
            <w:pPr>
              <w:pStyle w:val="Compact"/>
              <w:jc w:val="right"/>
            </w:pPr>
            <w:r>
              <w:t xml:space="preserve">Late-collapse rate</w:t>
            </w:r>
          </w:p>
        </w:tc>
        <w:tc>
          <w:tcPr/>
          <w:p>
            <w:pPr>
              <w:pStyle w:val="Compact"/>
              <w:jc w:val="right"/>
            </w:pPr>
            <w:r>
              <w:t xml:space="preserve">Low-win signal rate</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c>
          <w:tcPr/>
          <w:p>
            <w:pPr>
              <w:pStyle w:val="Compact"/>
              <w:jc w:val="right"/>
            </w:pPr>
            <w:r>
              <w:t xml:space="preserve">0.137</w:t>
            </w:r>
          </w:p>
        </w:tc>
        <w:tc>
          <w:tcPr/>
          <w:p>
            <w:pPr>
              <w:pStyle w:val="Compact"/>
              <w:jc w:val="right"/>
            </w:pPr>
            <w:r>
              <w:t xml:space="preserve">0.877</w:t>
            </w:r>
          </w:p>
        </w:tc>
      </w:tr>
      <w:tr>
        <w:tc>
          <w:tcPr/>
          <w:p>
            <w:pPr>
              <w:pStyle w:val="Compact"/>
              <w:jc w:val="left"/>
            </w:pPr>
            <w:r>
              <w:t xml:space="preserve">Post-reform (2019-2026)</w:t>
            </w: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c>
          <w:tcPr/>
          <w:p>
            <w:pPr>
              <w:pStyle w:val="Compact"/>
              <w:jc w:val="right"/>
            </w:pPr>
            <w:r>
              <w:t xml:space="preserve">0.108</w:t>
            </w:r>
          </w:p>
        </w:tc>
        <w:tc>
          <w:tcPr/>
          <w:p>
            <w:pPr>
              <w:pStyle w:val="Compact"/>
              <w:jc w:val="right"/>
            </w:pPr>
            <w:r>
              <w:t xml:space="preserve">0.892</w:t>
            </w:r>
          </w:p>
        </w:tc>
      </w:tr>
      <w:tr>
        <w:tc>
          <w:tcPr/>
          <w:p>
            <w:pPr>
              <w:pStyle w:val="Compact"/>
              <w:jc w:val="left"/>
            </w:pPr>
            <w:r>
              <w:t xml:space="preserve">Pre-reform (2010-2018)</w:t>
            </w: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c>
          <w:tcPr/>
          <w:p>
            <w:pPr>
              <w:pStyle w:val="Compact"/>
              <w:jc w:val="right"/>
            </w:pPr>
            <w:r>
              <w:t xml:space="preserve">0.000</w:t>
            </w:r>
          </w:p>
        </w:tc>
        <w:tc>
          <w:tcPr/>
          <w:p>
            <w:pPr>
              <w:pStyle w:val="Compact"/>
              <w:jc w:val="right"/>
            </w:pPr>
            <w:r>
              <w:t xml:space="preserve">0.000</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conservative late-collapse proxy appears in only 21 of 175 likely-candidate seasons, so our binary proxy is intentionally strict. The sustained low-win signal is much more common because many likely lottery teams are bad before March and remain bad afterward.</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orange points are sustained low-win signal seasons, and blue points are all other team-seasons. Labels identify the largest late-collapse proxy seasons." title="" id="29" name="Picture"/>
            <a:graphic>
              <a:graphicData uri="http://schemas.openxmlformats.org/drawingml/2006/picture">
                <pic:pic>
                  <pic:nvPicPr>
                    <pic:cNvPr descr="final-report_files/figure-docx/visual-expected-vs-actual-1.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orange points are sustained low-win signal seasons, and blue points are all other team-seasons. Labels identify the largest late-collapse proxy seasons.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red points are rarer and more extreme: they are teams that were not only bad, but substantially worse late in the season than their earlier record would predict. The orange points address an important weakness of the original binary proxy: some teams do not sharply collapse because they were already near the bottom, but their continued low-win performance may still be relevant to tanking incentives.</w:t>
      </w:r>
    </w:p>
    <w:p>
      <w:pPr>
        <w:pStyle w:val="CaptionedFigure"/>
      </w:pPr>
      <w:r>
        <w:drawing>
          <wp:inline>
            <wp:extent cx="5334000" cy="3333750"/>
            <wp:effectExtent b="0" l="0" r="0" t="0"/>
            <wp:docPr descr="Figure 2. Draft strength and average late-season underperformance among likely lottery candidates. Each point is one NBA season. The x-axis is the CraftedNBA average draft class rating, the y-axis is the mean tanking index among likely lottery candidates, and point size is the number of conservative late-collapse proxy team-seasons in that year. Fitted lines are descriptive and are shown separately for the pre-reform and post-reform lottery eras." title="" id="32" name="Picture"/>
            <a:graphic>
              <a:graphicData uri="http://schemas.openxmlformats.org/drawingml/2006/picture">
                <pic:pic>
                  <pic:nvPicPr>
                    <pic:cNvPr descr="final-report_files/figure-docx/visual-draft-strength-1.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Draft strength and average late-season underperformance among likely lottery candidates. Each point is one NBA season. The x-axis is the CraftedNBA average draft class rating, the y-axis is the mean tanking index among likely lottery candidates, and point size is the number of conservative late-collapse proxy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draft strength and late-season underperformance among likely lottery candidates. Each point is one likely lottery team-season. The x-axis is jittered slightly because every team in the same season has the same draft class rating. Color shows season, shape shows lottery era, and the black diamonds show the season-level averages from Figure 2." title="" id="35" name="Picture"/>
            <a:graphic>
              <a:graphicData uri="http://schemas.openxmlformats.org/drawingml/2006/picture">
                <pic:pic>
                  <pic:nvPicPr>
                    <pic:cNvPr descr="final-report_files/figure-docx/visual-team-season-observations-1.png" id="36" name="Picture"/>
                    <pic:cNvPicPr>
                      <a:picLocks noChangeArrowheads="1" noChangeAspect="1"/>
                    </pic:cNvPicPr>
                  </pic:nvPicPr>
                  <pic:blipFill>
                    <a:blip r:embed="rId34"/>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draft strength and late-season underperformance among likely lottery candidates. Each point is one likely lottery team-season. The x-axis is jittered slightly because every team in the same season has the same draft class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draft rating, but their tanking-index values differ widely.</w:t>
      </w:r>
    </w:p>
    <w:p>
      <w:pPr>
        <w:pStyle w:val="CaptionedFigure"/>
      </w:pPr>
      <w:r>
        <w:drawing>
          <wp:inline>
            <wp:extent cx="5334000" cy="3597671"/>
            <wp:effectExtent b="0" l="0" r="0" t="0"/>
            <wp:docPr descr="Figure 4. Draft strength compared with two tanking-signal outcomes among likely lottery candidates. The tanking-index panel measures standardized March-onward win shortfall, where positive values mean teams won fewer games than expected. The sustained-low panel measures whether likely lottery teams remained far below .500 after March. Each point is one season, and fitted lines are descriptive." title="" id="38" name="Picture"/>
            <a:graphic>
              <a:graphicData uri="http://schemas.openxmlformats.org/drawingml/2006/picture">
                <pic:pic>
                  <pic:nvPicPr>
                    <pic:cNvPr descr="final-report_files/figure-docx/visual-two-signals-1.png" id="39" name="Picture"/>
                    <pic:cNvPicPr>
                      <a:picLocks noChangeArrowheads="1" noChangeAspect="1"/>
                    </pic:cNvPicPr>
                  </pic:nvPicPr>
                  <pic:blipFill>
                    <a:blip r:embed="rId37"/>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Draft strength compared with two tanking-signal outcomes among likely lottery candidates. The tanking-index panel measures standardized March-onward win shortfall, where positive values mean teams won fewer games than expected. The sustained-low panel measures whether likely lottery teams remained far below .500 after March. Each point is one season, and fitted lines are descriptive.</w:t>
      </w:r>
    </w:p>
    <w:p>
      <w:pPr>
        <w:pStyle w:val="BodyText"/>
      </w:pPr>
      <w:r>
        <w:t xml:space="preserve">Figure 4 helps explain why Figure 2 can look counterintuitive. The tanking-index outcome compares late-season wins to what we would expect from the team’s own pre-March record, so teams that overperform late count as negative evidence rather than being ignored. The sustained-low outcome captures a second pattern by asking whether likely lottery teams remained far below .500 late in the season. The evidence is still limited, but the two-signal version better matches the basketball story than a single hard cutoff.</w:t>
      </w:r>
    </w:p>
    <w:p>
      <w:pPr>
        <w:pStyle w:val="CaptionedFigure"/>
      </w:pPr>
      <w:r>
        <w:drawing>
          <wp:inline>
            <wp:extent cx="5334000" cy="3597671"/>
            <wp:effectExtent b="0" l="0" r="0" t="0"/>
            <wp:docPr descr="Figure 5. Position-adjusted draft incentive and tanking signals among likely lottery candidates. Each point is one team-season. The x-axis combines draft class rating with the marginal first-pick odds gained by moving one lottery slot worse, so teams in the same draft year can have different incentive values depending on their lottery position entering March." title="" id="41" name="Picture"/>
            <a:graphic>
              <a:graphicData uri="http://schemas.openxmlformats.org/drawingml/2006/picture">
                <pic:pic>
                  <pic:nvPicPr>
                    <pic:cNvPr descr="final-report_files/figure-docx/visual-position-adjusted-incentive-1.png" id="42" name="Picture"/>
                    <pic:cNvPicPr>
                      <a:picLocks noChangeArrowheads="1" noChangeAspect="1"/>
                    </pic:cNvPicPr>
                  </pic:nvPicPr>
                  <pic:blipFill>
                    <a:blip r:embed="rId40"/>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signals among likely lottery candidates. Each point is one team-season. The x-axis combines draft class rating with the marginal first-pick odds gained by moving one lottery slot worse, so teams in the same draft year can have different incentive values depending on their lottery position entering March.</w:t>
      </w:r>
    </w:p>
    <w:p>
      <w:pPr>
        <w:pStyle w:val="BodyText"/>
      </w:pPr>
      <w:r>
        <w:t xml:space="preserve">Figure 5 directly addresses the concern that a draft class has the same rating for every team in the same year. The raw draft rating is still season-level, but the position-adjusted incentive varies by team because different lottery positions have different first-pick odds and different marginal gains from moving down in the standings. The relationship is noisier than the season-average figures, which is expected: the outcome is still affected by injuries, trades, resting, and random late-season variation. However, this figure is closer to the actual mechanism we care about, because it asks whether teams with more to gain from a stronger draft class show larger losing signals.</w:t>
      </w:r>
    </w:p>
    <w:bookmarkEnd w:id="43"/>
    <w:bookmarkStart w:id="44" w:name="modeling-results"/>
    <w:p>
      <w:pPr>
        <w:pStyle w:val="Heading2"/>
      </w:pPr>
      <w:r>
        <w:t xml:space="preserve">Modeling Results</w:t>
      </w:r>
    </w:p>
    <w:p>
      <w:pPr>
        <w:pStyle w:val="FirstParagraph"/>
      </w:pPr>
      <w:r>
        <w:t xml:space="preserve">Our models are limited to likely lottery candidates because those are the teams with the clearest incentive to lose late-season games. To avoid making the results depend on an arbitrary 10 percentage point cutoff, the primary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 We also keep</w:t>
      </w:r>
      <w:r>
        <w:t xml:space="preserve"> </w:t>
      </w:r>
      <w:r>
        <w:rPr>
          <w:rStyle w:val="VerbatimChar"/>
        </w:rPr>
        <w:t xml:space="preserve">sustained_low_score</w:t>
      </w:r>
      <w:r>
        <w:t xml:space="preserve"> </w:t>
      </w:r>
      <w:r>
        <w:t xml:space="preserve">as a secondary outcome for teams that stayed far below .500 after March even if they were already weak before March.</w:t>
      </w:r>
    </w:p>
    <w:p>
      <w:pPr>
        <w:pStyle w:val="BodyText"/>
      </w:pPr>
      <w:r>
        <w:t xml:space="preserve">In the final models, the key coefficient is the standardized position-adjusted draft incentive. It asks whether teams with larger marginal lottery rewards in stronger draft classes have larger tanking signals after controlling for pre-March team strength and separate indicators for the disrupted 2012, 2020, and 2021 seasons.</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Draft rating</w:t>
            </w:r>
          </w:p>
        </w:tc>
        <w:tc>
          <w:tcPr/>
          <w:p>
            <w:pPr>
              <w:pStyle w:val="Compact"/>
              <w:jc w:val="right"/>
            </w:pPr>
            <w:r>
              <w:t xml:space="preserve">-0.129</w:t>
            </w:r>
          </w:p>
        </w:tc>
        <w:tc>
          <w:tcPr/>
          <w:p>
            <w:pPr>
              <w:pStyle w:val="Compact"/>
              <w:jc w:val="right"/>
            </w:pPr>
            <w:r>
              <w:t xml:space="preserve">0.678</w:t>
            </w:r>
          </w:p>
        </w:tc>
      </w:tr>
      <w:tr>
        <w:tc>
          <w:tcPr/>
          <w:p>
            <w:pPr>
              <w:pStyle w:val="Compact"/>
              <w:jc w:val="left"/>
            </w:pPr>
            <w:r>
              <w:t xml:space="preserve">Tanking index</w:t>
            </w:r>
          </w:p>
        </w:tc>
        <w:tc>
          <w:tcPr/>
          <w:p>
            <w:pPr>
              <w:pStyle w:val="Compact"/>
              <w:jc w:val="left"/>
            </w:pPr>
            <w:r>
              <w:t xml:space="preserve">Post-2019 reform</w:t>
            </w:r>
          </w:p>
        </w:tc>
        <w:tc>
          <w:tcPr/>
          <w:p>
            <w:pPr>
              <w:pStyle w:val="Compact"/>
              <w:jc w:val="right"/>
            </w:pPr>
            <w:r>
              <w:t xml:space="preserve">0.090</w:t>
            </w:r>
          </w:p>
        </w:tc>
        <w:tc>
          <w:tcPr/>
          <w:p>
            <w:pPr>
              <w:pStyle w:val="Compact"/>
              <w:jc w:val="right"/>
            </w:pPr>
            <w:r>
              <w:t xml:space="preserve">0.690</w:t>
            </w:r>
          </w:p>
        </w:tc>
      </w:tr>
      <w:tr>
        <w:tc>
          <w:tcPr/>
          <w:p>
            <w:pPr>
              <w:pStyle w:val="Compact"/>
              <w:jc w:val="left"/>
            </w:pPr>
            <w:r>
              <w:t xml:space="preserve">Tanking index</w:t>
            </w:r>
          </w:p>
        </w:tc>
        <w:tc>
          <w:tcPr/>
          <w:p>
            <w:pPr>
              <w:pStyle w:val="Compact"/>
              <w:jc w:val="left"/>
            </w:pPr>
            <w:r>
              <w:t xml:space="preserve">Draft rating x post-2019</w:t>
            </w:r>
          </w:p>
        </w:tc>
        <w:tc>
          <w:tcPr/>
          <w:p>
            <w:pPr>
              <w:pStyle w:val="Compact"/>
              <w:jc w:val="right"/>
            </w:pPr>
            <w:r>
              <w:t xml:space="preserve">0.365</w:t>
            </w:r>
          </w:p>
        </w:tc>
        <w:tc>
          <w:tcPr/>
          <w:p>
            <w:pPr>
              <w:pStyle w:val="Compact"/>
              <w:jc w:val="right"/>
            </w:pPr>
            <w:r>
              <w:t xml:space="preserve">0.269</w:t>
            </w:r>
          </w:p>
        </w:tc>
      </w:tr>
      <w:tr>
        <w:tc>
          <w:tcPr/>
          <w:p>
            <w:pPr>
              <w:pStyle w:val="Compact"/>
              <w:jc w:val="left"/>
            </w:pPr>
            <w:r>
              <w:t xml:space="preserve">Sustained-low</w:t>
            </w:r>
          </w:p>
        </w:tc>
        <w:tc>
          <w:tcPr/>
          <w:p>
            <w:pPr>
              <w:pStyle w:val="Compact"/>
              <w:jc w:val="left"/>
            </w:pPr>
            <w:r>
              <w:t xml:space="preserve">Draft rating</w:t>
            </w:r>
          </w:p>
        </w:tc>
        <w:tc>
          <w:tcPr/>
          <w:p>
            <w:pPr>
              <w:pStyle w:val="Compact"/>
              <w:jc w:val="right"/>
            </w:pPr>
            <w:r>
              <w:t xml:space="preserve">-0.008</w:t>
            </w:r>
          </w:p>
        </w:tc>
        <w:tc>
          <w:tcPr/>
          <w:p>
            <w:pPr>
              <w:pStyle w:val="Compact"/>
              <w:jc w:val="right"/>
            </w:pPr>
            <w:r>
              <w:t xml:space="preserve">0.759</w:t>
            </w:r>
          </w:p>
        </w:tc>
      </w:tr>
      <w:tr>
        <w:tc>
          <w:tcPr/>
          <w:p>
            <w:pPr>
              <w:pStyle w:val="Compact"/>
              <w:jc w:val="left"/>
            </w:pPr>
            <w:r>
              <w:t xml:space="preserve">Sustained-low</w:t>
            </w:r>
          </w:p>
        </w:tc>
        <w:tc>
          <w:tcPr/>
          <w:p>
            <w:pPr>
              <w:pStyle w:val="Compact"/>
              <w:jc w:val="left"/>
            </w:pPr>
            <w:r>
              <w:t xml:space="preserve">Post-2019 reform</w:t>
            </w:r>
          </w:p>
        </w:tc>
        <w:tc>
          <w:tcPr/>
          <w:p>
            <w:pPr>
              <w:pStyle w:val="Compact"/>
              <w:jc w:val="right"/>
            </w:pPr>
            <w:r>
              <w:t xml:space="preserve">0.010</w:t>
            </w:r>
          </w:p>
        </w:tc>
        <w:tc>
          <w:tcPr/>
          <w:p>
            <w:pPr>
              <w:pStyle w:val="Compact"/>
              <w:jc w:val="right"/>
            </w:pPr>
            <w:r>
              <w:t xml:space="preserve">0.590</w:t>
            </w:r>
          </w:p>
        </w:tc>
      </w:tr>
      <w:tr>
        <w:tc>
          <w:tcPr/>
          <w:p>
            <w:pPr>
              <w:pStyle w:val="Compact"/>
              <w:jc w:val="left"/>
            </w:pPr>
            <w:r>
              <w:t xml:space="preserve">Sustained-low</w:t>
            </w:r>
          </w:p>
        </w:tc>
        <w:tc>
          <w:tcPr/>
          <w:p>
            <w:pPr>
              <w:pStyle w:val="Compact"/>
              <w:jc w:val="left"/>
            </w:pPr>
            <w:r>
              <w:t xml:space="preserve">Draft rating x post-2019</w:t>
            </w:r>
          </w:p>
        </w:tc>
        <w:tc>
          <w:tcPr/>
          <w:p>
            <w:pPr>
              <w:pStyle w:val="Compact"/>
              <w:jc w:val="right"/>
            </w:pPr>
            <w:r>
              <w:t xml:space="preserve">0.028</w:t>
            </w:r>
          </w:p>
        </w:tc>
        <w:tc>
          <w:tcPr/>
          <w:p>
            <w:pPr>
              <w:pStyle w:val="Compact"/>
              <w:jc w:val="right"/>
            </w:pPr>
            <w:r>
              <w:t xml:space="preserve">0.324</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to benefit from losing additional games.</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the full</w:t>
      </w:r>
      <w:r>
        <w:t xml:space="preserve"> </w:t>
      </w:r>
      <w:r>
        <w:rPr>
          <w:rStyle w:val="VerbatimChar"/>
        </w:rPr>
        <w:t xml:space="preserve">tanking_index</w:t>
      </w:r>
      <w:r>
        <w:t xml:space="preserve"> </w:t>
      </w:r>
      <w:r>
        <w:t xml:space="preserve">to the positive-only late-collapse score. The positive-only score is useful for labeling obvious cases, but it throws away information by setting all late-season overperformance to zero. With the same controls, the positive-only score gives a position-adjusted incentive p-value of 0.27, compared with 0.067 for the full</w:t>
      </w:r>
      <w:r>
        <w:t xml:space="preserve"> </w:t>
      </w:r>
      <w:r>
        <w:rPr>
          <w:rStyle w:val="VerbatimChar"/>
        </w:rPr>
        <w:t xml:space="preserve">tanking_index</w:t>
      </w:r>
      <w:r>
        <w:t xml:space="preserve">. For that reason, the final model uses the full index as the clearer primary outcome.</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931"/>
        <w:gridCol w:w="3283"/>
        <w:gridCol w:w="869"/>
        <w:gridCol w:w="1062"/>
        <w:gridCol w:w="77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0.184</w:t>
            </w:r>
          </w:p>
        </w:tc>
        <w:tc>
          <w:tcPr/>
          <w:p>
            <w:pPr>
              <w:pStyle w:val="Compact"/>
              <w:jc w:val="right"/>
            </w:pPr>
            <w:r>
              <w:t xml:space="preserve">0.100</w:t>
            </w:r>
          </w:p>
        </w:tc>
        <w:tc>
          <w:tcPr/>
          <w:p>
            <w:pPr>
              <w:pStyle w:val="Compact"/>
              <w:jc w:val="right"/>
            </w:pPr>
            <w:r>
              <w:t xml:space="preserve">0.067</w:t>
            </w:r>
          </w:p>
        </w:tc>
      </w:tr>
      <w:tr>
        <w:tc>
          <w:tcPr/>
          <w:p>
            <w:pPr>
              <w:pStyle w:val="Compact"/>
              <w:jc w:val="left"/>
            </w:pPr>
            <w:r>
              <w:t xml:space="preserve">Tanking index</w:t>
            </w:r>
          </w:p>
        </w:tc>
        <w:tc>
          <w:tcPr/>
          <w:p>
            <w:pPr>
              <w:pStyle w:val="Compact"/>
              <w:jc w:val="left"/>
            </w:pPr>
            <w:r>
              <w:t xml:space="preserve">Pre-March win pct</w:t>
            </w:r>
          </w:p>
        </w:tc>
        <w:tc>
          <w:tcPr/>
          <w:p>
            <w:pPr>
              <w:pStyle w:val="Compact"/>
              <w:jc w:val="right"/>
            </w:pPr>
            <w:r>
              <w:t xml:space="preserve">4.984</w:t>
            </w:r>
          </w:p>
        </w:tc>
        <w:tc>
          <w:tcPr/>
          <w:p>
            <w:pPr>
              <w:pStyle w:val="Compact"/>
              <w:jc w:val="right"/>
            </w:pPr>
            <w:r>
              <w:t xml:space="preserve">1.139</w:t>
            </w:r>
          </w:p>
        </w:tc>
        <w:tc>
          <w:tcPr/>
          <w:p>
            <w:pPr>
              <w:pStyle w:val="Compact"/>
              <w:jc w:val="right"/>
            </w:pPr>
            <w:r>
              <w:t xml:space="preserve">0.000</w:t>
            </w:r>
          </w:p>
        </w:tc>
      </w:tr>
      <w:tr>
        <w:tc>
          <w:tcPr/>
          <w:p>
            <w:pPr>
              <w:pStyle w:val="Compact"/>
              <w:jc w:val="left"/>
            </w:pPr>
            <w:r>
              <w:t xml:space="preserve">Tanking index</w:t>
            </w:r>
          </w:p>
        </w:tc>
        <w:tc>
          <w:tcPr/>
          <w:p>
            <w:pPr>
              <w:pStyle w:val="Compact"/>
              <w:jc w:val="left"/>
            </w:pPr>
            <w:r>
              <w:t xml:space="preserve">2012 season</w:t>
            </w:r>
          </w:p>
        </w:tc>
        <w:tc>
          <w:tcPr/>
          <w:p>
            <w:pPr>
              <w:pStyle w:val="Compact"/>
              <w:jc w:val="right"/>
            </w:pPr>
            <w:r>
              <w:t xml:space="preserve">-0.749</w:t>
            </w:r>
          </w:p>
        </w:tc>
        <w:tc>
          <w:tcPr/>
          <w:p>
            <w:pPr>
              <w:pStyle w:val="Compact"/>
              <w:jc w:val="right"/>
            </w:pPr>
            <w:r>
              <w:t xml:space="preserve">0.402</w:t>
            </w:r>
          </w:p>
        </w:tc>
        <w:tc>
          <w:tcPr/>
          <w:p>
            <w:pPr>
              <w:pStyle w:val="Compact"/>
              <w:jc w:val="right"/>
            </w:pPr>
            <w:r>
              <w:t xml:space="preserve">0.064</w:t>
            </w:r>
          </w:p>
        </w:tc>
      </w:tr>
      <w:tr>
        <w:tc>
          <w:tcPr/>
          <w:p>
            <w:pPr>
              <w:pStyle w:val="Compact"/>
              <w:jc w:val="left"/>
            </w:pPr>
            <w:r>
              <w:t xml:space="preserve">Tanking index</w:t>
            </w:r>
          </w:p>
        </w:tc>
        <w:tc>
          <w:tcPr/>
          <w:p>
            <w:pPr>
              <w:pStyle w:val="Compact"/>
              <w:jc w:val="left"/>
            </w:pPr>
            <w:r>
              <w:t xml:space="preserve">2020 season</w:t>
            </w:r>
          </w:p>
        </w:tc>
        <w:tc>
          <w:tcPr/>
          <w:p>
            <w:pPr>
              <w:pStyle w:val="Compact"/>
              <w:jc w:val="right"/>
            </w:pPr>
            <w:r>
              <w:t xml:space="preserve">-0.587</w:t>
            </w:r>
          </w:p>
        </w:tc>
        <w:tc>
          <w:tcPr/>
          <w:p>
            <w:pPr>
              <w:pStyle w:val="Compact"/>
              <w:jc w:val="right"/>
            </w:pPr>
            <w:r>
              <w:t xml:space="preserve">0.374</w:t>
            </w:r>
          </w:p>
        </w:tc>
        <w:tc>
          <w:tcPr/>
          <w:p>
            <w:pPr>
              <w:pStyle w:val="Compact"/>
              <w:jc w:val="right"/>
            </w:pPr>
            <w:r>
              <w:t xml:space="preserve">0.118</w:t>
            </w:r>
          </w:p>
        </w:tc>
      </w:tr>
      <w:tr>
        <w:tc>
          <w:tcPr/>
          <w:p>
            <w:pPr>
              <w:pStyle w:val="Compact"/>
              <w:jc w:val="left"/>
            </w:pPr>
            <w:r>
              <w:t xml:space="preserve">Tanking index</w:t>
            </w:r>
          </w:p>
        </w:tc>
        <w:tc>
          <w:tcPr/>
          <w:p>
            <w:pPr>
              <w:pStyle w:val="Compact"/>
              <w:jc w:val="left"/>
            </w:pPr>
            <w:r>
              <w:t xml:space="preserve">2021 season</w:t>
            </w:r>
          </w:p>
        </w:tc>
        <w:tc>
          <w:tcPr/>
          <w:p>
            <w:pPr>
              <w:pStyle w:val="Compact"/>
              <w:jc w:val="right"/>
            </w:pPr>
            <w:r>
              <w:t xml:space="preserve">0.580</w:t>
            </w:r>
          </w:p>
        </w:tc>
        <w:tc>
          <w:tcPr/>
          <w:p>
            <w:pPr>
              <w:pStyle w:val="Compact"/>
              <w:jc w:val="right"/>
            </w:pPr>
            <w:r>
              <w:t xml:space="preserve">0.498</w:t>
            </w:r>
          </w:p>
        </w:tc>
        <w:tc>
          <w:tcPr/>
          <w:p>
            <w:pPr>
              <w:pStyle w:val="Compact"/>
              <w:jc w:val="right"/>
            </w:pPr>
            <w:r>
              <w:t xml:space="preserve">0.246</w:t>
            </w:r>
          </w:p>
        </w:tc>
      </w:tr>
      <w:tr>
        <w:tc>
          <w:tcPr/>
          <w:p>
            <w:pPr>
              <w:pStyle w:val="Compact"/>
              <w:jc w:val="left"/>
            </w:pPr>
            <w:r>
              <w:t xml:space="preserve">Sustained-low score</w:t>
            </w:r>
          </w:p>
        </w:tc>
        <w:tc>
          <w:tcPr/>
          <w:p>
            <w:pPr>
              <w:pStyle w:val="Compact"/>
              <w:jc w:val="left"/>
            </w:pPr>
            <w:r>
              <w:t xml:space="preserve">Position-adjusted draft incentive</w:t>
            </w:r>
          </w:p>
        </w:tc>
        <w:tc>
          <w:tcPr/>
          <w:p>
            <w:pPr>
              <w:pStyle w:val="Compact"/>
              <w:jc w:val="right"/>
            </w:pPr>
            <w:r>
              <w:t xml:space="preserve">0.015</w:t>
            </w:r>
          </w:p>
        </w:tc>
        <w:tc>
          <w:tcPr/>
          <w:p>
            <w:pPr>
              <w:pStyle w:val="Compact"/>
              <w:jc w:val="right"/>
            </w:pPr>
            <w:r>
              <w:t xml:space="preserve">0.009</w:t>
            </w:r>
          </w:p>
        </w:tc>
        <w:tc>
          <w:tcPr/>
          <w:p>
            <w:pPr>
              <w:pStyle w:val="Compact"/>
              <w:jc w:val="right"/>
            </w:pPr>
            <w:r>
              <w:t xml:space="preserve">0.089</w:t>
            </w:r>
          </w:p>
        </w:tc>
      </w:tr>
      <w:tr>
        <w:tc>
          <w:tcPr/>
          <w:p>
            <w:pPr>
              <w:pStyle w:val="Compact"/>
              <w:jc w:val="left"/>
            </w:pPr>
            <w:r>
              <w:t xml:space="preserve">Sustained-low score</w:t>
            </w:r>
          </w:p>
        </w:tc>
        <w:tc>
          <w:tcPr/>
          <w:p>
            <w:pPr>
              <w:pStyle w:val="Compact"/>
              <w:jc w:val="left"/>
            </w:pPr>
            <w:r>
              <w:t xml:space="preserve">Pre-March win pct</w:t>
            </w:r>
          </w:p>
        </w:tc>
        <w:tc>
          <w:tcPr/>
          <w:p>
            <w:pPr>
              <w:pStyle w:val="Compact"/>
              <w:jc w:val="right"/>
            </w:pPr>
            <w:r>
              <w:t xml:space="preserve">-0.477</w:t>
            </w:r>
          </w:p>
        </w:tc>
        <w:tc>
          <w:tcPr/>
          <w:p>
            <w:pPr>
              <w:pStyle w:val="Compact"/>
              <w:jc w:val="right"/>
            </w:pPr>
            <w:r>
              <w:t xml:space="preserve">0.097</w:t>
            </w:r>
          </w:p>
        </w:tc>
        <w:tc>
          <w:tcPr/>
          <w:p>
            <w:pPr>
              <w:pStyle w:val="Compact"/>
              <w:jc w:val="right"/>
            </w:pPr>
            <w:r>
              <w:t xml:space="preserve">0.000</w:t>
            </w:r>
          </w:p>
        </w:tc>
      </w:tr>
      <w:tr>
        <w:tc>
          <w:tcPr/>
          <w:p>
            <w:pPr>
              <w:pStyle w:val="Compact"/>
              <w:jc w:val="left"/>
            </w:pPr>
            <w:r>
              <w:t xml:space="preserve">Sustained-low score</w:t>
            </w: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0.034</w:t>
            </w:r>
          </w:p>
        </w:tc>
        <w:tc>
          <w:tcPr/>
          <w:p>
            <w:pPr>
              <w:pStyle w:val="Compact"/>
              <w:jc w:val="right"/>
            </w:pPr>
            <w:r>
              <w:t xml:space="preserve">0.100</w:t>
            </w:r>
          </w:p>
        </w:tc>
      </w:tr>
      <w:tr>
        <w:tc>
          <w:tcPr/>
          <w:p>
            <w:pPr>
              <w:pStyle w:val="Compact"/>
              <w:jc w:val="left"/>
            </w:pPr>
            <w:r>
              <w:t xml:space="preserve">Sustained-low score</w:t>
            </w:r>
          </w:p>
        </w:tc>
        <w:tc>
          <w:tcPr/>
          <w:p>
            <w:pPr>
              <w:pStyle w:val="Compact"/>
              <w:jc w:val="left"/>
            </w:pPr>
            <w:r>
              <w:t xml:space="preserve">2020 season</w:t>
            </w:r>
          </w:p>
        </w:tc>
        <w:tc>
          <w:tcPr/>
          <w:p>
            <w:pPr>
              <w:pStyle w:val="Compact"/>
              <w:jc w:val="right"/>
            </w:pPr>
            <w:r>
              <w:t xml:space="preserve">-0.062</w:t>
            </w:r>
          </w:p>
        </w:tc>
        <w:tc>
          <w:tcPr/>
          <w:p>
            <w:pPr>
              <w:pStyle w:val="Compact"/>
              <w:jc w:val="right"/>
            </w:pPr>
            <w:r>
              <w:t xml:space="preserve">0.032</w:t>
            </w:r>
          </w:p>
        </w:tc>
        <w:tc>
          <w:tcPr/>
          <w:p>
            <w:pPr>
              <w:pStyle w:val="Compact"/>
              <w:jc w:val="right"/>
            </w:pPr>
            <w:r>
              <w:t xml:space="preserve">0.055</w:t>
            </w:r>
          </w:p>
        </w:tc>
      </w:tr>
      <w:tr>
        <w:tc>
          <w:tcPr/>
          <w:p>
            <w:pPr>
              <w:pStyle w:val="Compact"/>
              <w:jc w:val="left"/>
            </w:pPr>
            <w:r>
              <w:t xml:space="preserve">Sustained-low score</w:t>
            </w:r>
          </w:p>
        </w:tc>
        <w:tc>
          <w:tcPr/>
          <w:p>
            <w:pPr>
              <w:pStyle w:val="Compact"/>
              <w:jc w:val="left"/>
            </w:pPr>
            <w:r>
              <w:t xml:space="preserve">2021 season</w:t>
            </w:r>
          </w:p>
        </w:tc>
        <w:tc>
          <w:tcPr/>
          <w:p>
            <w:pPr>
              <w:pStyle w:val="Compact"/>
              <w:jc w:val="right"/>
            </w:pPr>
            <w:r>
              <w:t xml:space="preserve">0.040</w:t>
            </w:r>
          </w:p>
        </w:tc>
        <w:tc>
          <w:tcPr/>
          <w:p>
            <w:pPr>
              <w:pStyle w:val="Compact"/>
              <w:jc w:val="right"/>
            </w:pPr>
            <w:r>
              <w:t xml:space="preserve">0.042</w:t>
            </w:r>
          </w:p>
        </w:tc>
        <w:tc>
          <w:tcPr/>
          <w:p>
            <w:pPr>
              <w:pStyle w:val="Compact"/>
              <w:jc w:val="right"/>
            </w:pPr>
            <w:r>
              <w:t xml:space="preserve">0.350</w:t>
            </w:r>
          </w:p>
        </w:tc>
      </w:tr>
    </w:tbl>
    <w:p>
      <w:pPr>
        <w:pStyle w:val="BodyText"/>
      </w:pPr>
      <w:r>
        <w:t xml:space="preserve">The tanking-index model has a positive position-adjusted incentive coefficient of 0.184, with a p-value of 0.067. This is stronger than the earlier positive-only late-collapse score because the full index keeps all information: underperformance counts positively, while late-season overperformance counts against the tanking-incentive story.</w:t>
      </w:r>
    </w:p>
    <w:p>
      <w:pPr>
        <w:pStyle w:val="BodyText"/>
      </w:pPr>
      <w:r>
        <w:t xml:space="preserve">The sustained-low model tells a somewhat stronger story. Its position-adjusted incentive coefficient is 0.015, with a p-value of 0.089. This is consistent with the idea that lottery incentives may show up more as sustained poor late-season performance than as a sudden collapse after March. Overall, the position-adjusted model supports a cautious conclusion: the relationship is in the expected direction, especially for sustained low performance, but the evidence is suggestive rather than conclusive.</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0.184</w:t>
            </w:r>
          </w:p>
        </w:tc>
        <w:tc>
          <w:tcPr/>
          <w:p>
            <w:pPr>
              <w:pStyle w:val="Compact"/>
              <w:jc w:val="right"/>
            </w:pPr>
            <w:r>
              <w:t xml:space="preserve">0.067</w:t>
            </w:r>
          </w:p>
        </w:tc>
      </w:tr>
      <w:tr>
        <w:tc>
          <w:tcPr/>
          <w:p>
            <w:pPr>
              <w:pStyle w:val="Compact"/>
              <w:jc w:val="left"/>
            </w:pPr>
            <w:r>
              <w:t xml:space="preserve">Tanking index</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0.167</w:t>
            </w:r>
          </w:p>
        </w:tc>
        <w:tc>
          <w:tcPr/>
          <w:p>
            <w:pPr>
              <w:pStyle w:val="Compact"/>
              <w:jc w:val="right"/>
            </w:pPr>
            <w:r>
              <w:t xml:space="preserve">0.093</w:t>
            </w:r>
          </w:p>
        </w:tc>
      </w:tr>
      <w:tr>
        <w:tc>
          <w:tcPr/>
          <w:p>
            <w:pPr>
              <w:pStyle w:val="Compact"/>
              <w:jc w:val="left"/>
            </w:pPr>
            <w:r>
              <w:t xml:space="preserve">Sustained-low</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0.015</w:t>
            </w:r>
          </w:p>
        </w:tc>
        <w:tc>
          <w:tcPr/>
          <w:p>
            <w:pPr>
              <w:pStyle w:val="Compact"/>
              <w:jc w:val="right"/>
            </w:pPr>
            <w:r>
              <w:t xml:space="preserve">0.089</w:t>
            </w:r>
          </w:p>
        </w:tc>
      </w:tr>
      <w:tr>
        <w:tc>
          <w:tcPr/>
          <w:p>
            <w:pPr>
              <w:pStyle w:val="Compact"/>
              <w:jc w:val="left"/>
            </w:pPr>
            <w:r>
              <w:t xml:space="preserve">Sustained-low</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0.014</w:t>
            </w:r>
          </w:p>
        </w:tc>
        <w:tc>
          <w:tcPr/>
          <w:p>
            <w:pPr>
              <w:pStyle w:val="Compact"/>
              <w:jc w:val="right"/>
            </w:pPr>
            <w:r>
              <w:t xml:space="preserve">0.114</w:t>
            </w:r>
          </w:p>
        </w:tc>
      </w:tr>
    </w:tbl>
    <w:p>
      <w:pPr>
        <w:pStyle w:val="BodyText"/>
      </w:pPr>
      <w:r>
        <w:t xml:space="preserve">Excluding 2021 does not reverse the direction of the estimates. In the tanking-index model, the position-adjusted incentive coefficient changes from 0.184 in the all-years model to 0.167 after excluding 2021, with the p-value changing from 0.067 to 0.093. In the sustained-low model, the coefficient changes from 0.015 to 0.014, with the p-value changing from 0.089 to 0.11.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4"/>
    <w:bookmarkStart w:id="48" w:name="team-fit-extension"/>
    <w:p>
      <w:pPr>
        <w:pStyle w:val="Heading2"/>
      </w:pPr>
      <w:r>
        <w:t xml:space="preserve">Team Fit Extension</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in two steps. First, we use pre-March player game logs to measure each team’s production by position group: guard, wing, and big. Position groups that are below the league average in that season receive higher need scores. Second, we use CraftedNBA prospect positions and ratings to measure how much of each draft class’s top-35 prospect value is concentrated in each position group. The final fit score is higher when a team’s weak position groups align with the position groups where that draft has more high-rated prospects.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overall draft rating among likely lottery candidates (0.057). In other words, it is not just another version of draft strength.</w:t>
      </w:r>
    </w:p>
    <w:p>
      <w:pPr>
        <w:pStyle w:val="CaptionedFigure"/>
      </w:pPr>
      <w:r>
        <w:drawing>
          <wp:inline>
            <wp:extent cx="5334000" cy="3597671"/>
            <wp:effectExtent b="0" l="0" r="0" t="0"/>
            <wp:docPr descr="Figure 6. Team fit and tanking signals among likely lottery candidates. Each point is one team-season. The x-axis measures whether a team’s pre-March positional weaknesses align with the strongest prospect position groups in that year’s draft. The panels show the two tanking-signal outcomes, and color shows overall draft class strength." title="" id="46" name="Picture"/>
            <a:graphic>
              <a:graphicData uri="http://schemas.openxmlformats.org/drawingml/2006/picture">
                <pic:pic>
                  <pic:nvPicPr>
                    <pic:cNvPr descr="final-report_files/figure-docx/team-fit-visual-1.png" id="47" name="Picture"/>
                    <pic:cNvPicPr>
                      <a:picLocks noChangeArrowheads="1" noChangeAspect="1"/>
                    </pic:cNvPicPr>
                  </pic:nvPicPr>
                  <pic:blipFill>
                    <a:blip r:embed="rId45"/>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signals among likely lottery candidates. Each point is one team-season. The x-axis measures whether a team’s pre-March positional weaknesses align with the strongest prospect position groups in that year’s draft. The panels show the two tanking-signal outcomes, and color shows overall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Draft rating</w:t>
            </w:r>
          </w:p>
        </w:tc>
        <w:tc>
          <w:tcPr/>
          <w:p>
            <w:pPr>
              <w:pStyle w:val="Compact"/>
              <w:jc w:val="right"/>
            </w:pPr>
            <w:r>
              <w:t xml:space="preserve">0.198</w:t>
            </w:r>
          </w:p>
        </w:tc>
        <w:tc>
          <w:tcPr/>
          <w:p>
            <w:pPr>
              <w:pStyle w:val="Compact"/>
              <w:jc w:val="right"/>
            </w:pPr>
            <w:r>
              <w:t xml:space="preserve">0.062</w:t>
            </w:r>
          </w:p>
        </w:tc>
      </w:tr>
      <w:tr>
        <w:tc>
          <w:tcPr/>
          <w:p>
            <w:pPr>
              <w:pStyle w:val="Compact"/>
              <w:jc w:val="left"/>
            </w:pPr>
            <w:r>
              <w:t xml:space="preserve">Tanking index</w:t>
            </w:r>
          </w:p>
        </w:tc>
        <w:tc>
          <w:tcPr/>
          <w:p>
            <w:pPr>
              <w:pStyle w:val="Compact"/>
              <w:jc w:val="left"/>
            </w:pPr>
            <w:r>
              <w:t xml:space="preserve">Team fit</w:t>
            </w:r>
          </w:p>
        </w:tc>
        <w:tc>
          <w:tcPr/>
          <w:p>
            <w:pPr>
              <w:pStyle w:val="Compact"/>
              <w:jc w:val="right"/>
            </w:pPr>
            <w:r>
              <w:t xml:space="preserve">0.142</w:t>
            </w:r>
          </w:p>
        </w:tc>
        <w:tc>
          <w:tcPr/>
          <w:p>
            <w:pPr>
              <w:pStyle w:val="Compact"/>
              <w:jc w:val="right"/>
            </w:pPr>
            <w:r>
              <w:t xml:space="preserve">0.171</w:t>
            </w:r>
          </w:p>
        </w:tc>
      </w:tr>
      <w:tr>
        <w:tc>
          <w:tcPr/>
          <w:p>
            <w:pPr>
              <w:pStyle w:val="Compact"/>
              <w:jc w:val="left"/>
            </w:pPr>
            <w:r>
              <w:t xml:space="preserve">Tanking index</w:t>
            </w:r>
          </w:p>
        </w:tc>
        <w:tc>
          <w:tcPr/>
          <w:p>
            <w:pPr>
              <w:pStyle w:val="Compact"/>
              <w:jc w:val="left"/>
            </w:pPr>
            <w:r>
              <w:t xml:space="preserve">Draft rating x team fit</w:t>
            </w:r>
          </w:p>
        </w:tc>
        <w:tc>
          <w:tcPr/>
          <w:p>
            <w:pPr>
              <w:pStyle w:val="Compact"/>
              <w:jc w:val="right"/>
            </w:pPr>
            <w:r>
              <w:t xml:space="preserve">-0.112</w:t>
            </w:r>
          </w:p>
        </w:tc>
        <w:tc>
          <w:tcPr/>
          <w:p>
            <w:pPr>
              <w:pStyle w:val="Compact"/>
              <w:jc w:val="right"/>
            </w:pPr>
            <w:r>
              <w:t xml:space="preserve">0.263</w:t>
            </w:r>
          </w:p>
        </w:tc>
      </w:tr>
      <w:tr>
        <w:tc>
          <w:tcPr/>
          <w:p>
            <w:pPr>
              <w:pStyle w:val="Compact"/>
              <w:jc w:val="left"/>
            </w:pPr>
            <w:r>
              <w:t xml:space="preserve">Sustained-low</w:t>
            </w:r>
          </w:p>
        </w:tc>
        <w:tc>
          <w:tcPr/>
          <w:p>
            <w:pPr>
              <w:pStyle w:val="Compact"/>
              <w:jc w:val="left"/>
            </w:pPr>
            <w:r>
              <w:t xml:space="preserve">Draft rating</w:t>
            </w:r>
          </w:p>
        </w:tc>
        <w:tc>
          <w:tcPr/>
          <w:p>
            <w:pPr>
              <w:pStyle w:val="Compact"/>
              <w:jc w:val="right"/>
            </w:pPr>
            <w:r>
              <w:t xml:space="preserve">0.017</w:t>
            </w:r>
          </w:p>
        </w:tc>
        <w:tc>
          <w:tcPr/>
          <w:p>
            <w:pPr>
              <w:pStyle w:val="Compact"/>
              <w:jc w:val="right"/>
            </w:pPr>
            <w:r>
              <w:t xml:space="preserve">0.062</w:t>
            </w:r>
          </w:p>
        </w:tc>
      </w:tr>
      <w:tr>
        <w:tc>
          <w:tcPr/>
          <w:p>
            <w:pPr>
              <w:pStyle w:val="Compact"/>
              <w:jc w:val="left"/>
            </w:pPr>
            <w:r>
              <w:t xml:space="preserve">Sustained-low</w:t>
            </w:r>
          </w:p>
        </w:tc>
        <w:tc>
          <w:tcPr/>
          <w:p>
            <w:pPr>
              <w:pStyle w:val="Compact"/>
              <w:jc w:val="left"/>
            </w:pPr>
            <w:r>
              <w:t xml:space="preserve">Team fit</w:t>
            </w:r>
          </w:p>
        </w:tc>
        <w:tc>
          <w:tcPr/>
          <w:p>
            <w:pPr>
              <w:pStyle w:val="Compact"/>
              <w:jc w:val="right"/>
            </w:pPr>
            <w:r>
              <w:t xml:space="preserve">0.011</w:t>
            </w:r>
          </w:p>
        </w:tc>
        <w:tc>
          <w:tcPr/>
          <w:p>
            <w:pPr>
              <w:pStyle w:val="Compact"/>
              <w:jc w:val="right"/>
            </w:pPr>
            <w:r>
              <w:t xml:space="preserve">0.203</w:t>
            </w:r>
          </w:p>
        </w:tc>
      </w:tr>
      <w:tr>
        <w:tc>
          <w:tcPr/>
          <w:p>
            <w:pPr>
              <w:pStyle w:val="Compact"/>
              <w:jc w:val="left"/>
            </w:pPr>
            <w:r>
              <w:t xml:space="preserve">Sustained-low</w:t>
            </w:r>
          </w:p>
        </w:tc>
        <w:tc>
          <w:tcPr/>
          <w:p>
            <w:pPr>
              <w:pStyle w:val="Compact"/>
              <w:jc w:val="left"/>
            </w:pPr>
            <w:r>
              <w:t xml:space="preserve">Draft rating x team fit</w:t>
            </w:r>
          </w:p>
        </w:tc>
        <w:tc>
          <w:tcPr/>
          <w:p>
            <w:pPr>
              <w:pStyle w:val="Compact"/>
              <w:jc w:val="right"/>
            </w:pPr>
            <w:r>
              <w:t xml:space="preserve">-0.007</w:t>
            </w:r>
          </w:p>
        </w:tc>
        <w:tc>
          <w:tcPr/>
          <w:p>
            <w:pPr>
              <w:pStyle w:val="Compact"/>
              <w:jc w:val="right"/>
            </w:pPr>
            <w:r>
              <w:t xml:space="preserve">0.397</w:t>
            </w:r>
          </w:p>
        </w:tc>
      </w:tr>
    </w:tbl>
    <w:p>
      <w:pPr>
        <w:pStyle w:val="BodyText"/>
      </w:pPr>
      <w:r>
        <w:t xml:space="preserve">The team-fit interaction is not statistically significant in either outcome model. The interaction p-value is 0.26 for the tanking index and 0.4 for sustained low performance.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48"/>
    <w:bookmarkStart w:id="49" w:name="discussion"/>
    <w:p>
      <w:pPr>
        <w:pStyle w:val="Heading2"/>
      </w:pPr>
      <w:r>
        <w:t xml:space="preserve">Discussion</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estimates remain positive for both the tanking index and sustained low performance, but they are not strong enough to support a causal claim.</w:t>
      </w:r>
    </w:p>
    <w:p>
      <w:pPr>
        <w:pStyle w:val="BodyText"/>
      </w:pPr>
      <w:r>
        <w:t xml:space="preserve">The analysis also shows why the definition of tanking matters. A strict 10 percentage point late-collapse proxy flags only a small number of team-seasons. That makes the proxy conservative, but it can miss teams that were already very weak and remained very weak. It also creates extra noise by treating all non-flagged teams as the same. The full tanking index is better suited for regression because it measures degree of underperformance rather than forcing a binary cutoff. The sustained-low score then adds a complementary view of teams that stayed bad late in the season, even if they did not sharply decline after March.</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49"/>
    <w:bookmarkStart w:id="50" w:name="limitations-and-future-work"/>
    <w:p>
      <w:pPr>
        <w:pStyle w:val="Heading2"/>
      </w:pPr>
      <w:r>
        <w:t xml:space="preserve">Limitations and Future Work</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captures the marginal first-pick odds gained from moving one lottery slot worse, but it does not fully capture the incentive for an already-bottom team to protect its current lottery position.</w:t>
      </w:r>
    </w:p>
    <w:p>
      <w:pPr>
        <w:pStyle w:val="BodyText"/>
      </w:pPr>
      <w:r>
        <w:t xml:space="preserve">A third limitation is that our current model does not directly measure player resting. One peer-review suggestion was to add a variable for whether teams benched starters or reduced minutes for their best players late in the season. That would be a strong addition. A practical version would use player game logs to identify each team’s top pre-March minute players, then measure whether those players’ minutes or games played dropped sharply after March. This would help separate strategic late-season roster management from ordinary losing.</w:t>
      </w:r>
    </w:p>
    <w:p>
      <w:pPr>
        <w:pStyle w:val="BodyText"/>
      </w:pPr>
      <w:r>
        <w:t xml:space="preserve">A fourth limitation is that the team-fit score is only a rough proxy. It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Finally,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0"/>
    <w:bookmarkStart w:id="51" w:name="conclusion"/>
    <w:p>
      <w:pPr>
        <w:pStyle w:val="Heading2"/>
      </w:pPr>
      <w:r>
        <w:t xml:space="preserve">Conclusion</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model shows positive but noisier estimates. The full tanking index is a better final outcome than a hard 10 percentage point cutoff because it measures the size and direction of late-season underperformance instead of only flagging the most obvious collapses.</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sustained low late-season performance, and draft class quality into one framework.</w:t>
      </w:r>
    </w:p>
    <w:p>
      <w:pPr>
        <w:pStyle w:val="BodyText"/>
      </w:pPr>
      <w:r>
        <w:t xml:space="preserve">The exploratory team-fit extension is less conclusive. It gives a plausible way to think about team-level heterogeneity, but the broad fit proxy does not add strong statistical evidence beyond overall draft strength. That leaves team fit as an important direction for future work rather than a core result of this report.</w:t>
      </w:r>
    </w:p>
    <w:bookmarkEnd w:id="51"/>
    <w:bookmarkStart w:id="54" w:name="references"/>
    <w:p>
      <w:pPr>
        <w:pStyle w:val="Heading2"/>
      </w:pPr>
      <w:r>
        <w:t xml:space="preserve">References</w:t>
      </w:r>
    </w:p>
    <w:p>
      <w:pPr>
        <w:pStyle w:val="Compact"/>
        <w:numPr>
          <w:ilvl w:val="0"/>
          <w:numId w:val="1002"/>
        </w:numPr>
      </w:pPr>
      <w:r>
        <w:t xml:space="preserve">CraftedNBA.</w:t>
      </w:r>
      <w:r>
        <w:t xml:space="preserve"> </w:t>
      </w:r>
      <w:hyperlink r:id="rId25">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52">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4">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6">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53">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1">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0">
        <w:r>
          <w:rPr>
            <w:rStyle w:val="Hyperlink"/>
          </w:rPr>
          <w:t xml:space="preserve">Losing to Win: Tournament Incentives in the National Basketball Association</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2" Target="https://craftednba.com/draft/best-prospects" TargetMode="External" /><Relationship Type="http://schemas.openxmlformats.org/officeDocument/2006/relationships/hyperlink" Id="rId25" Target="https://craftednba.com/draft/class-rankings" TargetMode="External" /><Relationship Type="http://schemas.openxmlformats.org/officeDocument/2006/relationships/hyperlink" Id="rId24" Target="https://hoopr.sportsdataverse.org/" TargetMode="External" /><Relationship Type="http://schemas.openxmlformats.org/officeDocument/2006/relationships/hyperlink" Id="rId20" Target="https://ideas.repec.org/a/ucp/jlabec/v20y2002i1p23-41.html" TargetMode="External" /><Relationship Type="http://schemas.openxmlformats.org/officeDocument/2006/relationships/hyperlink" Id="rId21"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6" Target="https://www.nba.com/news/nba-draft-lottery-explainer?lv=true" TargetMode="External" /><Relationship Type="http://schemas.openxmlformats.org/officeDocument/2006/relationships/hyperlink" Id="rId53"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52" Target="https://craftednba.com/draft/best-prospects" TargetMode="External" /><Relationship Type="http://schemas.openxmlformats.org/officeDocument/2006/relationships/hyperlink" Id="rId25" Target="https://craftednba.com/draft/class-rankings" TargetMode="External" /><Relationship Type="http://schemas.openxmlformats.org/officeDocument/2006/relationships/hyperlink" Id="rId24" Target="https://hoopr.sportsdataverse.org/" TargetMode="External" /><Relationship Type="http://schemas.openxmlformats.org/officeDocument/2006/relationships/hyperlink" Id="rId20" Target="https://ideas.repec.org/a/ucp/jlabec/v20y2002i1p23-41.html" TargetMode="External" /><Relationship Type="http://schemas.openxmlformats.org/officeDocument/2006/relationships/hyperlink" Id="rId21"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6" Target="https://www.nba.com/news/nba-draft-lottery-explainer?lv=true" TargetMode="External" /><Relationship Type="http://schemas.openxmlformats.org/officeDocument/2006/relationships/hyperlink" Id="rId53"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2026-06-04T23:28:27Z</dcterms:created>
  <dcterms:modified xsi:type="dcterms:W3CDTF">2026-06-04T23:28:27Z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