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B1F3A" w:color="auto" w:val="clear"/>
            <w:tcMar>
              <w:top w:type="dxa" w:w="200"/>
              <w:left w:type="dxa" w:w="300"/>
              <w:bottom w:type="dxa" w:w="200"/>
              <w:right w:type="dxa" w:w="300"/>
            </w:tcMar>
            <w:vAlign w:val="center"/>
          </w:tcPr>
          <w:p>
            <w:r>
              <w:rPr>
                <w:b/>
                <w:bCs/>
                <w:color w:val="F4B400"/>
                <w:sz w:val="28"/>
                <w:szCs w:val="28"/>
              </w:rPr>
              <w:t xml:space="preserve">U </w:t>
            </w:r>
            <w:r>
              <w:rPr>
                <w:b/>
                <w:bCs/>
                <w:color w:val="FFFFFF"/>
                <w:sz w:val="24"/>
                <w:szCs w:val="24"/>
              </w:rPr>
              <w:t xml:space="preserve">Universitaria de Colombia</w:t>
            </w:r>
          </w:p>
        </w:tc>
      </w:tr>
    </w:tbl>
    <w:p>
      <w:pPr>
        <w:spacing w:after="200"/>
      </w:pPr>
    </w:p>
    <w:p>
      <w:pPr>
        <w:spacing w:after="100"/>
        <w:jc w:val="center"/>
      </w:pPr>
      <w:r>
        <w:rPr>
          <w:b/>
          <w:bCs/>
          <w:sz w:val="32"/>
          <w:szCs w:val="32"/>
        </w:rPr>
        <w:t xml:space="preserve">INSTITUCIÓN UNIVERSITARIA DE COLOMBIA</w:t>
      </w:r>
    </w:p>
    <w:p>
      <w:pPr>
        <w:spacing w:after="300"/>
        <w:jc w:val="center"/>
      </w:pPr>
      <w:r>
        <w:rPr>
          <w:b/>
          <w:bCs/>
          <w:sz w:val="22"/>
          <w:szCs w:val="22"/>
        </w:rPr>
        <w:t xml:space="preserve">TALLER RESUELTO — SESIÓN 10: SVM – ALGORITMO DE SUPPORT VECTOR MACHINE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D9D9D9" w:color="auto" w:val="clear"/>
            <w:tcMar>
              <w:top w:type="dxa" w:w="100"/>
              <w:left w:type="dxa" w:w="200"/>
              <w:bottom w:type="dxa" w:w="100"/>
              <w:right w:type="dxa" w:w="200"/>
            </w:tcMar>
          </w:tcPr>
          <w:p>
            <w:r>
              <w:rPr>
                <w:b/>
                <w:bCs/>
                <w:sz w:val="22"/>
                <w:szCs w:val="22"/>
              </w:rPr>
              <w:t xml:space="preserve">I. DATOS GENERALES DE LA ASIGNATURA</w:t>
            </w:r>
          </w:p>
        </w:tc>
      </w:tr>
    </w:tbl>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000"/>
        <w:gridCol w:w="6500"/>
      </w:tblGrid>
      <w:tr>
        <w:tc>
          <w:tcPr>
            <w:tcW w:type="dxa" w:w="3000"/>
          </w:tcPr>
          <w:p>
            <w:r>
              <w:rPr>
                <w:b/>
                <w:bCs/>
                <w:sz w:val="22"/>
                <w:szCs w:val="22"/>
              </w:rPr>
              <w:t xml:space="preserve">Asignatura:</w:t>
            </w:r>
          </w:p>
        </w:tc>
        <w:tc>
          <w:tcPr>
            <w:tcW w:type="dxa" w:w="6500"/>
          </w:tcPr>
          <w:p>
            <w:r>
              <w:rPr>
                <w:sz w:val="22"/>
                <w:szCs w:val="22"/>
              </w:rPr>
              <w:t xml:space="preserve">Inteligencia Artificial II</w:t>
            </w:r>
          </w:p>
        </w:tc>
      </w:tr>
      <w:tr>
        <w:tc>
          <w:tcPr>
            <w:tcW w:type="dxa" w:w="3000"/>
          </w:tcPr>
          <w:p>
            <w:r>
              <w:rPr>
                <w:b/>
                <w:bCs/>
                <w:sz w:val="22"/>
                <w:szCs w:val="22"/>
              </w:rPr>
              <w:t xml:space="preserve">Período Académico:</w:t>
            </w:r>
          </w:p>
        </w:tc>
        <w:tc>
          <w:tcPr>
            <w:tcW w:type="dxa" w:w="6500"/>
          </w:tcPr>
          <w:p>
            <w:r>
              <w:rPr>
                <w:sz w:val="22"/>
                <w:szCs w:val="22"/>
              </w:rPr>
              <w:t xml:space="preserve">IV Semestre</w:t>
            </w:r>
          </w:p>
        </w:tc>
      </w:tr>
      <w:tr>
        <w:tc>
          <w:tcPr>
            <w:tcW w:type="dxa" w:w="3000"/>
          </w:tcPr>
          <w:p>
            <w:r>
              <w:rPr>
                <w:b/>
                <w:bCs/>
                <w:sz w:val="22"/>
                <w:szCs w:val="22"/>
              </w:rPr>
              <w:t xml:space="preserve">Créditos:</w:t>
            </w:r>
          </w:p>
        </w:tc>
        <w:tc>
          <w:tcPr>
            <w:tcW w:type="dxa" w:w="6500"/>
          </w:tcPr>
          <w:p>
            <w:r>
              <w:rPr>
                <w:sz w:val="22"/>
                <w:szCs w:val="22"/>
              </w:rPr>
              <w:t xml:space="preserve">3 créditos</w:t>
            </w:r>
          </w:p>
        </w:tc>
      </w:tr>
      <w:tr>
        <w:tc>
          <w:tcPr>
            <w:tcW w:type="dxa" w:w="3000"/>
          </w:tcPr>
          <w:p>
            <w:r>
              <w:rPr>
                <w:b/>
                <w:bCs/>
                <w:sz w:val="22"/>
                <w:szCs w:val="22"/>
              </w:rPr>
              <w:t xml:space="preserve">Duración en Horas:</w:t>
            </w:r>
          </w:p>
        </w:tc>
        <w:tc>
          <w:tcPr>
            <w:tcW w:type="dxa" w:w="6500"/>
          </w:tcPr>
          <w:p>
            <w:r>
              <w:rPr>
                <w:sz w:val="22"/>
                <w:szCs w:val="22"/>
              </w:rPr>
              <w:t xml:space="preserve">40 horas</w:t>
            </w:r>
          </w:p>
        </w:tc>
      </w:tr>
      <w:tr>
        <w:tc>
          <w:tcPr>
            <w:tcW w:type="dxa" w:w="3000"/>
          </w:tcPr>
          <w:p>
            <w:r>
              <w:rPr>
                <w:b/>
                <w:bCs/>
                <w:sz w:val="22"/>
                <w:szCs w:val="22"/>
              </w:rPr>
              <w:t xml:space="preserve">Docente:</w:t>
            </w:r>
          </w:p>
        </w:tc>
        <w:tc>
          <w:tcPr>
            <w:tcW w:type="dxa" w:w="6500"/>
          </w:tcPr>
          <w:p>
            <w:r>
              <w:rPr>
                <w:sz w:val="22"/>
                <w:szCs w:val="22"/>
              </w:rPr>
              <w:t xml:space="preserve">Amaury Giovanni Méndez Aguirre</w:t>
            </w:r>
          </w:p>
        </w:tc>
      </w:tr>
      <w:tr>
        <w:tc>
          <w:tcPr>
            <w:tcW w:type="dxa" w:w="3000"/>
          </w:tcPr>
          <w:p>
            <w:r>
              <w:rPr>
                <w:b/>
                <w:bCs/>
                <w:sz w:val="22"/>
                <w:szCs w:val="22"/>
              </w:rPr>
              <w:t xml:space="preserve">Estudiante:</w:t>
            </w:r>
          </w:p>
        </w:tc>
        <w:tc>
          <w:tcPr>
            <w:tcW w:type="dxa" w:w="6500"/>
          </w:tcPr>
          <w:p>
            <w:r>
              <w:rPr>
                <w:sz w:val="22"/>
                <w:szCs w:val="22"/>
              </w:rPr>
              <w:t xml:space="preserve">Nicolas Fontecha</w:t>
            </w:r>
          </w:p>
        </w:tc>
      </w:tr>
    </w:tbl>
    <w:p>
      <w:pPr>
        <w:spacing w:after="300"/>
      </w:pPr>
    </w:p>
    <w:p>
      <w:pPr>
        <w:pBdr>
          <w:bottom w:val="single" w:color="1F6FEB" w:sz="8" w:space="4"/>
        </w:pBdr>
        <w:spacing w:after="120" w:before="300"/>
      </w:pPr>
      <w:r>
        <w:rPr>
          <w:b/>
          <w:bCs/>
          <w:color w:val="1F6FEB"/>
          <w:sz w:val="26"/>
          <w:szCs w:val="26"/>
        </w:rPr>
        <w:t xml:space="preserve">Taller Analítico: Dibujando el Margen</w:t>
      </w:r>
    </w:p>
    <w:p>
      <w:pPr>
        <w:spacing w:after="150"/>
      </w:pPr>
      <w:r>
        <w:rPr>
          <w:sz w:val="22"/>
          <w:szCs w:val="22"/>
        </w:rPr>
        <w:t xml:space="preserve">Clase A (círculos): (2,2), (3,3), (4,2)  ·  Clase B (equis): (6,6), (7,8), (8,7)</w:t>
      </w:r>
    </w:p>
    <w:p>
      <w:pPr>
        <w:spacing w:after="150"/>
      </w:pPr>
      <w:r>
        <w:rPr>
          <w:sz w:val="22"/>
          <w:szCs w:val="22"/>
        </w:rPr>
        <w:t xml:space="preserve">Se verificó el resultado calculando el modelo real con SVC(kernel='linear'), el mismo que da la implementación en Python de este taller.</w:t>
      </w:r>
    </w:p>
    <w:p>
      <w:pPr>
        <w:spacing w:after="15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PREGUNTA 1: Línea óptima que separa ambas clases</w:t>
            </w:r>
          </w:p>
          <w:p>
            <w:pPr>
              <w:spacing w:after="150"/>
            </w:pPr>
            <w:r>
              <w:rPr>
                <w:b/>
                <w:bCs/>
                <w:sz w:val="22"/>
                <w:szCs w:val="22"/>
              </w:rPr>
              <w:t xml:space="preserve">Recta con mayor margen: x + y = 9  (pendiente -1)</w:t>
            </w:r>
          </w:p>
          <w:p>
            <w:pPr>
              <w:spacing w:after="150"/>
            </w:pPr>
            <w:r>
              <w:rPr>
                <w:sz w:val="22"/>
                <w:szCs w:val="22"/>
              </w:rPr>
              <w:t xml:space="preserve">Pasa, por ejemplo, por (4,5), (4.5,4.5) o (9,0). Deja exactamente el mismo espacio de 'calle' a ambos lados: margen ≈ 2.12 unidades a cada lado, ancho total de la calle ≈ 4.24.</w:t>
            </w:r>
          </w:p>
        </w:tc>
      </w:tr>
    </w:tbl>
    <w:p>
      <w:pPr>
        <w:spacing w:after="20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PREGUNTA 2: ¿Cuáles puntos son los Vectores de Soporte?</w:t>
            </w:r>
          </w:p>
          <w:p>
            <w:pPr>
              <w:spacing w:after="150"/>
            </w:pPr>
            <w:r>
              <w:rPr>
                <w:b/>
                <w:bCs/>
                <w:sz w:val="22"/>
                <w:szCs w:val="22"/>
              </w:rPr>
              <w:t xml:space="preserve">Vectores de Soporte: (3,3) y (4,2) de la Clase A, y (6,6) de la Clase B.</w:t>
            </w:r>
          </w:p>
          <w:p>
            <w:pPr>
              <w:spacing w:after="150"/>
            </w:pPr>
            <w:r>
              <w:rPr>
                <w:sz w:val="22"/>
                <w:szCs w:val="22"/>
              </w:rPr>
              <w:t xml:space="preserve">(2,2), (7,8) y (8,7) NO son vectores de soporte — están demasiado lejos de la frontera como para influir en su posición; podrían eliminarse del dataset y la línea no se movería.</w:t>
            </w:r>
          </w:p>
        </w:tc>
      </w:tr>
    </w:tbl>
    <w:p>
      <w:pPr>
        <w:spacing w:after="20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PREGUNTA 3: ¿Cambiaría la línea al agregar A(1,1)?</w:t>
            </w:r>
          </w:p>
          <w:p>
            <w:pPr>
              <w:spacing w:after="150"/>
            </w:pPr>
            <w:r>
              <w:rPr>
                <w:b/>
                <w:bCs/>
                <w:sz w:val="22"/>
                <w:szCs w:val="22"/>
              </w:rPr>
              <w:t xml:space="preserve">Respuesta: no, la línea no cambia.</w:t>
            </w:r>
          </w:p>
          <w:p>
            <w:pPr>
              <w:spacing w:after="150"/>
            </w:pPr>
            <w:r>
              <w:rPr>
                <w:sz w:val="22"/>
                <w:szCs w:val="22"/>
              </w:rPr>
              <w:t xml:space="preserve">La distancia de (1,1) a la frontera (≈4.95 unidades) es mayor que el margen actual (2.12 unidades), así que el nuevo punto cae cómodamente dentro de la 'zona segura' de su propia clase, sin tocar ni violar la calle. Esto es la esencia teórica de SVM: solo los puntos que están justo en el borde del margen (los vectores de soporte) determinan el hiperplano — todos los demás puntos, sin importar cuántos se agreguen, son irrelevantes para el modelo mientras se mantengan más adentro de su territorio que los vectores de soporte existentes.</w:t>
            </w:r>
          </w:p>
        </w:tc>
      </w:tr>
    </w:tbl>
    <w:p>
      <w:pPr>
        <w:spacing w:after="400"/>
      </w:pPr>
    </w:p>
    <w:p>
      <w:pPr>
        <w:pBdr>
          <w:bottom w:val="single" w:color="1F6FEB" w:sz="8" w:space="4"/>
        </w:pBdr>
        <w:spacing w:after="120" w:before="300"/>
      </w:pPr>
      <w:r>
        <w:rPr>
          <w:b/>
          <w:bCs/>
          <w:color w:val="1F6FEB"/>
          <w:sz w:val="26"/>
          <w:szCs w:val="26"/>
        </w:rPr>
        <w:t xml:space="preserve">Taller de Laboratorio: Fronteras No Lineales</w:t>
      </w:r>
    </w:p>
    <w:p>
      <w:pPr>
        <w:spacing w:after="150"/>
      </w:pPr>
      <w:r>
        <w:rPr>
          <w:sz w:val="22"/>
          <w:szCs w:val="22"/>
        </w:rPr>
        <w:t xml:space="preserve">1-2. Al transcribir el código, los vectores de soporte impresos son (3,3), (4,2), (6,6) — coinciden exactamente con los identificados a mano en el taller analítico.</w:t>
      </w:r>
    </w:p>
    <w:p>
      <w:pPr>
        <w:spacing w:after="15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PASO 3: Agregar [5,5] como Clase A y reentrenar con kernel lineal</w:t>
            </w:r>
          </w:p>
          <w:p>
            <w:pPr>
              <w:spacing w:after="150"/>
            </w:pPr>
            <w:r>
              <w:rPr>
                <w:sz w:val="22"/>
                <w:szCs w:val="22"/>
              </w:rPr>
              <w:t xml:space="preserve">Contrario a lo que uno esperaría, el modelo lineal SÍ logra separar los datos (100% de precisión) — pero al precio de un margen drásticamente reducido.</w:t>
            </w:r>
          </w:p>
          <w:p>
            <w:pPr>
              <w:spacing w:after="150"/>
            </w:pPr>
            <w:r>
              <w:rPr>
                <w:b/>
                <w:bCs/>
                <w:sz w:val="22"/>
                <w:szCs w:val="22"/>
              </w:rPr>
              <w:t xml:space="preserve">Los vectores de soporte pasan a ser únicamente (5,5) y (6,6), y el ancho de la calle se desploma de 4.24 a solo 1.41 unidades.</w:t>
            </w:r>
          </w:p>
          <w:p>
            <w:pPr>
              <w:spacing w:after="150"/>
            </w:pPr>
            <w:r>
              <w:rPr>
                <w:sz w:val="22"/>
                <w:szCs w:val="22"/>
              </w:rPr>
              <w:t xml:space="preserve">En otras palabras: no 'falla' técnicamente, pero queda forzado al límite — la frontera se vuelve extremadamente frágil y sensible a cualquier ruido adicional en los datos (un punto más y sí dejaría de ser separable linealmente).</w:t>
            </w:r>
          </w:p>
        </w:tc>
      </w:tr>
    </w:tbl>
    <w:p>
      <w:pPr>
        <w:spacing w:after="20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PASO 4: Cambiar a kernel='rbf'</w:t>
            </w:r>
          </w:p>
          <w:p>
            <w:pPr>
              <w:spacing w:after="150"/>
            </w:pPr>
            <w:r>
              <w:rPr>
                <w:b/>
                <w:bCs/>
                <w:sz w:val="22"/>
                <w:szCs w:val="22"/>
              </w:rPr>
              <w:t xml:space="preserve">Con RBF, el modelo deja de depender de una recta rígida: ahora usa 6 de los 7 puntos como vectores de soporte y logra 'envolver' curvamente la región de la Clase A (incluyendo el intruso [5,5]) sin forzar ni comprometer el margen de la misma manera. El punto [5,4] sigue clasificándose correctamente como Clase A en ambos casos.</w:t>
            </w:r>
          </w:p>
        </w:tc>
      </w:tr>
    </w:tbl>
    <w:p>
      <w:pPr>
        <w:spacing w:after="20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PREGUNTA 5 (REFLEXIÓN): ¿cuándo un kernel lineal fallaría por completo?</w:t>
            </w:r>
          </w:p>
          <w:p>
            <w:pPr>
              <w:spacing w:after="150"/>
            </w:pPr>
            <w:r>
              <w:rPr>
                <w:sz w:val="22"/>
                <w:szCs w:val="22"/>
              </w:rPr>
              <w:t xml:space="preserve">El caso clásico es cuando una clase queda completamente rodeada por la otra en el espacio de características — un patrón en forma de 'anillo' o 'dona', no una simple diagonal.</w:t>
            </w:r>
          </w:p>
          <w:p>
            <w:pPr>
              <w:spacing w:after="150"/>
            </w:pPr>
            <w:r>
              <w:rPr>
                <w:sz w:val="22"/>
                <w:szCs w:val="22"/>
              </w:rPr>
              <w:t xml:space="preserve">Medicina/diagnóstico: un biomarcador donde los valores 'normales' caen en un rango intermedio, y tanto los valores muy bajos como los muy altos indican enfermedad. Al graficar, la clase 'sana' queda como un islote rodeado por la clase 'enferma' en ambos extremos — ninguna línea recta puede separar un centro de su periferia.</w:t>
            </w:r>
          </w:p>
          <w:p>
            <w:pPr>
              <w:spacing w:after="150"/>
            </w:pPr>
            <w:r>
              <w:rPr>
                <w:sz w:val="22"/>
                <w:szCs w:val="22"/>
              </w:rPr>
              <w:t xml:space="preserve">Reconocimiento facial/biometría: cuando los rostros de una persona en distintas condiciones de luz o ángulo forman un cluster que queda rodeado en el espacio de características por rostros de otras personas con rasgos superpuestos.</w:t>
            </w:r>
          </w:p>
          <w:p>
            <w:pPr>
              <w:spacing w:after="150"/>
            </w:pPr>
            <w:r>
              <w:rPr>
                <w:b/>
                <w:bCs/>
                <w:sz w:val="22"/>
                <w:szCs w:val="22"/>
              </w:rPr>
              <w:t xml:space="preserve">En ambos casos, por más datos que se agreguen, ninguna recta (ni plano, ni hiperplano) podrá separar un anillo de su interior — se necesita literalmente proyectar los datos a otra dimensión, que es exactamente lo que hace el Kernel Trick con RBF.</w:t>
            </w:r>
          </w:p>
        </w:tc>
      </w:tr>
    </w:tbl>
    <w:p>
      <w:pPr>
        <w:spacing w:after="400"/>
      </w:pPr>
    </w:p>
    <w:p>
      <w:pPr>
        <w:spacing w:before="300"/>
        <w:jc w:val="center"/>
      </w:pPr>
      <w:r>
        <w:rPr>
          <w:i/>
          <w:iCs/>
          <w:color w:val="555555"/>
          <w:sz w:val="18"/>
          <w:szCs w:val="18"/>
        </w:rPr>
        <w:t xml:space="preserve">Taller resuelto por: Nicolas Fontecha — 2026</w:t>
      </w:r>
    </w:p>
    <w:p>
      <w:pPr>
        <w:jc w:val="center"/>
      </w:pPr>
      <w:r>
        <w:rPr>
          <w:i/>
          <w:iCs/>
          <w:color w:val="555555"/>
          <w:sz w:val="18"/>
          <w:szCs w:val="18"/>
        </w:rPr>
        <w:t xml:space="preserve">Institución Universitaria de Colombia — Ingeniería de Sistemas — V Semestre</w:t>
      </w:r>
    </w:p>
    <w:sectPr>
      <w:footerReference w:type="default" r:id="rId7"/>
      <w:pgSz w:w="12240" w:h="15840" w:orient="portrait"/>
      <w:pgMar w:top="72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1F3A" w:sz="4" w:space="6"/>
      </w:pBdr>
      <w:jc w:val="center"/>
    </w:pPr>
    <w:r>
      <w:rPr>
        <w:color w:val="555555"/>
        <w:sz w:val="14"/>
        <w:szCs w:val="14"/>
      </w:rPr>
      <w:t xml:space="preserve">Carrera 7 No.35-85. Teléfono: 288-0871, 232-4070. Fax: 245-4705. www.universitariadecolombia.edu.co. Bogotá, D.C. (Colombia).</w:t>
    </w:r>
  </w:p>
  <w:p>
    <w:pPr>
      <w:jc w:val="center"/>
    </w:pPr>
    <w:r>
      <w:rPr>
        <w:color w:val="555555"/>
        <w:sz w:val="14"/>
        <w:szCs w:val="14"/>
      </w:rPr>
      <w:t xml:space="preserve">© Todos los derechos reservados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2026-09-21T03:33:37.930Z</dcterms:created>
  <dcterms:modified xsi:type="dcterms:W3CDTF">2026-09-21T03:33:37.937Z</dcterms:modified>
</cp:coreProperties>
</file>

<file path=docProps/custom.xml><?xml version="1.0" encoding="utf-8"?>
<Properties xmlns="http://schemas.openxmlformats.org/officeDocument/2006/custom-properties" xmlns:vt="http://schemas.openxmlformats.org/officeDocument/2006/docPropsVTypes"/>
</file>