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Análisis DAFO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Debilidades: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Dependencia Tecnológica: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Rápidos avances tecnológicos podrían requerir actualizaciones frecuentes y costosas de hardware y software.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u w:val="single"/>
          <w:rtl w:val="0"/>
        </w:rPr>
        <w:t xml:space="preserve">Competencia en Evolución: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 mercado de gestión de redes es competitivo, con nuevas empresas y tecnologías emergentes.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Dependencia del Talento: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 retención de profesionales altamente calificados es crucial, y la escasez de talento en el sector podría ser una debilidad.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Vulnerabilidad de Seguridad: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Dada la naturaleza de la gestión de redes, la ciberseguridad es esencial.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Las vulnerabilidades podrían afectar la confianza del cliente.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Amenazas: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Ciberataques: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 aumento de la sofisticación de los ciberataques podría poner en riesgo la seguridad de las redes gestionadas.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Regulaciones Cambiantes: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Cambios en las regulaciones gubernamentales podrían afectar las prácticas de gestión de redes y aumentar la carga administrativa.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Cambios en las leyes y regulaciones relacionadas con la gestión de redes pueden requerir ajustes en las prácticas de Net RNA para garantizar el cumplimiento normativo.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Esto podría implicar la necesidad de implementar nuevas medidas de seguridad, modificar procesos operativos o adaptarse a estándares actualizados.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Rápida Obsolescencia Tecnológica: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Las soluciones tecnológicas pueden volverse obsoletas rápidamente, lo que requiere una adaptación constante.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Competencia de precios: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La competencia intensa podría conducir a presiones sobre los márgenes de beneficio.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Fortalezas: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Experiencia y Conocimiento: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Net RNA cuenta con un equipo altamente calificado y con experiencia en la gestión de redes.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Innovación Tecnológica: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La capacidad para adoptar nuevas tecnologías y ofrecer soluciones innovadoras es una ventaja competitiva.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Red de Clientes Establecida: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Relaciones sólidas con clientes existentes pueden proporcionar una base para la expansión y referencias positivas.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Servicio Personalizado: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Ofrecer soluciones de gestión de redes personalizadas para satisfacer las necesidades específicas de los clientes.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Oportunidades: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Expansión del Mercado: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La creciente dependencia de las empresas en las tecnologías de la información presenta oportunidades para expandir el mercado.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Servicios de Nube: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La migración hacia servicios en la nube ofrece oportunidades para ofrecer soluciones de gestión de redes en entornos de nube.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u w:val="single"/>
          <w:rtl w:val="0"/>
        </w:rPr>
        <w:t xml:space="preserve">Colaboraciones Estratégicas: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Alianzas con fabricantes de hardware, proveedores de software o empresas de ciberseguridad pueden fortalecer la oferta de servicios.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Enfoque en la Sostenibilidad: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La demanda de soluciones de gestión de redes sostenibles puede abrir nuevas oportunidades de negocio.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802698</wp:posOffset>
            </wp:positionV>
            <wp:extent cx="5731200" cy="4292600"/>
            <wp:effectExtent b="0" l="0" r="0" t="0"/>
            <wp:wrapTopAndBottom distB="57150" distT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