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7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tblGridChange w:id="0">
          <w:tblGrid>
            <w:gridCol w:w="27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DHCP4 CON KEA</w:t>
            </w:r>
          </w:p>
        </w:tc>
      </w:tr>
    </w:tbl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731200" cy="38227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right"/>
        <w:rPr/>
      </w:pPr>
      <w:r w:rsidDel="00000000" w:rsidR="00000000" w:rsidRPr="00000000">
        <w:rPr>
          <w:rtl w:val="0"/>
        </w:rPr>
        <w:t xml:space="preserve">Ángel González Martínez</w:t>
      </w:r>
    </w:p>
    <w:p w:rsidR="00000000" w:rsidDel="00000000" w:rsidP="00000000" w:rsidRDefault="00000000" w:rsidRPr="00000000" w14:paraId="0000002B">
      <w:pPr>
        <w:jc w:val="right"/>
        <w:rPr/>
      </w:pPr>
      <w:r w:rsidDel="00000000" w:rsidR="00000000" w:rsidRPr="00000000">
        <w:rPr>
          <w:rtl w:val="0"/>
        </w:rPr>
        <w:t xml:space="preserve">Nicolás Jaraiz Bravo</w:t>
      </w:r>
    </w:p>
    <w:p w:rsidR="00000000" w:rsidDel="00000000" w:rsidP="00000000" w:rsidRDefault="00000000" w:rsidRPr="00000000" w14:paraId="0000002C">
      <w:pPr>
        <w:jc w:val="right"/>
        <w:rPr/>
      </w:pPr>
      <w:r w:rsidDel="00000000" w:rsidR="00000000" w:rsidRPr="00000000">
        <w:rPr>
          <w:rtl w:val="0"/>
        </w:rPr>
        <w:t xml:space="preserve">Rubén Bautista Maya</w:t>
      </w:r>
    </w:p>
    <w:p w:rsidR="00000000" w:rsidDel="00000000" w:rsidP="00000000" w:rsidRDefault="00000000" w:rsidRPr="00000000" w14:paraId="0000002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right"/>
        <w:rPr/>
      </w:pPr>
      <w:r w:rsidDel="00000000" w:rsidR="00000000" w:rsidRPr="00000000">
        <w:rPr>
          <w:rtl w:val="0"/>
        </w:rPr>
        <w:t xml:space="preserve">SMX 2 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2">
          <w:pPr>
            <w:widowControl w:val="0"/>
            <w:tabs>
              <w:tab w:val="right" w:leader="underscor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mjymoerfjzp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GENERAL DEL SERVICIO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underscor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yilstfiqyme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INSTALACIÓN DEL SERVICIO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underscor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kb1ts8wqsbh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CONFIGURACIÓN DEL SERVICIO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>
          <w:b w:val="1"/>
        </w:rPr>
      </w:pPr>
      <w:bookmarkStart w:colFirst="0" w:colLast="0" w:name="_mjymoerfjzpw" w:id="0"/>
      <w:bookmarkEnd w:id="0"/>
      <w:r w:rsidDel="00000000" w:rsidR="00000000" w:rsidRPr="00000000">
        <w:rPr>
          <w:b w:val="1"/>
          <w:rtl w:val="0"/>
        </w:rPr>
        <w:t xml:space="preserve">DESCRIPCIÓN GENERAL DEL SERVICIO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Durante muchos años, el servidor DHCP que siempre ha sido utilizado ha sido ISC DHCP Server, un servidor DHCP que cuenta con una personalización muy completa, y un paquete de funciones muy bueno.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En el año 2022, ISC anunció que ISC DHCP iba a dejar de dar actualizaciones a su servicio de ahí en adelante (menos a aquellos suscriptores que en el pasado ya usaran su servidor). Es por la notícia anterior que el centro cambió de este servidor a uno moderno, que en este caso es Kea, el mismo DHCP que usaremos en </w:t>
      </w:r>
      <w:r w:rsidDel="00000000" w:rsidR="00000000" w:rsidRPr="00000000">
        <w:rPr>
          <w:rtl w:val="0"/>
        </w:rPr>
        <w:t xml:space="preserve">Smoothoperator55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Kea es un servidor DHCP con código abierto que ha sido desarrollado por ISC, los mismos autores del mismísimo ISC DHCP. 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Kea cuenta con un servidor de DHCPv4, también cuenta con uno de DHCPv6, y un DDNS (DNS dinámico). También da soporte a la delegación de prefijos IPv6, se pueden hacer reservaciones de IP a unos hosts en concreto (mediante la dirección MAC), entre otras características que lo hacen un servidor fácilmente configurable, muy útil, y que no tiende a provocar fallos si se encuentra configurado de manera correcta.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tl w:val="0"/>
        </w:rPr>
        <w:t xml:space="preserve">Smoothoperator55</w:t>
      </w:r>
      <w:r w:rsidDel="00000000" w:rsidR="00000000" w:rsidRPr="00000000">
        <w:rPr>
          <w:rtl w:val="0"/>
        </w:rPr>
        <w:t xml:space="preserve">, queremos implementar este servicio para que los clientes de su red interna (192.168.233.0/24) puedan ser asignados con una IP del mismo rango y un servidor DNS con el que puedan navegar por Internet.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rPr>
          <w:b w:val="1"/>
        </w:rPr>
      </w:pPr>
      <w:bookmarkStart w:colFirst="0" w:colLast="0" w:name="_yilstfiqymex" w:id="1"/>
      <w:bookmarkEnd w:id="1"/>
      <w:r w:rsidDel="00000000" w:rsidR="00000000" w:rsidRPr="00000000">
        <w:rPr>
          <w:b w:val="1"/>
          <w:rtl w:val="0"/>
        </w:rPr>
        <w:t xml:space="preserve">INSTALACIÓN DEL SERVICIO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Para llevar a cabo la instalación del servicio Kea DHCP, al igual que con todos los servicios, vamos  a ejecutar el siguiente comando: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248275" cy="228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rPr>
          <w:b w:val="1"/>
        </w:rPr>
      </w:pPr>
      <w:bookmarkStart w:colFirst="0" w:colLast="0" w:name="_kb1ts8wqsbh0" w:id="2"/>
      <w:bookmarkEnd w:id="2"/>
      <w:r w:rsidDel="00000000" w:rsidR="00000000" w:rsidRPr="00000000">
        <w:rPr>
          <w:b w:val="1"/>
          <w:rtl w:val="0"/>
        </w:rPr>
        <w:t xml:space="preserve">CONFIGURACIÓN DEL SERVICIO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 continuación, se muestra el archivo de configuración de nuestro DHCP en Smoothoperator55, el cual hemos creado de cero, cambiando de nombre el archivo que nos viene por defecto en la instalación de </w:t>
      </w:r>
      <w:r w:rsidDel="00000000" w:rsidR="00000000" w:rsidRPr="00000000">
        <w:rPr>
          <w:rtl w:val="0"/>
        </w:rPr>
        <w:t xml:space="preserve">Kea</w:t>
      </w:r>
      <w:r w:rsidDel="00000000" w:rsidR="00000000" w:rsidRPr="00000000">
        <w:rPr>
          <w:rtl w:val="0"/>
        </w:rPr>
        <w:t xml:space="preserve"> por otro diferente por si diera el caso de que queremos volver a usarlo: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i w:val="1"/>
        </w:rPr>
      </w:pPr>
      <w:r w:rsidDel="00000000" w:rsidR="00000000" w:rsidRPr="00000000">
        <w:rPr>
          <w:rtl w:val="0"/>
        </w:rPr>
        <w:t xml:space="preserve">Editamos el fichero de configuración </w:t>
      </w:r>
      <w:r w:rsidDel="00000000" w:rsidR="00000000" w:rsidRPr="00000000">
        <w:rPr>
          <w:i w:val="1"/>
          <w:rtl w:val="0"/>
        </w:rPr>
        <w:t xml:space="preserve">/etc/kea/kea-dhcp4.conf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"</w:t>
            </w: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feeaa" w:val="clear"/>
                <w:rtl w:val="0"/>
              </w:rPr>
              <w:t xml:space="preserve">Dhcp</w:t>
            </w: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4": {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  "interfaces-config": {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    "interfaces": [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      "enp2s0f0"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    ],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    "</w:t>
            </w: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feeaa" w:val="clear"/>
                <w:rtl w:val="0"/>
              </w:rPr>
              <w:t xml:space="preserve">dhcp</w:t>
            </w: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-socket-type": "raw"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  "reservations-global": false,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  "reservations-out-of-pool": true,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  "valid-lifetime": 4000,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  "renew-timer": 1000,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  "rebind-timer": 2000,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  "subnet4": [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      "subnet": "192.168.233.0/24",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      "match-client-id": false,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      "option-data": [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        {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          "name": "routers",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          "data": "192.168.233.14"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        },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        {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          "name": "domain-name-servers",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          "data": "192.168.233.14"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        },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        {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          "name": "time-servers",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          "data": "192.168.233.14"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        },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        {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          "name": "domain-name",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          "data": "netrna.coop"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        }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      ],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      "pools": [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        {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          "pool": "192.168.233.100-192.168.233.199"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        }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      ]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  "loggers": [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      "name": "*",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      "severity": "DEBUG"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83">
            <w:pPr>
              <w:widowControl w:val="0"/>
              <w:spacing w:after="160" w:line="342.8568" w:lineRule="auto"/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20"/>
                <w:szCs w:val="20"/>
                <w:shd w:fill="f5f5f5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Como podemos apreciar, en esta configuración, podemos ver una serie de puntos importantes, que son los siguientes: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Routers: En este apartado se asigna la IP del router o gateway.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Domain-name-servers: En este apartado, se asigna la IP del servidor DNS.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También se puede apreciar que las direcciones IP de nuestros clientes van a derivar desde la 192.168.233.100 hasta la 192.168.233.200 con el campo de las “pools”.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Y ya tendríamos nuestro Kea configurado de forma correcta, solamente nos faltaría reiniciar el servicio con un </w:t>
      </w:r>
      <w:r w:rsidDel="00000000" w:rsidR="00000000" w:rsidRPr="00000000">
        <w:rPr>
          <w:i w:val="1"/>
          <w:rtl w:val="0"/>
        </w:rPr>
        <w:t xml:space="preserve">systemctl restart kea-dhcp4-server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