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jc w:val="both"/>
      </w:pPr>
      <w:r>
        <w:rPr>
          <w:rFonts w:ascii="Times New Roman" w:hAnsi="Times New Roman" w:cs="Times New Roman"/>
          <w:b/>
          <w:bCs/>
        </w:rPr>
        <w:t xml:space="preserve">Nombre: Nicolás Vega</w:t>
      </w:r>
    </w:p>
    <w:p>
      <w:pPr>
        <w:spacing w:before="0" w:after="0" w:line="360" w:lineRule="auto"/>
        <w:jc w:val="both"/>
      </w:pPr>
      <w:r>
        <w:rPr>
          <w:rFonts w:ascii="Times New Roman" w:hAnsi="Times New Roman" w:cs="Times New Roman"/>
          <w:b/>
          <w:bCs/>
        </w:rPr>
        <w:t xml:space="preserve">2. Problemática</w:t>
      </w:r>
    </w:p>
    <w:p>
      <w:pPr>
        <w:keepNext/>
        <w:spacing w:before="0" w:after="0" w:line="360" w:lineRule="auto"/>
        <w:jc w:val="both"/>
      </w:pPr>
      <w:r>
        <w:rPr>
          <w:rFonts w:ascii="Times New Roman" w:hAnsi="Times New Roman" w:cs="Times New Roman"/>
          <w:b/>
          <w:bCs/>
        </w:rPr>
        <w:t xml:space="preserve">2.1. Identificación del problema</w:t>
      </w:r>
    </w:p>
    <w:p>
      <w:pPr>
        <w:spacing w:before="0" w:after="0" w:line="360" w:lineRule="auto"/>
        <w:jc w:val="both"/>
      </w:pPr>
      <w:r>
        <w:rPr>
          <w:rFonts w:ascii="Times New Roman" w:hAnsi="Times New Roman" w:cs="Times New Roman"/>
        </w:rPr>
        <w:t xml:space="preserve">La alimentación animal consume una parte considerable de los recursos agrícolas, porque los piensos convencionales dependen de cultivos como la soya y el maíz, que compiten por tierra, agua y fertilizantes. Se ha estimado que la proteína microbiana podría sustituir entre 10 % y 19 % de la proteína vegetal destinada a piensos hacia 2050, con reducciones de 6 % en la superficie agrícola y de 7 % en las emisiones agrícolas de gases de efecto invernadero </w:t>
      </w:r>
      <w:sdt>
        <w:sdtPr>
          <w:rPr>
            <w:rFonts w:ascii="Times New Roman" w:hAnsi="Times New Roman" w:cs="Times New Roman"/>
            <w:color w:val="000000"/>
          </w:rPr>
          <w:tag w:val="MENDELEY_CITATION_v3_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"/>
          <w:id w:val="504930382"/>
        </w:sdtPr>
        <w:sdtContent>
          <w:r>
            <w:rPr>
              <w:rFonts w:ascii="Times New Roman" w:hAnsi="Times New Roman" w:cs="Times New Roman"/>
              <w:color w:val="000000"/>
            </w:rPr>
            <w:t xml:space="preserve">(Pikaar et al., 2018)</w:t>
          </w:r>
        </w:sdtContent>
      </w:sdt>
      <w:r>
        <w:rPr>
          <w:rFonts w:ascii="Times New Roman" w:hAnsi="Times New Roman" w:cs="Times New Roman"/>
        </w:rPr>
        <w:t xml:space="preserve">. En Ecuador, la industria de balanceados produjo 6,17 millones de toneladas en 2025; el alimento representa entre 70 % y 80 % del costo de producir proteína animal y el maíz nacional cuesta cerca de USD 400/t, frente a USD 270/t en el mercado internacional </w:t>
      </w:r>
      <w:sdt>
        <w:sdtPr>
          <w:rPr>
            <w:rFonts w:ascii="Times New Roman" w:hAnsi="Times New Roman" w:cs="Times New Roman"/>
            <w:color w:val="000000"/>
          </w:rPr>
          <w:tag w:val="MENDELEY_CITATION_v3_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"/>
          <w:id w:val="1053758442"/>
        </w:sdtPr>
        <w:sdtContent>
          <w:r>
            <w:rPr>
              <w:rFonts w:ascii="Times New Roman" w:hAnsi="Times New Roman" w:cs="Times New Roman"/>
              <w:color w:val="000000"/>
            </w:rPr>
            <w:t xml:space="preserve">(López Lupino, 2026)</w:t>
          </w:r>
        </w:sdtContent>
      </w:sdt>
      <w:r>
        <w:rPr>
          <w:rFonts w:ascii="Times New Roman" w:hAnsi="Times New Roman" w:cs="Times New Roman"/>
        </w:rPr>
        <w:t xml:space="preserve">. Ese costo se transfiere al precio de la carne, el huevo y la leche, lo que repercute en la salud pública y el bienestar de la población en un país donde la desnutrición crónica afecta al 20,1 % de los niños menores de dos años y al 33,4 % de los niños indígenas de esa edad </w:t>
      </w:r>
      <w:sdt>
        <w:sdtPr>
          <w:rPr>
            <w:rFonts w:ascii="Times New Roman" w:hAnsi="Times New Roman" w:cs="Times New Roman"/>
            <w:color w:val="000000"/>
          </w:rPr>
          <w:tag w:val="MENDELEY_CITATION_v3_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"/>
          <w:id w:val="1558759450"/>
        </w:sdtPr>
        <w:sdtContent>
          <w:r>
            <w:rPr>
              <w:rFonts w:ascii="Times New Roman" w:hAnsi="Times New Roman" w:cs="Times New Roman"/>
              <w:color w:val="000000"/>
            </w:rPr>
            <w:t xml:space="preserve">(Instituto Nacional de Estadística y Censos, 2023)</w:t>
          </w:r>
        </w:sdtContent>
      </w:sdt>
      <w:r>
        <w:rPr>
          <w:rFonts w:ascii="Times New Roman" w:hAnsi="Times New Roman" w:cs="Times New Roman"/>
        </w:rPr>
        <w:t xml:space="preserve">. Al mismo tiempo, la agroindustria azucarera, con cerca de 110 000 ha de caña concentradas en Guayas, Cañar y Los Ríos y una producción prevista de 530 000 t de azúcar en 2026 </w:t>
      </w:r>
      <w:sdt>
        <w:sdtPr>
          <w:rPr>
            <w:rFonts w:ascii="Times New Roman" w:hAnsi="Times New Roman" w:cs="Times New Roman"/>
            <w:color w:val="000000"/>
          </w:rPr>
          <w:tag w:val="MENDELEY_CITATION_v3_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"/>
          <w:id w:val="1830708592"/>
        </w:sdtPr>
        <w:sdtContent>
          <w:r>
            <w:rPr>
              <w:rFonts w:ascii="Times New Roman" w:hAnsi="Times New Roman" w:cs="Times New Roman"/>
              <w:color w:val="000000"/>
            </w:rPr>
            <w:t xml:space="preserve">(Armijos Medrano, 2026)</w:t>
          </w:r>
        </w:sdtContent>
      </w:sdt>
      <w:r>
        <w:rPr>
          <w:rFonts w:ascii="Times New Roman" w:hAnsi="Times New Roman" w:cs="Times New Roman"/>
        </w:rPr>
        <w:t xml:space="preserve">, genera melaza, un subproducto local que puede valorizarse mediante fermentación.</w:t>
      </w:r>
    </w:p>
    <w:p>
      <w:pPr>
        <w:spacing w:before="0" w:after="0" w:line="360" w:lineRule="auto"/>
        <w:jc w:val="both"/>
      </w:pPr>
      <w:r>
        <w:rPr>
          <w:rFonts w:ascii="Times New Roman" w:hAnsi="Times New Roman" w:cs="Times New Roman"/>
        </w:rPr>
        <w:t xml:space="preserve">Dentro del costo del sustrato, la fuente de carbono es el componente más caro </w:t>
      </w:r>
      <w:sdt>
        <w:sdtPr>
          <w:rPr>
            <w:rFonts w:ascii="Times New Roman" w:hAnsi="Times New Roman" w:cs="Times New Roman"/>
            <w:color w:val="000000"/>
          </w:rPr>
          <w:tag w:val="MENDELEY_CITATION_v3_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"/>
          <w:id w:val="1920364480"/>
        </w:sdtPr>
        <w:sdtContent>
          <w:r>
            <w:rPr>
              <w:rFonts w:ascii="Times New Roman" w:hAnsi="Times New Roman" w:cs="Times New Roman"/>
              <w:color w:val="000000"/>
            </w:rPr>
            <w:t xml:space="preserve">(Ding et al., 2023)</w:t>
          </w:r>
        </w:sdtContent>
      </w:sdt>
      <w:r>
        <w:rPr>
          <w:rFonts w:ascii="Times New Roman" w:hAnsi="Times New Roman" w:cs="Times New Roman"/>
        </w:rPr>
        <w:t xml:space="preserve">. La melaza aporta ese carbono a bajo costo, pero es deficiente en nitrógeno y fósforo asimilables, por lo que debe suplementarse para sostener una biomasa que, en cultivos con glucosa, alcanza cerca de 50 % de proteína </w:t>
      </w:r>
      <w:sdt>
        <w:sdtPr>
          <w:rPr>
            <w:rFonts w:ascii="Times New Roman" w:hAnsi="Times New Roman" w:cs="Times New Roman"/>
            <w:color w:val="000000"/>
          </w:rPr>
          <w:tag w:val="MENDELEY_CITATION_v3_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"/>
          <w:id w:val="1700469387"/>
        </w:sdtPr>
        <w:sdtContent>
          <w:r>
            <w:rPr>
              <w:rFonts w:ascii="Times New Roman" w:hAnsi="Times New Roman" w:cs="Times New Roman"/>
              <w:color w:val="000000"/>
            </w:rPr>
            <w:t xml:space="preserve">(Vieira-Lara et al., 2024)</w:t>
          </w:r>
        </w:sdtContent>
      </w:sdt>
      <w:r>
        <w:rPr>
          <w:rFonts w:ascii="Times New Roman" w:hAnsi="Times New Roman" w:cs="Times New Roman"/>
        </w:rPr>
        <w:t xml:space="preserve">. Las formulaciones publicadas no pueden aplicarse sin ajustes, porque la respuesta del cultivo depende de la cepa, del sustrato y de las condiciones de operación; basta cambiar el modo de cultivo para que el contenido proteico de </w:t>
      </w:r>
      <w:r>
        <w:rPr>
          <w:rFonts w:ascii="Times New Roman" w:hAnsi="Times New Roman" w:cs="Times New Roman"/>
          <w:i/>
          <w:iCs/>
        </w:rPr>
        <w:t xml:space="preserve">C. utilis</w:t>
      </w:r>
      <w:r>
        <w:rPr>
          <w:rFonts w:ascii="Times New Roman" w:hAnsi="Times New Roman" w:cs="Times New Roman"/>
        </w:rPr>
        <w:t xml:space="preserve"> varíe entre 42 % y 54 % </w:t>
      </w:r>
      <w:sdt>
        <w:sdtPr>
          <w:rPr>
            <w:rFonts w:ascii="Times New Roman" w:hAnsi="Times New Roman" w:cs="Times New Roman"/>
            <w:color w:val="000000"/>
          </w:rPr>
          <w:tag w:val="MENDELEY_CITATION_v3_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"/>
          <w:id w:val="1217590237"/>
        </w:sdtPr>
        <w:sdtContent>
          <w:r>
            <w:rPr>
              <w:rFonts w:ascii="Times New Roman" w:hAnsi="Times New Roman" w:cs="Times New Roman"/>
              <w:color w:val="000000"/>
            </w:rPr>
            <w:t xml:space="preserve">(Vieira-Lara et al., 2024)</w:t>
          </w:r>
        </w:sdtContent>
      </w:sdt>
      <w:r>
        <w:rPr>
          <w:rFonts w:ascii="Times New Roman" w:hAnsi="Times New Roman" w:cs="Times New Roman"/>
        </w:rPr>
        <w:t xml:space="preserve">. La fermentación con levaduras sirve además para reducir la carga orgánica de efluentes agroindustriales, con remociones de DQO de 56,9 % </w:t>
      </w:r>
      <w:sdt>
        <w:sdtPr>
          <w:rPr>
            <w:rFonts w:ascii="Times New Roman" w:hAnsi="Times New Roman" w:cs="Times New Roman"/>
            <w:color w:val="000000"/>
          </w:rPr>
          <w:tag w:val="MENDELEY_CITATION_v3_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"/>
          <w:id w:val="613667933"/>
        </w:sdtPr>
        <w:sdtContent>
          <w:r>
            <w:rPr>
              <w:rFonts w:ascii="Times New Roman" w:hAnsi="Times New Roman" w:cs="Times New Roman"/>
              <w:color w:val="000000"/>
            </w:rPr>
            <w:t xml:space="preserve">(Tian et al., 2023)</w:t>
          </w:r>
        </w:sdtContent>
      </w:sdt>
      <w:r>
        <w:rPr>
          <w:rFonts w:ascii="Times New Roman" w:hAnsi="Times New Roman" w:cs="Times New Roman"/>
        </w:rPr>
        <w:t xml:space="preserve">, y para recuperar nitrógeno amoniacal como proteína </w:t>
      </w:r>
      <w:sdt>
        <w:sdtPr>
          <w:rPr>
            <w:rFonts w:ascii="Times New Roman" w:hAnsi="Times New Roman" w:cs="Times New Roman"/>
            <w:color w:val="000000"/>
          </w:rPr>
          <w:tag w:val="MENDELEY_CITATION_v3_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"/>
          <w:id w:val="685082380"/>
        </w:sdtPr>
        <w:sdtContent>
          <w:r>
            <w:rPr>
              <w:rFonts w:ascii="Times New Roman" w:hAnsi="Times New Roman" w:cs="Times New Roman"/>
              <w:color w:val="000000"/>
            </w:rPr>
            <w:t xml:space="preserve">(Ding et al., 2023)</w:t>
          </w:r>
        </w:sdtContent>
      </w:sdt>
      <w:r>
        <w:rPr>
          <w:rFonts w:ascii="Times New Roman" w:hAnsi="Times New Roman" w:cs="Times New Roman"/>
        </w:rPr>
        <w:t xml:space="preserve">. El problema que aborda este proyecto es, por tanto, la falta de un bioproceso caracterizado y escalable para producir biomasa de </w:t>
      </w:r>
      <w:r>
        <w:rPr>
          <w:rFonts w:ascii="Times New Roman" w:hAnsi="Times New Roman" w:cs="Times New Roman"/>
          <w:i/>
          <w:iCs/>
        </w:rPr>
        <w:t xml:space="preserve">Candida utilis</w:t>
      </w:r>
      <w:r>
        <w:rPr>
          <w:rFonts w:ascii="Times New Roman" w:hAnsi="Times New Roman" w:cs="Times New Roman"/>
        </w:rPr>
        <w:t xml:space="preserve"> en un medio de bajo costo, formulado con melaza y fuentes económicas de nitrógeno, con datos cuantitativos sobre la composición óptima del medio, la cinética de crecimiento y el desempeño en biorreactor que sustenten su viabilidad técnica y económica en Ecuador.</w:t>
      </w:r>
    </w:p>
    <w:p>
      <w:pPr>
        <w:keepNext/>
        <w:spacing w:before="240" w:after="0" w:line="360" w:lineRule="auto"/>
        <w:jc w:val="both"/>
      </w:pPr>
      <w:r>
        <w:rPr>
          <w:rFonts w:ascii="Times New Roman" w:hAnsi="Times New Roman" w:cs="Times New Roman"/>
          <w:b/>
          <w:bCs/>
        </w:rPr>
        <w:t xml:space="preserve">2.2. Descripción de la contraparte</w:t>
      </w:r>
    </w:p>
    <w:p>
      <w:pPr>
        <w:spacing w:before="0" w:after="0" w:line="360" w:lineRule="auto"/>
        <w:jc w:val="both"/>
      </w:pPr>
      <w:r>
        <w:rPr>
          <w:rFonts w:ascii="Times New Roman" w:hAnsi="Times New Roman" w:cs="Times New Roman"/>
        </w:rPr>
        <w:t xml:space="preserve">La contraparte del proyecto es la Universidad de las Américas (UDLA), a través de los Laboratorios de Biotecnología Industrial de la carrera de Ingeniería en Biotecnología, según consta en la solicitud de inscripción del proyecto en la asignatura TITA0691. La institución aporta la infraestructura de los laboratorios de Biotecnología Industrial y de Biotecnología Aplicada, el biorreactor de referencia de 4 L, los equipos de esterilización, cultivo y análisis, los reactivos e insumos gestionados mediante solicitudes semanales y el apoyo del personal técnico que asigna los módulos de trabajo. Alejandra Cruz dirige el proyecto, que ejecutan los estudiantes Cinthya Daniela Salgado Torres y Nicolás Alejandro Vega Cisneros. Los beneficiarios indirectos son la industria ecuatoriana de alimentos balanceados, que necesita fuentes de proteína más baratas, y la agroindustria azucarera, que tendría una forma de valorizar la melaza.</w:t>
      </w:r>
    </w:p>
    <w:p>
      <w:pPr>
        <w:keepNext/>
        <w:spacing w:before="240" w:after="0" w:line="360" w:lineRule="auto"/>
        <w:jc w:val="both"/>
      </w:pPr>
      <w:r>
        <w:rPr>
          <w:rFonts w:ascii="Times New Roman" w:hAnsi="Times New Roman" w:cs="Times New Roman"/>
          <w:b/>
          <w:bCs/>
        </w:rPr>
        <w:t xml:space="preserve">2.3. Restricciones del proyecto</w:t>
      </w:r>
    </w:p>
    <w:p>
      <w:pPr>
        <w:spacing w:before="0" w:after="0" w:line="360" w:lineRule="auto"/>
        <w:jc w:val="both"/>
      </w:pPr>
      <w:r>
        <w:rPr>
          <w:rFonts w:ascii="Times New Roman" w:hAnsi="Times New Roman" w:cs="Times New Roman"/>
        </w:rPr>
        <w:t xml:space="preserve">Durante la ejecución del proyecto se identificaron restricciones técnicas, económicas, regulatorias y ambientales. En el plano técnico, los laboratorios de Biotecnología Industrial y Aplicada se comparten con otras asignaturas y se asignan por módulos horarios entre las 07:00 y las 16:40, lo que obliga a ajustar la preparación de medios, la inoculación y la cosecha a ciclos de 48 h compatibles con los módulos disponibles y, en ocasiones, a repartir una misma corrida entre dos laboratorios. Como no se dispone de sonicador ni de perlas de vidrio, la pared celular no puede lisarse por medios mecánicos, y la cuantificación de proteína por Bradford depende de una lisis alcalina cuya eficiencia debe verificarse. Además, la curva de calibración se satura por encima de 0,8 mg/mL, lo que acota el intervalo lineal de trabajo. En cuanto a recursos y logística, los reactivos e insumos dependen de solicitudes semanales con plazos fijos, de modo que la falta de un insumo obliga a reprogramar los ensayos, como ocurrió con el diseño Plackett-Burman por la falta de melaza; el presupuesto limita los materiales del prototipo de biorreactor y el plazo de 15 semanas restringe el número de corridas confirmatorias y de escalamiento. La composición de la melaza varía entre lotes, lo que afecta la reproducibilidad y obliga a caracterizar cada lote. Desde el punto de vista regulatorio, </w:t>
      </w:r>
      <w:r>
        <w:rPr>
          <w:rFonts w:ascii="Times New Roman" w:hAnsi="Times New Roman" w:cs="Times New Roman"/>
          <w:i/>
          <w:iCs/>
        </w:rPr>
        <w:t xml:space="preserve">C. utilis</w:t>
      </w:r>
      <w:r>
        <w:rPr>
          <w:rFonts w:ascii="Times New Roman" w:hAnsi="Times New Roman" w:cs="Times New Roman"/>
        </w:rPr>
        <w:t xml:space="preserve"> tiene estatus GRAS y se maneja con nivel de bioseguridad 1, pero la biomasa no puede destinarse a alimentación animal sin registro ante la Agencia de Regulación y Control Fito y Zoosanitario (Agrocalidad), ni a alimentación humana sin registro ante la Agencia Nacional de Regulación, Control y Vigilancia Sanitaria (ARCSA) y sin reducir su contenido de ácidos nucleicos, por lo que el alcance se limita a la escala de laboratorio y prototipo. Por último, los efluentes del cultivo tienen alta carga orgánica y la biomasa debe inactivarse en autoclave antes de su descarte, lo que condiciona los volúmenes de trabajo y la gestión de residuos.</w:t>
      </w:r>
    </w:p>
    <w:p>
      <w:pPr>
        <w:keepNext/>
        <w:spacing w:before="240" w:after="0" w:line="360" w:lineRule="auto"/>
        <w:jc w:val="both"/>
      </w:pPr>
      <w:r>
        <w:rPr>
          <w:rFonts w:ascii="Times New Roman" w:hAnsi="Times New Roman" w:cs="Times New Roman"/>
          <w:b/>
          <w:bCs/>
        </w:rPr>
        <w:t xml:space="preserve">2.4. Estándares de ingeniería</w:t>
      </w:r>
    </w:p>
    <w:p>
      <w:pPr>
        <w:spacing w:before="0" w:after="0" w:line="360" w:lineRule="auto"/>
        <w:jc w:val="both"/>
      </w:pPr>
      <w:r>
        <w:rPr>
          <w:rFonts w:ascii="Times New Roman" w:hAnsi="Times New Roman" w:cs="Times New Roman"/>
        </w:rPr>
        <w:t xml:space="preserve">La Tabla 1 resume los estándares aplicables al proyecto y el grado en que pueden cumplirse a la escala de trabajo.</w:t>
      </w:r>
    </w:p>
    <w:p>
      <w:pPr>
        <w:keepNext/>
        <w:spacing w:before="120" w:after="0" w:line="360" w:lineRule="auto"/>
        <w:jc w:val="both"/>
      </w:pPr>
      <w:r>
        <w:rPr>
          <w:rFonts w:ascii="Times New Roman" w:hAnsi="Times New Roman" w:cs="Times New Roman"/>
          <w:b/>
          <w:bCs/>
        </w:rPr>
        <w:t xml:space="preserve">Tabla 1</w:t>
      </w:r>
    </w:p>
    <w:p>
      <w:pPr>
        <w:keepNext/>
        <w:spacing w:before="0" w:after="0" w:line="360" w:lineRule="auto"/>
        <w:jc w:val="both"/>
      </w:pPr>
      <w:r>
        <w:rPr>
          <w:rFonts w:ascii="Times New Roman" w:hAnsi="Times New Roman" w:cs="Times New Roman"/>
          <w:i/>
          <w:iCs/>
        </w:rPr>
        <w:t xml:space="preserve">Estándares de ingeniería aplicables al proyecto</w:t>
      </w:r>
    </w:p>
    <w:tbl>
      <w:tblPr>
        <w:tblW w:w="8500" w:type="dxa"/>
        <w:jc w:val="center"/>
        <w:tblBorders>
          <w:top w:val="nil"/>
          <w:left w:val="nil"/>
          <w:bottom w:val="nil"/>
          <w:right w:val="nil"/>
          <w:insideH w:val="nil"/>
          <w:insideV w:val="nil"/>
        </w:tblBorders>
        <w:tblCellMar>
          <w:left w:w="80" w:type="dxa"/>
          <w:right w:w="80" w:type="dxa"/>
        </w:tblCellMar>
      </w:tblPr>
      <w:tblGrid>
        <w:gridCol w:w="1900"/>
        <w:gridCol w:w="2700"/>
        <w:gridCol w:w="3900"/>
      </w:tblGrid>
      <w:tr>
        <w:trPr>
          <w:tblHeader/>
        </w:trPr>
        <w:tc>
          <w:tcPr>
            <w:tcW w:w="1900" w:type="dxa"/>
            <w:tcBorders>
              <w:top w:val="single" w:sz="4" w:space="0" w:color="000000"/>
              <w:bottom w:val="single" w:sz="4" w:space="0" w:color="000000"/>
            </w:tcBorders>
          </w:tcPr>
          <w:p>
            <w:pPr>
              <w:spacing w:before="0" w:after="0" w:line="240" w:lineRule="auto"/>
              <w:jc w:val="left"/>
            </w:pPr>
            <w:r>
              <w:rPr>
                <w:rFonts w:ascii="Times New Roman" w:hAnsi="Times New Roman" w:cs="Times New Roman"/>
                <w:b/>
                <w:bCs/>
                <w:sz w:val="20"/>
                <w:szCs w:val="20"/>
              </w:rPr>
              <w:t xml:space="preserve">Estándar</w:t>
            </w:r>
          </w:p>
        </w:tc>
        <w:tc>
          <w:tcPr>
            <w:tcW w:w="2700" w:type="dxa"/>
            <w:tcBorders>
              <w:top w:val="single" w:sz="4" w:space="0" w:color="000000"/>
              <w:bottom w:val="single" w:sz="4" w:space="0" w:color="000000"/>
            </w:tcBorders>
          </w:tcPr>
          <w:p>
            <w:pPr>
              <w:spacing w:before="0" w:after="0" w:line="240" w:lineRule="auto"/>
              <w:jc w:val="left"/>
            </w:pPr>
            <w:r>
              <w:rPr>
                <w:rFonts w:ascii="Times New Roman" w:hAnsi="Times New Roman" w:cs="Times New Roman"/>
                <w:b/>
                <w:bCs/>
                <w:sz w:val="20"/>
                <w:szCs w:val="20"/>
              </w:rPr>
              <w:t xml:space="preserve">Alcance</w:t>
            </w:r>
          </w:p>
        </w:tc>
        <w:tc>
          <w:tcPr>
            <w:tcW w:w="3900" w:type="dxa"/>
            <w:tcBorders>
              <w:top w:val="single" w:sz="4" w:space="0" w:color="000000"/>
              <w:bottom w:val="single" w:sz="4" w:space="0" w:color="000000"/>
            </w:tcBorders>
          </w:tcPr>
          <w:p>
            <w:pPr>
              <w:spacing w:before="0" w:after="0" w:line="240" w:lineRule="auto"/>
              <w:jc w:val="left"/>
            </w:pPr>
            <w:r>
              <w:rPr>
                <w:rFonts w:ascii="Times New Roman" w:hAnsi="Times New Roman" w:cs="Times New Roman"/>
                <w:b/>
                <w:bCs/>
                <w:sz w:val="20"/>
                <w:szCs w:val="20"/>
              </w:rPr>
              <w:t xml:space="preserve">Aplicación y análisis crítico</w:t>
            </w:r>
          </w:p>
        </w:tc>
      </w:tr>
      <w:tr>
        <w:tc>
          <w:tcPr>
            <w:tcW w:w="1900" w:type="dxa"/>
            <w:tcBorders/>
          </w:tcPr>
          <w:p>
            <w:pPr>
              <w:spacing w:before="0" w:after="0" w:line="240" w:lineRule="auto"/>
              <w:jc w:val="left"/>
            </w:pPr>
            <w:r>
              <w:rPr>
                <w:rFonts w:ascii="Times New Roman" w:hAnsi="Times New Roman" w:cs="Times New Roman"/>
                <w:sz w:val="20"/>
                <w:szCs w:val="20"/>
              </w:rPr>
              <w:t xml:space="preserve">ASME BPE-2024</w:t>
            </w:r>
          </w:p>
        </w:tc>
        <w:tc>
          <w:tcPr>
            <w:tcW w:w="2700" w:type="dxa"/>
            <w:tcBorders/>
          </w:tcPr>
          <w:p>
            <w:pPr>
              <w:spacing w:before="0" w:after="0" w:line="240" w:lineRule="auto"/>
              <w:jc w:val="left"/>
            </w:pPr>
            <w:r>
              <w:rPr>
                <w:rFonts w:ascii="Times New Roman" w:hAnsi="Times New Roman" w:cs="Times New Roman"/>
                <w:sz w:val="20"/>
                <w:szCs w:val="20"/>
              </w:rPr>
              <w:t xml:space="preserve">Diseño sanitario de equipos de bioproceso: materiales, acabado superficial, drenabilidad, CIP/SIP.</w:t>
            </w:r>
          </w:p>
        </w:tc>
        <w:tc>
          <w:tcPr>
            <w:tcW w:w="3900" w:type="dxa"/>
            <w:tcBorders/>
          </w:tcPr>
          <w:p>
            <w:pPr>
              <w:spacing w:before="0" w:after="0" w:line="240" w:lineRule="auto"/>
              <w:jc w:val="left"/>
            </w:pPr>
            <w:r>
              <w:rPr>
                <w:rFonts w:ascii="Times New Roman" w:hAnsi="Times New Roman" w:cs="Times New Roman"/>
                <w:sz w:val="20"/>
                <w:szCs w:val="20"/>
              </w:rPr>
              <w:t xml:space="preserve">Guía el diseño del prototipo (Objetivo 3). El cumplimiento total (acero 316L electropulido, certificación) excede el presupuesto; se adoptan sus criterios de esterilizabilidad, drenaje y ausencia de zonas muertas.</w:t>
            </w:r>
          </w:p>
        </w:tc>
      </w:tr>
      <w:tr>
        <w:tc>
          <w:tcPr>
            <w:tcW w:w="1900" w:type="dxa"/>
            <w:tcBorders/>
          </w:tcPr>
          <w:p>
            <w:pPr>
              <w:spacing w:before="0" w:after="0" w:line="240" w:lineRule="auto"/>
              <w:jc w:val="left"/>
            </w:pPr>
            <w:r>
              <w:rPr>
                <w:rFonts w:ascii="Times New Roman" w:hAnsi="Times New Roman" w:cs="Times New Roman"/>
                <w:sz w:val="20"/>
                <w:szCs w:val="20"/>
              </w:rPr>
              <w:t xml:space="preserve">ISO 17665:2024; ISO 11138-3:2017</w:t>
            </w:r>
          </w:p>
        </w:tc>
        <w:tc>
          <w:tcPr>
            <w:tcW w:w="2700" w:type="dxa"/>
            <w:tcBorders/>
          </w:tcPr>
          <w:p>
            <w:pPr>
              <w:spacing w:before="0" w:after="0" w:line="240" w:lineRule="auto"/>
              <w:jc w:val="left"/>
            </w:pPr>
            <w:r>
              <w:rPr>
                <w:rFonts w:ascii="Times New Roman" w:hAnsi="Times New Roman" w:cs="Times New Roman"/>
                <w:sz w:val="20"/>
                <w:szCs w:val="20"/>
              </w:rPr>
              <w:t xml:space="preserve">Esterilización por calor húmedo; indicadores biológicos para su validación.</w:t>
            </w:r>
          </w:p>
        </w:tc>
        <w:tc>
          <w:tcPr>
            <w:tcW w:w="3900" w:type="dxa"/>
            <w:tcBorders/>
          </w:tcPr>
          <w:p>
            <w:pPr>
              <w:spacing w:before="0" w:after="0" w:line="240" w:lineRule="auto"/>
              <w:jc w:val="left"/>
            </w:pPr>
            <w:r>
              <w:rPr>
                <w:rFonts w:ascii="Times New Roman" w:hAnsi="Times New Roman" w:cs="Times New Roman"/>
                <w:sz w:val="20"/>
                <w:szCs w:val="20"/>
              </w:rPr>
              <w:t xml:space="preserve">Esterilización de medios y del prototipo. El laboratorio no valida ciclos de forma rutinaria; se propone verificarlos con indicadores de </w:t>
            </w:r>
            <w:r>
              <w:rPr>
                <w:rFonts w:ascii="Times New Roman" w:hAnsi="Times New Roman" w:cs="Times New Roman"/>
                <w:i/>
                <w:iCs/>
                <w:sz w:val="20"/>
                <w:szCs w:val="20"/>
              </w:rPr>
              <w:t xml:space="preserve">Geobacillus stearothermophilus</w:t>
            </w:r>
            <w:r>
              <w:rPr>
                <w:rFonts w:ascii="Times New Roman" w:hAnsi="Times New Roman" w:cs="Times New Roman"/>
                <w:sz w:val="20"/>
                <w:szCs w:val="20"/>
              </w:rPr>
              <w:t xml:space="preserve"> y controles sin inocular.</w:t>
            </w:r>
          </w:p>
        </w:tc>
      </w:tr>
      <w:tr>
        <w:tc>
          <w:tcPr>
            <w:tcW w:w="1900" w:type="dxa"/>
            <w:tcBorders/>
          </w:tcPr>
          <w:p>
            <w:pPr>
              <w:spacing w:before="0" w:after="0" w:line="240" w:lineRule="auto"/>
              <w:jc w:val="left"/>
            </w:pPr>
            <w:r>
              <w:rPr>
                <w:rFonts w:ascii="Times New Roman" w:hAnsi="Times New Roman" w:cs="Times New Roman"/>
                <w:sz w:val="20"/>
                <w:szCs w:val="20"/>
              </w:rPr>
              <w:t xml:space="preserve">ISO 21527-1:2008</w:t>
            </w:r>
          </w:p>
        </w:tc>
        <w:tc>
          <w:tcPr>
            <w:tcW w:w="2700" w:type="dxa"/>
            <w:tcBorders/>
          </w:tcPr>
          <w:p>
            <w:pPr>
              <w:spacing w:before="0" w:after="0" w:line="240" w:lineRule="auto"/>
              <w:jc w:val="left"/>
            </w:pPr>
            <w:r>
              <w:rPr>
                <w:rFonts w:ascii="Times New Roman" w:hAnsi="Times New Roman" w:cs="Times New Roman"/>
                <w:sz w:val="20"/>
                <w:szCs w:val="20"/>
              </w:rPr>
              <w:t xml:space="preserve">Recuento de mohos y levaduras en productos con aw &gt; 0,95.</w:t>
            </w:r>
          </w:p>
        </w:tc>
        <w:tc>
          <w:tcPr>
            <w:tcW w:w="3900" w:type="dxa"/>
            <w:tcBorders/>
          </w:tcPr>
          <w:p>
            <w:pPr>
              <w:spacing w:before="0" w:after="0" w:line="240" w:lineRule="auto"/>
              <w:jc w:val="left"/>
            </w:pPr>
            <w:r>
              <w:rPr>
                <w:rFonts w:ascii="Times New Roman" w:hAnsi="Times New Roman" w:cs="Times New Roman"/>
                <w:sz w:val="20"/>
                <w:szCs w:val="20"/>
              </w:rPr>
              <w:t xml:space="preserve">Control de pureza y viabilidad (Objetivo 2.3). Fue diseñada para alimentos y no distingue </w:t>
            </w:r>
            <w:r>
              <w:rPr>
                <w:rFonts w:ascii="Times New Roman" w:hAnsi="Times New Roman" w:cs="Times New Roman"/>
                <w:i/>
                <w:iCs/>
                <w:sz w:val="20"/>
                <w:szCs w:val="20"/>
              </w:rPr>
              <w:t xml:space="preserve">C. utilis</w:t>
            </w:r>
            <w:r>
              <w:rPr>
                <w:rFonts w:ascii="Times New Roman" w:hAnsi="Times New Roman" w:cs="Times New Roman"/>
                <w:sz w:val="20"/>
                <w:szCs w:val="20"/>
              </w:rPr>
              <w:t xml:space="preserve"> de levaduras contaminantes; se complementa con morfología y microscopía.</w:t>
            </w:r>
          </w:p>
        </w:tc>
      </w:tr>
      <w:tr>
        <w:tc>
          <w:tcPr>
            <w:tcW w:w="1900" w:type="dxa"/>
            <w:tcBorders/>
          </w:tcPr>
          <w:p>
            <w:pPr>
              <w:spacing w:before="0" w:after="0" w:line="240" w:lineRule="auto"/>
              <w:jc w:val="left"/>
            </w:pPr>
            <w:r>
              <w:rPr>
                <w:rFonts w:ascii="Times New Roman" w:hAnsi="Times New Roman" w:cs="Times New Roman"/>
                <w:sz w:val="20"/>
                <w:szCs w:val="20"/>
              </w:rPr>
              <w:t xml:space="preserve">ISO 5983-2:2009; ISO 16634-1:2008</w:t>
            </w:r>
          </w:p>
        </w:tc>
        <w:tc>
          <w:tcPr>
            <w:tcW w:w="2700" w:type="dxa"/>
            <w:tcBorders/>
          </w:tcPr>
          <w:p>
            <w:pPr>
              <w:spacing w:before="0" w:after="0" w:line="240" w:lineRule="auto"/>
              <w:jc w:val="left"/>
            </w:pPr>
            <w:r>
              <w:rPr>
                <w:rFonts w:ascii="Times New Roman" w:hAnsi="Times New Roman" w:cs="Times New Roman"/>
                <w:sz w:val="20"/>
                <w:szCs w:val="20"/>
              </w:rPr>
              <w:t xml:space="preserve">Proteína cruda en piensos por Kjeldahl y por Dumas.</w:t>
            </w:r>
          </w:p>
        </w:tc>
        <w:tc>
          <w:tcPr>
            <w:tcW w:w="3900" w:type="dxa"/>
            <w:tcBorders/>
          </w:tcPr>
          <w:p>
            <w:pPr>
              <w:spacing w:before="0" w:after="0" w:line="240" w:lineRule="auto"/>
              <w:jc w:val="left"/>
            </w:pPr>
            <w:r>
              <w:rPr>
                <w:rFonts w:ascii="Times New Roman" w:hAnsi="Times New Roman" w:cs="Times New Roman"/>
                <w:sz w:val="20"/>
                <w:szCs w:val="20"/>
              </w:rPr>
              <w:t xml:space="preserve">Referencia para expresar la proteína de la biomasa de forma comparable con los piensos. El método de Bradford mide proteína soluble y no es equivalente; la diferencia se declara como limitación.</w:t>
            </w:r>
          </w:p>
        </w:tc>
      </w:tr>
      <w:tr>
        <w:tc>
          <w:tcPr>
            <w:tcW w:w="1900" w:type="dxa"/>
            <w:tcBorders/>
          </w:tcPr>
          <w:p>
            <w:pPr>
              <w:spacing w:before="0" w:after="0" w:line="240" w:lineRule="auto"/>
              <w:jc w:val="left"/>
            </w:pPr>
            <w:r>
              <w:rPr>
                <w:rFonts w:ascii="Times New Roman" w:hAnsi="Times New Roman" w:cs="Times New Roman"/>
                <w:sz w:val="20"/>
                <w:szCs w:val="20"/>
              </w:rPr>
              <w:t xml:space="preserve">ISO 6496:1999</w:t>
            </w:r>
          </w:p>
        </w:tc>
        <w:tc>
          <w:tcPr>
            <w:tcW w:w="2700" w:type="dxa"/>
            <w:tcBorders/>
          </w:tcPr>
          <w:p>
            <w:pPr>
              <w:spacing w:before="0" w:after="0" w:line="240" w:lineRule="auto"/>
              <w:jc w:val="left"/>
            </w:pPr>
            <w:r>
              <w:rPr>
                <w:rFonts w:ascii="Times New Roman" w:hAnsi="Times New Roman" w:cs="Times New Roman"/>
                <w:sz w:val="20"/>
                <w:szCs w:val="20"/>
              </w:rPr>
              <w:t xml:space="preserve">Humedad y materia volátil en piensos.</w:t>
            </w:r>
          </w:p>
        </w:tc>
        <w:tc>
          <w:tcPr>
            <w:tcW w:w="3900" w:type="dxa"/>
            <w:tcBorders/>
          </w:tcPr>
          <w:p>
            <w:pPr>
              <w:spacing w:before="0" w:after="0" w:line="240" w:lineRule="auto"/>
              <w:jc w:val="left"/>
            </w:pPr>
            <w:r>
              <w:rPr>
                <w:rFonts w:ascii="Times New Roman" w:hAnsi="Times New Roman" w:cs="Times New Roman"/>
                <w:sz w:val="20"/>
                <w:szCs w:val="20"/>
              </w:rPr>
              <w:t xml:space="preserve">Base del peso seco de biomasa; exige estandarizar temperatura y tiempo de secado hasta peso constante.</w:t>
            </w:r>
          </w:p>
        </w:tc>
      </w:tr>
      <w:tr>
        <w:tc>
          <w:tcPr>
            <w:tcW w:w="1900" w:type="dxa"/>
            <w:tcBorders>
              <w:bottom w:val="single" w:sz="4" w:space="0" w:color="000000"/>
            </w:tcBorders>
          </w:tcPr>
          <w:p>
            <w:pPr>
              <w:spacing w:before="0" w:after="0" w:line="240" w:lineRule="auto"/>
              <w:jc w:val="left"/>
            </w:pPr>
            <w:r>
              <w:rPr>
                <w:rFonts w:ascii="Times New Roman" w:hAnsi="Times New Roman" w:cs="Times New Roman"/>
                <w:sz w:val="20"/>
                <w:szCs w:val="20"/>
              </w:rPr>
              <w:t xml:space="preserve">WHO (2020); 21 CFR 172.896</w:t>
            </w:r>
          </w:p>
        </w:tc>
        <w:tc>
          <w:tcPr>
            <w:tcW w:w="2700" w:type="dxa"/>
            <w:tcBorders>
              <w:bottom w:val="single" w:sz="4" w:space="0" w:color="000000"/>
            </w:tcBorders>
          </w:tcPr>
          <w:p>
            <w:pPr>
              <w:spacing w:before="0" w:after="0" w:line="240" w:lineRule="auto"/>
              <w:jc w:val="left"/>
            </w:pPr>
            <w:r>
              <w:rPr>
                <w:rFonts w:ascii="Times New Roman" w:hAnsi="Times New Roman" w:cs="Times New Roman"/>
                <w:sz w:val="20"/>
                <w:szCs w:val="20"/>
              </w:rPr>
              <w:t xml:space="preserve">Evaluación de riesgo biológico; uso de levadura seca de </w:t>
            </w:r>
            <w:r>
              <w:rPr>
                <w:rFonts w:ascii="Times New Roman" w:hAnsi="Times New Roman" w:cs="Times New Roman"/>
                <w:i/>
                <w:iCs/>
                <w:sz w:val="20"/>
                <w:szCs w:val="20"/>
              </w:rPr>
              <w:t xml:space="preserve">C. utilis</w:t>
            </w:r>
            <w:r>
              <w:rPr>
                <w:rFonts w:ascii="Times New Roman" w:hAnsi="Times New Roman" w:cs="Times New Roman"/>
                <w:sz w:val="20"/>
                <w:szCs w:val="20"/>
              </w:rPr>
              <w:t xml:space="preserve"> en alimentos.</w:t>
            </w:r>
          </w:p>
        </w:tc>
        <w:tc>
          <w:tcPr>
            <w:tcW w:w="3900" w:type="dxa"/>
            <w:tcBorders>
              <w:bottom w:val="single" w:sz="4" w:space="0" w:color="000000"/>
            </w:tcBorders>
          </w:tcPr>
          <w:p>
            <w:pPr>
              <w:spacing w:before="0" w:after="0" w:line="240" w:lineRule="auto"/>
              <w:jc w:val="left"/>
            </w:pPr>
            <w:r>
              <w:rPr>
                <w:rFonts w:ascii="Times New Roman" w:hAnsi="Times New Roman" w:cs="Times New Roman"/>
                <w:sz w:val="20"/>
                <w:szCs w:val="20"/>
              </w:rPr>
              <w:t xml:space="preserve">Sustentan el manejo en nivel de bioseguridad 1 y la seguridad del organismo, pero no sustituyen el registro nacional ni el control de ácidos nucleicos.</w:t>
            </w:r>
          </w:p>
        </w:tc>
      </w:tr>
    </w:tbl>
    <w:p>
      <w:pPr>
        <w:spacing w:before="60" w:after="0" w:line="240" w:lineRule="auto"/>
        <w:jc w:val="both"/>
      </w:pPr>
      <w:r>
        <w:rPr>
          <w:rFonts w:ascii="Times New Roman" w:hAnsi="Times New Roman" w:cs="Times New Roman"/>
          <w:i/>
          <w:iCs/>
          <w:sz w:val="20"/>
          <w:szCs w:val="20"/>
        </w:rPr>
        <w:t xml:space="preserve">Nota. </w:t>
      </w:r>
      <w:r>
        <w:rPr>
          <w:rFonts w:ascii="Times New Roman" w:hAnsi="Times New Roman" w:cs="Times New Roman"/>
          <w:sz w:val="20"/>
          <w:szCs w:val="20"/>
        </w:rPr>
        <w:t xml:space="preserve">Elaborado a partir de </w:t>
      </w:r>
      <w:sdt>
        <w:sdtPr>
          <w:rPr>
            <w:rFonts w:ascii="Times New Roman" w:hAnsi="Times New Roman" w:cs="Times New Roman"/>
            <w:color w:val="000000"/>
          </w:rPr>
          <w:tag w:val="MENDELEY_CITATION_v3_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"/>
          <w:id w:val="1013404855"/>
        </w:sdtPr>
        <w:sdtContent>
          <w:r>
            <w:rPr>
              <w:rFonts w:ascii="Times New Roman" w:hAnsi="Times New Roman" w:cs="Times New Roman"/>
              <w:color w:val="000000"/>
            </w:rPr>
            <w:t xml:space="preserve">(American Society of Mechanical Engineers, 2024; International Organization for Standardization, 1999, 2008a, 2008b, 2009, 2017, 2024; U.S. Food and Drug Administration, 2025; World Health Organization, 2020)</w:t>
          </w:r>
        </w:sdtContent>
      </w:sdt>
      <w:r>
        <w:rPr>
          <w:rFonts w:ascii="Times New Roman" w:hAnsi="Times New Roman" w:cs="Times New Roman"/>
          <w:sz w:val="20"/>
          <w:szCs w:val="20"/>
        </w:rPr>
        <w:t xml:space="preserve">.</w:t>
      </w:r>
    </w:p>
    <w:p>
      <w:pPr>
        <w:keepNext/>
        <w:spacing w:before="240" w:after="0" w:line="360" w:lineRule="auto"/>
        <w:jc w:val="both"/>
      </w:pPr>
      <w:r>
        <w:rPr>
          <w:rFonts w:ascii="Times New Roman" w:hAnsi="Times New Roman" w:cs="Times New Roman"/>
          <w:b/>
          <w:bCs/>
        </w:rPr>
        <w:t xml:space="preserve">Referencias</w:t>
      </w:r>
    </w:p>
    <w:sdt>
      <w:sdtPr>
        <w:rPr>
          <w:rFonts w:ascii="Times New Roman" w:hAnsi="Times New Roman" w:cs="Times New Roman"/>
          <w:color w:val="000000"/>
        </w:rPr>
        <w:tag w:val="MENDELEY_BIBLIOGRAPHY"/>
        <w:id w:val="968186022"/>
      </w:sdtPr>
      <w:sdtContent>
        <w:p>
          <w:pPr>
            <w:spacing w:before="0" w:after="0" w:line="360" w:lineRule="auto"/>
            <w:ind w:left="720" w:hanging="720"/>
            <w:jc w:val="left"/>
          </w:pPr>
          <w:r>
            <w:rPr>
              <w:rFonts w:ascii="Times New Roman" w:hAnsi="Times New Roman" w:cs="Times New Roman"/>
            </w:rPr>
            <w:t xml:space="preserve">American Society of Mechanical Engineers. (2024). </w:t>
          </w:r>
          <w:r>
            <w:rPr>
              <w:rFonts w:ascii="Times New Roman" w:hAnsi="Times New Roman" w:cs="Times New Roman"/>
              <w:i/>
              <w:iCs/>
            </w:rPr>
            <w:t xml:space="preserve">Bioprocessing equipment</w:t>
          </w:r>
          <w:r>
            <w:rPr>
              <w:rFonts w:ascii="Times New Roman" w:hAnsi="Times New Roman" w:cs="Times New Roman"/>
            </w:rPr>
            <w:t xml:space="preserve"> (ASME Standard No. BPE-2024).</w:t>
          </w:r>
        </w:p>
        <w:p>
          <w:pPr>
            <w:spacing w:before="0" w:after="0" w:line="360" w:lineRule="auto"/>
            <w:ind w:left="720" w:hanging="720"/>
            <w:jc w:val="left"/>
          </w:pPr>
          <w:r>
            <w:rPr>
              <w:rFonts w:ascii="Times New Roman" w:hAnsi="Times New Roman" w:cs="Times New Roman"/>
            </w:rPr>
            <w:t xml:space="preserve">Armijos Medrano, S. (2026, julio 7). Ecuador espera producir 530.000 toneladas de azúcar en 2026. </w:t>
          </w:r>
          <w:r>
            <w:rPr>
              <w:rFonts w:ascii="Times New Roman" w:hAnsi="Times New Roman" w:cs="Times New Roman"/>
              <w:i/>
              <w:iCs/>
            </w:rPr>
            <w:t xml:space="preserve">Vistazo</w:t>
          </w:r>
          <w:r>
            <w:rPr>
              <w:rFonts w:ascii="Times New Roman" w:hAnsi="Times New Roman" w:cs="Times New Roman"/>
            </w:rPr>
            <w:t xml:space="preserve">. https://www.vistazo.com/negocios/economia/2026-07-07-ecuador-produccion-azucar-ingenios-BB11100890</w:t>
          </w:r>
        </w:p>
        <w:p>
          <w:pPr>
            <w:spacing w:before="0" w:after="0" w:line="360" w:lineRule="auto"/>
            <w:ind w:left="720" w:hanging="720"/>
            <w:jc w:val="left"/>
          </w:pPr>
          <w:r>
            <w:rPr>
              <w:rFonts w:ascii="Times New Roman" w:hAnsi="Times New Roman" w:cs="Times New Roman"/>
            </w:rPr>
            <w:t xml:space="preserve">Ding, H., Li, J., Deng, F., Huang, S., Zhou, P., Liu, X., Li, Z., &amp; Li, D. (2023). Ammonia nitrogen recovery from biogas slurry by SCP production using Candida utilis. </w:t>
          </w:r>
          <w:r>
            <w:rPr>
              <w:rFonts w:ascii="Times New Roman" w:hAnsi="Times New Roman" w:cs="Times New Roman"/>
              <w:i/>
              <w:iCs/>
            </w:rPr>
            <w:t xml:space="preserve">Journal of Environmental Management</w:t>
          </w:r>
          <w:r>
            <w:rPr>
              <w:rFonts w:ascii="Times New Roman" w:hAnsi="Times New Roman" w:cs="Times New Roman"/>
            </w:rPr>
            <w:t xml:space="preserve">, </w:t>
          </w:r>
          <w:r>
            <w:rPr>
              <w:rFonts w:ascii="Times New Roman" w:hAnsi="Times New Roman" w:cs="Times New Roman"/>
              <w:i/>
              <w:iCs/>
            </w:rPr>
            <w:t xml:space="preserve">325</w:t>
          </w:r>
          <w:r>
            <w:rPr>
              <w:rFonts w:ascii="Times New Roman" w:hAnsi="Times New Roman" w:cs="Times New Roman"/>
            </w:rPr>
            <w:t xml:space="preserve">, 116657. https://doi.org/10.1016/j.jenvman.2022.116657</w:t>
          </w:r>
        </w:p>
        <w:p>
          <w:pPr>
            <w:spacing w:before="0" w:after="0" w:line="360" w:lineRule="auto"/>
            <w:ind w:left="720" w:hanging="720"/>
            <w:jc w:val="left"/>
          </w:pPr>
          <w:r>
            <w:rPr>
              <w:rFonts w:ascii="Times New Roman" w:hAnsi="Times New Roman" w:cs="Times New Roman"/>
            </w:rPr>
            <w:t xml:space="preserve">Instituto Nacional de Estadística y Censos. (2023, septiembre 5). </w:t>
          </w:r>
          <w:r>
            <w:rPr>
              <w:rFonts w:ascii="Times New Roman" w:hAnsi="Times New Roman" w:cs="Times New Roman"/>
              <w:i/>
              <w:iCs/>
            </w:rPr>
            <w:t xml:space="preserve">Primera encuesta especializada revela que el 20.1% de los niños en Ecuador padecen de desnutrición crónica infantil</w:t>
          </w:r>
          <w:r>
            <w:rPr>
              <w:rFonts w:ascii="Times New Roman" w:hAnsi="Times New Roman" w:cs="Times New Roman"/>
            </w:rPr>
            <w:t xml:space="preserve">. https://www.ecuadorencifras.gob.ec/institucional/primera-encuesta-especializada-revela-que-el-20-1-de-los-ninos-en-ecuador-padecen-de-desnutricion-cronica-infantil/</w:t>
          </w:r>
        </w:p>
        <w:p>
          <w:pPr>
            <w:spacing w:before="0" w:after="0" w:line="360" w:lineRule="auto"/>
            <w:ind w:left="720" w:hanging="720"/>
            <w:jc w:val="left"/>
          </w:pPr>
          <w:r>
            <w:rPr>
              <w:rFonts w:ascii="Times New Roman" w:hAnsi="Times New Roman" w:cs="Times New Roman"/>
            </w:rPr>
            <w:t xml:space="preserve">International Organization for Standardization. (1999). </w:t>
          </w:r>
          <w:r>
            <w:rPr>
              <w:rFonts w:ascii="Times New Roman" w:hAnsi="Times New Roman" w:cs="Times New Roman"/>
              <w:i/>
              <w:iCs/>
            </w:rPr>
            <w:t xml:space="preserve">Animal feeding stuffs — Determination of moisture and other volatile matter</w:t>
          </w:r>
          <w:r>
            <w:rPr>
              <w:rFonts w:ascii="Times New Roman" w:hAnsi="Times New Roman" w:cs="Times New Roman"/>
            </w:rPr>
            <w:t xml:space="preserve"> (ISO Standard No. 6496:1999).</w:t>
          </w:r>
        </w:p>
        <w:p>
          <w:pPr>
            <w:spacing w:before="0" w:after="0" w:line="360" w:lineRule="auto"/>
            <w:ind w:left="720" w:hanging="720"/>
            <w:jc w:val="left"/>
          </w:pPr>
          <w:r>
            <w:rPr>
              <w:rFonts w:ascii="Times New Roman" w:hAnsi="Times New Roman" w:cs="Times New Roman"/>
            </w:rPr>
            <w:t xml:space="preserve">International Organization for Standardization. (2008a). </w:t>
          </w:r>
          <w:r>
            <w:rPr>
              <w:rFonts w:ascii="Times New Roman" w:hAnsi="Times New Roman" w:cs="Times New Roman"/>
              <w:i/>
              <w:iCs/>
            </w:rPr>
            <w:t xml:space="preserve">Food products — Determination of the total nitrogen content by combustion according to the Dumas principle and calculation of the crude protein content — Part 1: Oilseeds and animal feeding stuffs</w:t>
          </w:r>
          <w:r>
            <w:rPr>
              <w:rFonts w:ascii="Times New Roman" w:hAnsi="Times New Roman" w:cs="Times New Roman"/>
            </w:rPr>
            <w:t xml:space="preserve"> (ISO Standard No. 16634-1:2008).</w:t>
          </w:r>
        </w:p>
        <w:p>
          <w:pPr>
            <w:spacing w:before="0" w:after="0" w:line="360" w:lineRule="auto"/>
            <w:ind w:left="720" w:hanging="720"/>
            <w:jc w:val="left"/>
          </w:pPr>
          <w:r>
            <w:rPr>
              <w:rFonts w:ascii="Times New Roman" w:hAnsi="Times New Roman" w:cs="Times New Roman"/>
            </w:rPr>
            <w:t xml:space="preserve">International Organization for Standardization. (2008b). </w:t>
          </w:r>
          <w:r>
            <w:rPr>
              <w:rFonts w:ascii="Times New Roman" w:hAnsi="Times New Roman" w:cs="Times New Roman"/>
              <w:i/>
              <w:iCs/>
            </w:rPr>
            <w:t xml:space="preserve">Microbiology of food and animal feeding stuffs — Horizontal method for the enumeration of yeasts and moulds — Part 1: Colony count technique in products with water activity greater than 0,95</w:t>
          </w:r>
          <w:r>
            <w:rPr>
              <w:rFonts w:ascii="Times New Roman" w:hAnsi="Times New Roman" w:cs="Times New Roman"/>
            </w:rPr>
            <w:t xml:space="preserve"> (ISO Standard No. 21527-1:2008).</w:t>
          </w:r>
        </w:p>
        <w:p>
          <w:pPr>
            <w:spacing w:before="0" w:after="0" w:line="360" w:lineRule="auto"/>
            <w:ind w:left="720" w:hanging="720"/>
            <w:jc w:val="left"/>
          </w:pPr>
          <w:r>
            <w:rPr>
              <w:rFonts w:ascii="Times New Roman" w:hAnsi="Times New Roman" w:cs="Times New Roman"/>
            </w:rPr>
            <w:t xml:space="preserve">International Organization for Standardization. (2009). </w:t>
          </w:r>
          <w:r>
            <w:rPr>
              <w:rFonts w:ascii="Times New Roman" w:hAnsi="Times New Roman" w:cs="Times New Roman"/>
              <w:i/>
              <w:iCs/>
            </w:rPr>
            <w:t xml:space="preserve">Animal feeding stuffs — Determination of nitrogen content and calculation of crude protein content — Part 2: Block digestion and steam distillation method</w:t>
          </w:r>
          <w:r>
            <w:rPr>
              <w:rFonts w:ascii="Times New Roman" w:hAnsi="Times New Roman" w:cs="Times New Roman"/>
            </w:rPr>
            <w:t xml:space="preserve"> (ISO Standard No. 5983-2:2009).</w:t>
          </w:r>
        </w:p>
        <w:p>
          <w:pPr>
            <w:spacing w:before="0" w:after="0" w:line="360" w:lineRule="auto"/>
            <w:ind w:left="720" w:hanging="720"/>
            <w:jc w:val="left"/>
          </w:pPr>
          <w:r>
            <w:rPr>
              <w:rFonts w:ascii="Times New Roman" w:hAnsi="Times New Roman" w:cs="Times New Roman"/>
            </w:rPr>
            <w:t xml:space="preserve">International Organization for Standardization. (2017). </w:t>
          </w:r>
          <w:r>
            <w:rPr>
              <w:rFonts w:ascii="Times New Roman" w:hAnsi="Times New Roman" w:cs="Times New Roman"/>
              <w:i/>
              <w:iCs/>
            </w:rPr>
            <w:t xml:space="preserve">Sterilization of health care products — Biological indicators — Part 3: Biological indicators for moist heat sterilization processes</w:t>
          </w:r>
          <w:r>
            <w:rPr>
              <w:rFonts w:ascii="Times New Roman" w:hAnsi="Times New Roman" w:cs="Times New Roman"/>
            </w:rPr>
            <w:t xml:space="preserve"> (ISO Standard No. 11138-3:2017).</w:t>
          </w:r>
        </w:p>
        <w:p>
          <w:pPr>
            <w:spacing w:before="0" w:after="0" w:line="360" w:lineRule="auto"/>
            <w:ind w:left="720" w:hanging="720"/>
            <w:jc w:val="left"/>
          </w:pPr>
          <w:r>
            <w:rPr>
              <w:rFonts w:ascii="Times New Roman" w:hAnsi="Times New Roman" w:cs="Times New Roman"/>
            </w:rPr>
            <w:t xml:space="preserve">International Organization for Standardization. (2024). </w:t>
          </w:r>
          <w:r>
            <w:rPr>
              <w:rFonts w:ascii="Times New Roman" w:hAnsi="Times New Roman" w:cs="Times New Roman"/>
              <w:i/>
              <w:iCs/>
            </w:rPr>
            <w:t xml:space="preserve">Sterilization of health care products — Moist heat — Requirements for the development, validation and routine control of a sterilization process for medical devices</w:t>
          </w:r>
          <w:r>
            <w:rPr>
              <w:rFonts w:ascii="Times New Roman" w:hAnsi="Times New Roman" w:cs="Times New Roman"/>
            </w:rPr>
            <w:t xml:space="preserve"> (ISO Standard No. 17665:2024).</w:t>
          </w:r>
        </w:p>
        <w:p>
          <w:pPr>
            <w:spacing w:before="0" w:after="0" w:line="360" w:lineRule="auto"/>
            <w:ind w:left="720" w:hanging="720"/>
            <w:jc w:val="left"/>
          </w:pPr>
          <w:r>
            <w:rPr>
              <w:rFonts w:ascii="Times New Roman" w:hAnsi="Times New Roman" w:cs="Times New Roman"/>
            </w:rPr>
            <w:t xml:space="preserve">López Lupino, F. (2026, mayo 26). El alza en el consumo de proteína animal impulsa el sector de balanceados en Ecuador. </w:t>
          </w:r>
          <w:r>
            <w:rPr>
              <w:rFonts w:ascii="Times New Roman" w:hAnsi="Times New Roman" w:cs="Times New Roman"/>
              <w:i/>
              <w:iCs/>
            </w:rPr>
            <w:t xml:space="preserve">Vistazo</w:t>
          </w:r>
          <w:r>
            <w:rPr>
              <w:rFonts w:ascii="Times New Roman" w:hAnsi="Times New Roman" w:cs="Times New Roman"/>
            </w:rPr>
            <w:t xml:space="preserve">. https://www.vistazo.com/enfoque/2026-05-26-consumo-cerdo-pollo-incrementa-ecuador-industria-balanceados-CA10987603</w:t>
          </w:r>
        </w:p>
        <w:p>
          <w:pPr>
            <w:spacing w:before="0" w:after="0" w:line="360" w:lineRule="auto"/>
            <w:ind w:left="720" w:hanging="720"/>
            <w:jc w:val="left"/>
          </w:pPr>
          <w:r>
            <w:rPr>
              <w:rFonts w:ascii="Times New Roman" w:hAnsi="Times New Roman" w:cs="Times New Roman"/>
            </w:rPr>
            <w:t xml:space="preserve">Pikaar, I., Matassa, S., Bodirsky, B. L., Weindl, I., Humpenöder, F., Rabaey, K., Boon, N., Bruschi, M., Yuan, Z., van Zanten, H., Herrero, M., Verstraete, W., &amp; Popp, A. (2018). Decoupling livestock from land use through industrial feed production pathways. </w:t>
          </w:r>
          <w:r>
            <w:rPr>
              <w:rFonts w:ascii="Times New Roman" w:hAnsi="Times New Roman" w:cs="Times New Roman"/>
              <w:i/>
              <w:iCs/>
            </w:rPr>
            <w:t xml:space="preserve">Environmental Science &amp; Technology</w:t>
          </w:r>
          <w:r>
            <w:rPr>
              <w:rFonts w:ascii="Times New Roman" w:hAnsi="Times New Roman" w:cs="Times New Roman"/>
            </w:rPr>
            <w:t xml:space="preserve">, </w:t>
          </w:r>
          <w:r>
            <w:rPr>
              <w:rFonts w:ascii="Times New Roman" w:hAnsi="Times New Roman" w:cs="Times New Roman"/>
              <w:i/>
              <w:iCs/>
            </w:rPr>
            <w:t xml:space="preserve">52</w:t>
          </w:r>
          <w:r>
            <w:rPr>
              <w:rFonts w:ascii="Times New Roman" w:hAnsi="Times New Roman" w:cs="Times New Roman"/>
            </w:rPr>
            <w:t xml:space="preserve">(13), 7351–7359. https://doi.org/10.1021/acs.est.8b00216</w:t>
          </w:r>
        </w:p>
        <w:p>
          <w:pPr>
            <w:spacing w:before="0" w:after="0" w:line="360" w:lineRule="auto"/>
            <w:ind w:left="720" w:hanging="720"/>
            <w:jc w:val="left"/>
          </w:pPr>
          <w:r>
            <w:rPr>
              <w:rFonts w:ascii="Times New Roman" w:hAnsi="Times New Roman" w:cs="Times New Roman"/>
            </w:rPr>
            <w:t xml:space="preserve">Tian, Y., Li, J., Meng, J., &amp; Li, J. (2023). High-yield production of single-cell protein from starch processing wastewater using co-cultivation of yeasts. </w:t>
          </w:r>
          <w:r>
            <w:rPr>
              <w:rFonts w:ascii="Times New Roman" w:hAnsi="Times New Roman" w:cs="Times New Roman"/>
              <w:i/>
              <w:iCs/>
            </w:rPr>
            <w:t xml:space="preserve">Bioresource Technology</w:t>
          </w:r>
          <w:r>
            <w:rPr>
              <w:rFonts w:ascii="Times New Roman" w:hAnsi="Times New Roman" w:cs="Times New Roman"/>
            </w:rPr>
            <w:t xml:space="preserve">, </w:t>
          </w:r>
          <w:r>
            <w:rPr>
              <w:rFonts w:ascii="Times New Roman" w:hAnsi="Times New Roman" w:cs="Times New Roman"/>
              <w:i/>
              <w:iCs/>
            </w:rPr>
            <w:t xml:space="preserve">370</w:t>
          </w:r>
          <w:r>
            <w:rPr>
              <w:rFonts w:ascii="Times New Roman" w:hAnsi="Times New Roman" w:cs="Times New Roman"/>
            </w:rPr>
            <w:t xml:space="preserve">, 128527. https://doi.org/10.1016/j.biortech.2022.128527</w:t>
          </w:r>
        </w:p>
        <w:p>
          <w:pPr>
            <w:spacing w:before="0" w:after="0" w:line="360" w:lineRule="auto"/>
            <w:ind w:left="720" w:hanging="720"/>
            <w:jc w:val="left"/>
          </w:pPr>
          <w:r>
            <w:rPr>
              <w:rFonts w:ascii="Times New Roman" w:hAnsi="Times New Roman" w:cs="Times New Roman"/>
            </w:rPr>
            <w:t xml:space="preserve">U.S. Food and Drug Administration. (2025). </w:t>
          </w:r>
          <w:r>
            <w:rPr>
              <w:rFonts w:ascii="Times New Roman" w:hAnsi="Times New Roman" w:cs="Times New Roman"/>
              <w:i/>
              <w:iCs/>
            </w:rPr>
            <w:t xml:space="preserve">Dried yeasts (21 CFR § 172.896)</w:t>
          </w:r>
          <w:r>
            <w:rPr>
              <w:rFonts w:ascii="Times New Roman" w:hAnsi="Times New Roman" w:cs="Times New Roman"/>
            </w:rPr>
            <w:t xml:space="preserve">. https://www.ecfr.gov/current/title-21/chapter-I/subchapter-B/part-172/subpart-I/section-172.896</w:t>
          </w:r>
        </w:p>
        <w:p>
          <w:pPr>
            <w:spacing w:before="0" w:after="0" w:line="360" w:lineRule="auto"/>
            <w:ind w:left="720" w:hanging="720"/>
            <w:jc w:val="left"/>
          </w:pPr>
          <w:r>
            <w:rPr>
              <w:rFonts w:ascii="Times New Roman" w:hAnsi="Times New Roman" w:cs="Times New Roman"/>
            </w:rPr>
            <w:t xml:space="preserve">Vieira-Lara, M. A., Warmerdam, M., de Hulster, E. A. F., van den Broek, M., Daran, J.-M., &amp; Pronk, J. T. (2024). Quantitative physiology and biomass composition of Cyberlindnera jadinii in ethanol-grown cultures. </w:t>
          </w:r>
          <w:r>
            <w:rPr>
              <w:rFonts w:ascii="Times New Roman" w:hAnsi="Times New Roman" w:cs="Times New Roman"/>
              <w:i/>
              <w:iCs/>
            </w:rPr>
            <w:t xml:space="preserve">Biotechnology for Biofuels and Bioproducts</w:t>
          </w:r>
          <w:r>
            <w:rPr>
              <w:rFonts w:ascii="Times New Roman" w:hAnsi="Times New Roman" w:cs="Times New Roman"/>
            </w:rPr>
            <w:t xml:space="preserve">, </w:t>
          </w:r>
          <w:r>
            <w:rPr>
              <w:rFonts w:ascii="Times New Roman" w:hAnsi="Times New Roman" w:cs="Times New Roman"/>
              <w:i/>
              <w:iCs/>
            </w:rPr>
            <w:t xml:space="preserve">17</w:t>
          </w:r>
          <w:r>
            <w:rPr>
              <w:rFonts w:ascii="Times New Roman" w:hAnsi="Times New Roman" w:cs="Times New Roman"/>
            </w:rPr>
            <w:t xml:space="preserve">, 142. https://doi.org/10.1186/s13068-024-02585-3</w:t>
          </w:r>
        </w:p>
        <w:p>
          <w:pPr>
            <w:spacing w:before="0" w:after="0" w:line="360" w:lineRule="auto"/>
            <w:ind w:left="720" w:hanging="720"/>
            <w:jc w:val="left"/>
          </w:pPr>
          <w:r>
            <w:rPr>
              <w:rFonts w:ascii="Times New Roman" w:hAnsi="Times New Roman" w:cs="Times New Roman"/>
            </w:rPr>
            <w:t xml:space="preserve">World Health Organization. (2020). </w:t>
          </w:r>
          <w:r>
            <w:rPr>
              <w:rFonts w:ascii="Times New Roman" w:hAnsi="Times New Roman" w:cs="Times New Roman"/>
              <w:i/>
              <w:iCs/>
            </w:rPr>
            <w:t xml:space="preserve">Laboratory biosafety manual</w:t>
          </w:r>
          <w:r>
            <w:rPr>
              <w:rFonts w:ascii="Times New Roman" w:hAnsi="Times New Roman" w:cs="Times New Roman"/>
            </w:rPr>
            <w:t xml:space="preserve"> (4th ed.). https://www.who.int/publications/i/item/9789240011311</w:t>
          </w:r>
        </w:p>
      </w:sdtContent>
    </w:sdt>
    <w:sectPr w:rsidR="00087FDD" w:rsidRPr="00087F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AA9"/>
    <w:rsid w:val="00087FDD"/>
    <w:rsid w:val="00335B88"/>
    <w:rsid w:val="004516EF"/>
    <w:rsid w:val="005104FC"/>
    <w:rsid w:val="005E57F3"/>
    <w:rsid w:val="005F45DD"/>
    <w:rsid w:val="00844AA9"/>
    <w:rsid w:val="009E437B"/>
    <w:rsid w:val="00B1227E"/>
    <w:rsid w:val="00C828CA"/>
    <w:rsid w:val="00CD179E"/>
    <w:rsid w:val="00D65F0B"/>
    <w:rsid w:val="00D9701C"/>
    <w:rsid w:val="00F6031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24D93"/>
  <w15:chartTrackingRefBased/>
  <w15:docId w15:val="{4359120E-D850-4E7E-870E-6F274348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4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4A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A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A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A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A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A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A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A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4A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4A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4A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4A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4A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4A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4A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4AA9"/>
    <w:rPr>
      <w:rFonts w:eastAsiaTheme="majorEastAsia" w:cstheme="majorBidi"/>
      <w:color w:val="272727" w:themeColor="text1" w:themeTint="D8"/>
    </w:rPr>
  </w:style>
  <w:style w:type="paragraph" w:styleId="Ttulo">
    <w:name w:val="Title"/>
    <w:basedOn w:val="Normal"/>
    <w:next w:val="Normal"/>
    <w:link w:val="TtuloCar"/>
    <w:uiPriority w:val="10"/>
    <w:qFormat/>
    <w:rsid w:val="00844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A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4A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A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4AA9"/>
    <w:pPr>
      <w:spacing w:before="160"/>
      <w:jc w:val="center"/>
    </w:pPr>
    <w:rPr>
      <w:i/>
      <w:iCs/>
      <w:color w:val="404040" w:themeColor="text1" w:themeTint="BF"/>
    </w:rPr>
  </w:style>
  <w:style w:type="character" w:customStyle="1" w:styleId="CitaCar">
    <w:name w:val="Cita Car"/>
    <w:basedOn w:val="Fuentedeprrafopredeter"/>
    <w:link w:val="Cita"/>
    <w:uiPriority w:val="29"/>
    <w:rsid w:val="00844AA9"/>
    <w:rPr>
      <w:i/>
      <w:iCs/>
      <w:color w:val="404040" w:themeColor="text1" w:themeTint="BF"/>
    </w:rPr>
  </w:style>
  <w:style w:type="paragraph" w:styleId="Prrafodelista">
    <w:name w:val="List Paragraph"/>
    <w:basedOn w:val="Normal"/>
    <w:uiPriority w:val="34"/>
    <w:qFormat/>
    <w:rsid w:val="00844AA9"/>
    <w:pPr>
      <w:ind w:left="720"/>
      <w:contextualSpacing/>
    </w:pPr>
  </w:style>
  <w:style w:type="character" w:styleId="nfasisintenso">
    <w:name w:val="Intense Emphasis"/>
    <w:basedOn w:val="Fuentedeprrafopredeter"/>
    <w:uiPriority w:val="21"/>
    <w:qFormat/>
    <w:rsid w:val="00844AA9"/>
    <w:rPr>
      <w:i/>
      <w:iCs/>
      <w:color w:val="0F4761" w:themeColor="accent1" w:themeShade="BF"/>
    </w:rPr>
  </w:style>
  <w:style w:type="paragraph" w:styleId="Citadestacada">
    <w:name w:val="Intense Quote"/>
    <w:basedOn w:val="Normal"/>
    <w:next w:val="Normal"/>
    <w:link w:val="CitadestacadaCar"/>
    <w:uiPriority w:val="30"/>
    <w:qFormat/>
    <w:rsid w:val="00844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AA9"/>
    <w:rPr>
      <w:i/>
      <w:iCs/>
      <w:color w:val="0F4761" w:themeColor="accent1" w:themeShade="BF"/>
    </w:rPr>
  </w:style>
  <w:style w:type="character" w:styleId="Referenciaintensa">
    <w:name w:val="Intense Reference"/>
    <w:basedOn w:val="Fuentedeprrafopredeter"/>
    <w:uiPriority w:val="32"/>
    <w:qFormat/>
    <w:rsid w:val="00844AA9"/>
    <w:rPr>
      <w:b/>
      <w:bCs/>
      <w:smallCaps/>
      <w:color w:val="0F4761" w:themeColor="accent1" w:themeShade="BF"/>
      <w:spacing w:val="5"/>
    </w:rPr>
  </w:style>
  <w:style w:type="character" w:styleId="Textodelmarcadordeposicin">
    <w:name w:val="Placeholder Text"/>
    <w:basedOn w:val="Fuentedeprrafopredeter"/>
    <w:uiPriority w:val="99"/>
    <w:semiHidden/>
    <w:rsid w:val="00B122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0425">
      <w:marLeft w:val="480"/>
      <w:marRight w:val="0"/>
      <w:marTop w:val="0"/>
      <w:marBottom w:val="0"/>
      <w:divBdr>
        <w:top w:val="none" w:sz="0" w:space="0" w:color="auto"/>
        <w:left w:val="none" w:sz="0" w:space="0" w:color="auto"/>
        <w:bottom w:val="none" w:sz="0" w:space="0" w:color="auto"/>
        <w:right w:val="none" w:sz="0" w:space="0" w:color="auto"/>
      </w:divBdr>
    </w:div>
    <w:div w:id="61493694">
      <w:marLeft w:val="480"/>
      <w:marRight w:val="0"/>
      <w:marTop w:val="0"/>
      <w:marBottom w:val="0"/>
      <w:divBdr>
        <w:top w:val="none" w:sz="0" w:space="0" w:color="auto"/>
        <w:left w:val="none" w:sz="0" w:space="0" w:color="auto"/>
        <w:bottom w:val="none" w:sz="0" w:space="0" w:color="auto"/>
        <w:right w:val="none" w:sz="0" w:space="0" w:color="auto"/>
      </w:divBdr>
    </w:div>
    <w:div w:id="576092578">
      <w:marLeft w:val="480"/>
      <w:marRight w:val="0"/>
      <w:marTop w:val="0"/>
      <w:marBottom w:val="0"/>
      <w:divBdr>
        <w:top w:val="none" w:sz="0" w:space="0" w:color="auto"/>
        <w:left w:val="none" w:sz="0" w:space="0" w:color="auto"/>
        <w:bottom w:val="none" w:sz="0" w:space="0" w:color="auto"/>
        <w:right w:val="none" w:sz="0" w:space="0" w:color="auto"/>
      </w:divBdr>
    </w:div>
    <w:div w:id="1091584118">
      <w:marLeft w:val="480"/>
      <w:marRight w:val="0"/>
      <w:marTop w:val="0"/>
      <w:marBottom w:val="0"/>
      <w:divBdr>
        <w:top w:val="none" w:sz="0" w:space="0" w:color="auto"/>
        <w:left w:val="none" w:sz="0" w:space="0" w:color="auto"/>
        <w:bottom w:val="none" w:sz="0" w:space="0" w:color="auto"/>
        <w:right w:val="none" w:sz="0" w:space="0" w:color="auto"/>
      </w:divBdr>
    </w:div>
    <w:div w:id="1112942680">
      <w:marLeft w:val="480"/>
      <w:marRight w:val="0"/>
      <w:marTop w:val="0"/>
      <w:marBottom w:val="0"/>
      <w:divBdr>
        <w:top w:val="none" w:sz="0" w:space="0" w:color="auto"/>
        <w:left w:val="none" w:sz="0" w:space="0" w:color="auto"/>
        <w:bottom w:val="none" w:sz="0" w:space="0" w:color="auto"/>
        <w:right w:val="none" w:sz="0" w:space="0" w:color="auto"/>
      </w:divBdr>
    </w:div>
    <w:div w:id="1940943917">
      <w:marLeft w:val="480"/>
      <w:marRight w:val="0"/>
      <w:marTop w:val="0"/>
      <w:marBottom w:val="0"/>
      <w:divBdr>
        <w:top w:val="none" w:sz="0" w:space="0" w:color="auto"/>
        <w:left w:val="none" w:sz="0" w:space="0" w:color="auto"/>
        <w:bottom w:val="none" w:sz="0" w:space="0" w:color="auto"/>
        <w:right w:val="none" w:sz="0" w:space="0" w:color="auto"/>
      </w:divBdr>
    </w:div>
    <w:div w:id="1978029784">
      <w:marLeft w:val="480"/>
      <w:marRight w:val="0"/>
      <w:marTop w:val="0"/>
      <w:marBottom w:val="0"/>
      <w:divBdr>
        <w:top w:val="none" w:sz="0" w:space="0" w:color="auto"/>
        <w:left w:val="none" w:sz="0" w:space="0" w:color="auto"/>
        <w:bottom w:val="none" w:sz="0" w:space="0" w:color="auto"/>
        <w:right w:val="none" w:sz="0" w:space="0" w:color="auto"/>
      </w:divBdr>
    </w:div>
    <w:div w:id="200646839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A18120C-4F87-4BE0-9840-A3F59E6B5056}"/>
      </w:docPartPr>
      <w:docPartBody>
        <w:p w:rsidR="00000000" w:rsidRDefault="00E21308">
          <w:r w:rsidRPr="008F2510">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308"/>
    <w:rsid w:val="005F45DD"/>
    <w:rsid w:val="00E21308"/>
    <w:rsid w:val="00E9532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2130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7A77FC3-FE85-41CB-A429-5437DA34FB02}">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90600515178"/>
    <we:property name="MENDELEY_CITATIONS" value="[{&quot;citationID&quot;:&quot;MENDELEY_CITATION_56191fca-564a-4421-a5cc-a9a9eae45f24&quot;,&quot;properties&quot;:{&quot;noteIndex&quot;:0},&quot;isEdited&quot;:false,&quot;manualOverride&quot;:{&quot;isManuallyOverridden&quot;:false,&quot;citeprocText&quot;:&quot;(Pikaar et al., 2018)&quot;,&quot;manualOverrideText&quot;:&quot;&quot;},&quot;citationTag&quot;:&quot;MENDELEY_CITATION_v3_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&quot;,&quot;citationItems&quot;:[{&quot;id&quot;:&quot;f24e2067-02e8-5e20-b842-5205972a7ca1&quot;,&quot;itemData&quot;:{&quot;id&quot;:&quot;f24e2067-02e8-5e20-b842-5205972a7ca1&quot;,&quot;type&quot;:&quot;article-journal&quot;,&quot;title&quot;:&quot;Decoupling livestock from land use through industrial feed production pathways&quot;,&quot;author&quot;:[{&quot;family&quot;:&quot;Pikaar&quot;,&quot;given&quot;:&quot;Ilje&quot;,&quot;parse-names&quot;:false,&quot;dropping-particle&quot;:&quot;&quot;,&quot;non-dropping-particle&quot;:&quot;&quot;},{&quot;family&quot;:&quot;Matassa&quot;,&quot;given&quot;:&quot;Silvio&quot;,&quot;parse-names&quot;:false,&quot;dropping-particle&quot;:&quot;&quot;,&quot;non-dropping-particle&quot;:&quot;&quot;},{&quot;family&quot;:&quot;Bodirsky&quot;,&quot;given&quot;:&quot;Benjamin L.&quot;,&quot;parse-names&quot;:false,&quot;dropping-particle&quot;:&quot;&quot;,&quot;non-dropping-particle&quot;:&quot;&quot;},{&quot;family&quot;:&quot;Weindl&quot;,&quot;given&quot;:&quot;Isabelle&quot;,&quot;parse-names&quot;:false,&quot;dropping-particle&quot;:&quot;&quot;,&quot;non-dropping-particle&quot;:&quot;&quot;},{&quot;family&quot;:&quot;Humpenöder&quot;,&quot;given&quot;:&quot;Florian&quot;,&quot;parse-names&quot;:false,&quot;dropping-particle&quot;:&quot;&quot;,&quot;non-dropping-particle&quot;:&quot;&quot;},{&quot;family&quot;:&quot;Rabaey&quot;,&quot;given&quot;:&quot;Korneel&quot;,&quot;parse-names&quot;:false,&quot;dropping-particle&quot;:&quot;&quot;,&quot;non-dropping-particle&quot;:&quot;&quot;},{&quot;family&quot;:&quot;Boon&quot;,&quot;given&quot;:&quot;Nico&quot;,&quot;parse-names&quot;:false,&quot;dropping-particle&quot;:&quot;&quot;,&quot;non-dropping-particle&quot;:&quot;&quot;},{&quot;family&quot;:&quot;Bruschi&quot;,&quot;given&quot;:&quot;Michele&quot;,&quot;parse-names&quot;:false,&quot;dropping-particle&quot;:&quot;&quot;,&quot;non-dropping-particle&quot;:&quot;&quot;},{&quot;family&quot;:&quot;Yuan&quot;,&quot;given&quot;:&quot;Zhiguo&quot;,&quot;parse-names&quot;:false,&quot;dropping-particle&quot;:&quot;&quot;,&quot;non-dropping-particle&quot;:&quot;&quot;},{&quot;family&quot;:&quot;van Zanten&quot;,&quot;given&quot;:&quot;Hannah&quot;,&quot;parse-names&quot;:false,&quot;dropping-particle&quot;:&quot;&quot;,&quot;non-dropping-particle&quot;:&quot;&quot;},{&quot;family&quot;:&quot;Herrero&quot;,&quot;given&quot;:&quot;Mario&quot;,&quot;parse-names&quot;:false,&quot;dropping-particle&quot;:&quot;&quot;,&quot;non-dropping-particle&quot;:&quot;&quot;},{&quot;family&quot;:&quot;Verstraete&quot;,&quot;given&quot;:&quot;Willy&quot;,&quot;parse-names&quot;:false,&quot;dropping-particle&quot;:&quot;&quot;,&quot;non-dropping-particle&quot;:&quot;&quot;},{&quot;family&quot;:&quot;Popp&quot;,&quot;given&quot;:&quot;Alexander&quot;,&quot;parse-names&quot;:false,&quot;dropping-particle&quot;:&quot;&quot;,&quot;non-dropping-particle&quot;:&quot;&quot;}],&quot;container-title&quot;:&quot;Environmental Science &amp; Technology&quot;,&quot;volume&quot;:&quot;52&quot;,&quot;issue&quot;:&quot;13&quot;,&quot;page&quot;:&quot;7351-7359&quot;,&quot;DOI&quot;:&quot;10.1021/acs.est.8b00216&quot;,&quot;issued&quot;:{&quot;date-parts&quot;:[[2018]]}},&quot;isTemporary&quot;:false}]},{&quot;citationID&quot;:&quot;MENDELEY_CITATION_3bada5a8-2a36-409a-9863-c89d52bea65c&quot;,&quot;properties&quot;:{&quot;noteIndex&quot;:0},&quot;isEdited&quot;:false,&quot;manualOverride&quot;:{&quot;isManuallyOverridden&quot;:false,&quot;citeprocText&quot;:&quot;(López Lupino, 2026)&quot;,&quot;manualOverrideText&quot;:&quot;&quot;},&quot;citationTag&quot;:&quot;MENDELEY_CITATION_v3_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&quot;,&quot;citationItems&quot;:[{&quot;id&quot;:&quot;2619189a-63ec-509f-a893-67d56e218a15&quot;,&quot;itemData&quot;:{&quot;id&quot;:&quot;2619189a-63ec-509f-a893-67d56e218a15&quot;,&quot;type&quot;:&quot;article-newspaper&quot;,&quot;title&quot;:&quot;El alza en el consumo de proteína animal impulsa el sector de balanceados en Ecuador&quot;,&quot;author&quot;:[{&quot;family&quot;:&quot;López Lupino&quot;,&quot;given&quot;:&quot;Fabrizio&quot;,&quot;parse-names&quot;:false,&quot;dropping-particle&quot;:&quot;&quot;,&quot;non-dropping-particle&quot;:&quot;&quot;}],&quot;container-title&quot;:&quot;Vistazo&quot;,&quot;URL&quot;:&quot;https://www.vistazo.com/enfoque/2026-05-26-consumo-cerdo-pollo-incrementa-ecuador-industria-balanceados-CA10987603&quot;,&quot;issued&quot;:{&quot;date-parts&quot;:[[2026,5,26]]}},&quot;isTemporary&quot;:false}]},{&quot;citationID&quot;:&quot;MENDELEY_CITATION_e31ee765-7185-45a0-b5db-6800ef54214c&quot;,&quot;properties&quot;:{&quot;noteIndex&quot;:0},&quot;isEdited&quot;:false,&quot;manualOverride&quot;:{&quot;isManuallyOverridden&quot;:false,&quot;citeprocText&quot;:&quot;(Instituto Nacional de Estadística y Censos, 2023)&quot;,&quot;manualOverrideText&quot;:&quot;&quot;},&quot;citationTag&quot;:&quot;MENDELEY_CITATION_v3_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&quot;,&quot;citationItems&quot;:[{&quot;id&quot;:&quot;5dd3a65a-f7e7-59d6-9900-98187bca9cef&quot;,&quot;itemData&quot;:{&quot;id&quot;:&quot;5dd3a65a-f7e7-59d6-9900-98187bca9cef&quot;,&quot;type&quot;:&quot;webpage&quot;,&quot;title&quot;:&quot;Primera encuesta especializada revela que el 20.1% de los niños en Ecuador padecen de desnutrición crónica infantil&quot;,&quot;author&quot;:[{&quot;literal&quot;:&quot;Instituto Nacional de Estadística y Censos&quot;}],&quot;URL&quot;:&quot;https://www.ecuadorencifras.gob.ec/institucional/primera-encuesta-especializada-revela-que-el-20-1-de-los-ninos-en-ecuador-padecen-de-desnutricion-cronica-infantil/&quot;,&quot;issued&quot;:{&quot;date-parts&quot;:[[2023,9,5]]}},&quot;isTemporary&quot;:false}]},{&quot;citationID&quot;:&quot;MENDELEY_CITATION_de4c3216-fd97-4c19-8a1c-a2049e727cf4&quot;,&quot;properties&quot;:{&quot;noteIndex&quot;:0},&quot;isEdited&quot;:false,&quot;manualOverride&quot;:{&quot;isManuallyOverridden&quot;:false,&quot;citeprocText&quot;:&quot;(Armijos Medrano, 2026)&quot;,&quot;manualOverrideText&quot;:&quot;&quot;},&quot;citationTag&quot;:&quot;MENDELEY_CITATION_v3_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&quot;,&quot;citationItems&quot;:[{&quot;id&quot;:&quot;fcd5fb4e-1527-56b5-b0fd-840fadb9288b&quot;,&quot;itemData&quot;:{&quot;id&quot;:&quot;fcd5fb4e-1527-56b5-b0fd-840fadb9288b&quot;,&quot;type&quot;:&quot;article-newspaper&quot;,&quot;title&quot;:&quot;Ecuador espera producir 530.000 toneladas de azúcar en 2026&quot;,&quot;author&quot;:[{&quot;family&quot;:&quot;Armijos Medrano&quot;,&quot;given&quot;:&quot;Sandra&quot;,&quot;parse-names&quot;:false,&quot;dropping-particle&quot;:&quot;&quot;,&quot;non-dropping-particle&quot;:&quot;&quot;}],&quot;container-title&quot;:&quot;Vistazo&quot;,&quot;URL&quot;:&quot;https://www.vistazo.com/negocios/economia/2026-07-07-ecuador-produccion-azucar-ingenios-BB11100890&quot;,&quot;issued&quot;:{&quot;date-parts&quot;:[[2026,7,7]]}},&quot;isTemporary&quot;:false}]},{&quot;citationID&quot;:&quot;MENDELEY_CITATION_246f38f7-6c43-4e84-80e1-3a430406d356&quot;,&quot;properties&quot;:{&quot;noteIndex&quot;:0},&quot;isEdited&quot;:false,&quot;manualOverride&quot;:{&quot;isManuallyOverridden&quot;:false,&quot;citeprocText&quot;:&quot;(Ding et al., 2023)&quot;,&quot;manualOverrideText&quot;:&quot;&quot;},&quot;citationTag&quot;:&quot;MENDELEY_CITATION_v3_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&quot;,&quot;citationItems&quot;:[{&quot;id&quot;:&quot;0ff6f6b6-da3e-54ba-a311-709a76f51688&quot;,&quot;itemData&quot;:{&quot;id&quot;:&quot;0ff6f6b6-da3e-54ba-a311-709a76f51688&quot;,&quot;type&quot;:&quot;article-journal&quot;,&quot;title&quot;:&quot;Ammonia nitrogen recovery from biogas slurry by SCP production using Candida utilis&quot;,&quot;author&quot;:[{&quot;family&quot;:&quot;Ding&quot;,&quot;given&quot;:&quot;Hongxia&quot;,&quot;parse-names&quot;:false,&quot;dropping-particle&quot;:&quot;&quot;,&quot;non-dropping-particle&quot;:&quot;&quot;},{&quot;family&quot;:&quot;Li&quot;,&quot;given&quot;:&quot;Jiabao&quot;,&quot;parse-names&quot;:false,&quot;dropping-particle&quot;:&quot;&quot;,&quot;non-dropping-particle&quot;:&quot;&quot;},{&quot;family&quot;:&quot;Deng&quot;,&quot;given&quot;:&quot;Fang&quot;,&quot;parse-names&quot;:false,&quot;dropping-particle&quot;:&quot;&quot;,&quot;non-dropping-particle&quot;:&quot;&quot;},{&quot;family&quot;:&quot;Huang&quot;,&quot;given&quot;:&quot;Siyuan&quot;,&quot;parse-names&quot;:false,&quot;dropping-particle&quot;:&quot;&quot;,&quot;non-dropping-particle&quot;:&quot;&quot;},{&quot;family&quot;:&quot;Zhou&quot;,&quot;given&quot;:&quot;Pan&quot;,&quot;parse-names&quot;:false,&quot;dropping-particle&quot;:&quot;&quot;,&quot;non-dropping-particle&quot;:&quot;&quot;},{&quot;family&quot;:&quot;Liu&quot;,&quot;given&quot;:&quot;Xiaofeng&quot;,&quot;parse-names&quot;:false,&quot;dropping-particle&quot;:&quot;&quot;,&quot;non-dropping-particle&quot;:&quot;&quot;},{&quot;family&quot;:&quot;Li&quot;,&quot;given&quot;:&quot;Zhidong&quot;,&quot;parse-names&quot;:false,&quot;dropping-particle&quot;:&quot;&quot;,&quot;non-dropping-particle&quot;:&quot;&quot;},{&quot;family&quot;:&quot;Li&quot;,&quot;given&quot;:&quot;Dong&quot;,&quot;parse-names&quot;:false,&quot;dropping-particle&quot;:&quot;&quot;,&quot;non-dropping-particle&quot;:&quot;&quot;}],&quot;container-title&quot;:&quot;Journal of Environmental Management&quot;,&quot;volume&quot;:&quot;325&quot;,&quot;page&quot;:&quot;116657&quot;,&quot;DOI&quot;:&quot;10.1016/j.jenvman.2022.116657&quot;,&quot;issued&quot;:{&quot;date-parts&quot;:[[2023]]}},&quot;isTemporary&quot;:false}]},{&quot;citationID&quot;:&quot;MENDELEY_CITATION_e79e4c09-8256-42bc-b99f-91cf5812e1e5&quot;,&quot;properties&quot;:{&quot;noteIndex&quot;:0},&quot;isEdited&quot;:false,&quot;manualOverride&quot;:{&quot;isManuallyOverridden&quot;:false,&quot;citeprocText&quot;:&quot;(Vieira-Lara et al., 2024)&quot;,&quot;manualOverrideText&quot;:&quot;&quot;},&quot;citationTag&quot;:&quot;MENDELEY_CITATION_v3_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&quot;,&quot;citationItems&quot;:[{&quot;id&quot;:&quot;0b90491d-2638-50e2-9976-fc5390eba5a8&quot;,&quot;itemData&quot;:{&quot;id&quot;:&quot;0b90491d-2638-50e2-9976-fc5390eba5a8&quot;,&quot;type&quot;:&quot;article-journal&quot;,&quot;title&quot;:&quot;Quantitative physiology and biomass composition of Cyberlindnera jadinii in ethanol-grown cultures&quot;,&quot;author&quot;:[{&quot;family&quot;:&quot;Vieira-Lara&quot;,&quot;given&quot;:&quot;Marcel A.&quot;,&quot;parse-names&quot;:false,&quot;dropping-particle&quot;:&quot;&quot;,&quot;non-dropping-particle&quot;:&quot;&quot;},{&quot;family&quot;:&quot;Warmerdam&quot;,&quot;given&quot;:&quot;Marieke&quot;,&quot;parse-names&quot;:false,&quot;dropping-particle&quot;:&quot;&quot;,&quot;non-dropping-particle&quot;:&quot;&quot;},{&quot;family&quot;:&quot;de Hulster&quot;,&quot;given&quot;:&quot;Erik A. F.&quot;,&quot;parse-names&quot;:false,&quot;dropping-particle&quot;:&quot;&quot;,&quot;non-dropping-particle&quot;:&quot;&quot;},{&quot;family&quot;:&quot;van den Broek&quot;,&quot;given&quot;:&quot;Marcel&quot;,&quot;parse-names&quot;:false,&quot;dropping-particle&quot;:&quot;&quot;,&quot;non-dropping-particle&quot;:&quot;&quot;},{&quot;family&quot;:&quot;Daran&quot;,&quot;given&quot;:&quot;Jean-Marc&quot;,&quot;parse-names&quot;:false,&quot;dropping-particle&quot;:&quot;&quot;,&quot;non-dropping-particle&quot;:&quot;&quot;},{&quot;family&quot;:&quot;Pronk&quot;,&quot;given&quot;:&quot;Jack T.&quot;,&quot;parse-names&quot;:false,&quot;dropping-particle&quot;:&quot;&quot;,&quot;non-dropping-particle&quot;:&quot;&quot;}],&quot;container-title&quot;:&quot;Biotechnology for Biofuels and Bioproducts&quot;,&quot;volume&quot;:&quot;17&quot;,&quot;page&quot;:&quot;142&quot;,&quot;DOI&quot;:&quot;10.1186/s13068-024-02585-3&quot;,&quot;issued&quot;:{&quot;date-parts&quot;:[[2024]]}},&quot;isTemporary&quot;:false}]},{&quot;citationID&quot;:&quot;MENDELEY_CITATION_a993d4b9-06a3-4871-b615-c3bff9c0ac75&quot;,&quot;properties&quot;:{&quot;noteIndex&quot;:0},&quot;isEdited&quot;:false,&quot;manualOverride&quot;:{&quot;isManuallyOverridden&quot;:false,&quot;citeprocText&quot;:&quot;(Vieira-Lara et al., 2024)&quot;,&quot;manualOverrideText&quot;:&quot;&quot;},&quot;citationTag&quot;:&quot;MENDELEY_CITATION_v3_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&quot;,&quot;citationItems&quot;:[{&quot;id&quot;:&quot;0b90491d-2638-50e2-9976-fc5390eba5a8&quot;,&quot;itemData&quot;:{&quot;id&quot;:&quot;0b90491d-2638-50e2-9976-fc5390eba5a8&quot;,&quot;type&quot;:&quot;article-journal&quot;,&quot;title&quot;:&quot;Quantitative physiology and biomass composition of Cyberlindnera jadinii in ethanol-grown cultures&quot;,&quot;author&quot;:[{&quot;family&quot;:&quot;Vieira-Lara&quot;,&quot;given&quot;:&quot;Marcel A.&quot;,&quot;parse-names&quot;:false,&quot;dropping-particle&quot;:&quot;&quot;,&quot;non-dropping-particle&quot;:&quot;&quot;},{&quot;family&quot;:&quot;Warmerdam&quot;,&quot;given&quot;:&quot;Marieke&quot;,&quot;parse-names&quot;:false,&quot;dropping-particle&quot;:&quot;&quot;,&quot;non-dropping-particle&quot;:&quot;&quot;},{&quot;family&quot;:&quot;de Hulster&quot;,&quot;given&quot;:&quot;Erik A. F.&quot;,&quot;parse-names&quot;:false,&quot;dropping-particle&quot;:&quot;&quot;,&quot;non-dropping-particle&quot;:&quot;&quot;},{&quot;family&quot;:&quot;van den Broek&quot;,&quot;given&quot;:&quot;Marcel&quot;,&quot;parse-names&quot;:false,&quot;dropping-particle&quot;:&quot;&quot;,&quot;non-dropping-particle&quot;:&quot;&quot;},{&quot;family&quot;:&quot;Daran&quot;,&quot;given&quot;:&quot;Jean-Marc&quot;,&quot;parse-names&quot;:false,&quot;dropping-particle&quot;:&quot;&quot;,&quot;non-dropping-particle&quot;:&quot;&quot;},{&quot;family&quot;:&quot;Pronk&quot;,&quot;given&quot;:&quot;Jack T.&quot;,&quot;parse-names&quot;:false,&quot;dropping-particle&quot;:&quot;&quot;,&quot;non-dropping-particle&quot;:&quot;&quot;}],&quot;container-title&quot;:&quot;Biotechnology for Biofuels and Bioproducts&quot;,&quot;volume&quot;:&quot;17&quot;,&quot;page&quot;:&quot;142&quot;,&quot;DOI&quot;:&quot;10.1186/s13068-024-02585-3&quot;,&quot;issued&quot;:{&quot;date-parts&quot;:[[2024]]}},&quot;isTemporary&quot;:false}]},{&quot;citationID&quot;:&quot;MENDELEY_CITATION_ef75a1c0-d98a-4766-8acf-cec38a986332&quot;,&quot;properties&quot;:{&quot;noteIndex&quot;:0},&quot;isEdited&quot;:false,&quot;manualOverride&quot;:{&quot;isManuallyOverridden&quot;:false,&quot;citeprocText&quot;:&quot;(Tian et al., 2023)&quot;,&quot;manualOverrideText&quot;:&quot;&quot;},&quot;citationTag&quot;:&quot;MENDELEY_CITATION_v3_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&quot;,&quot;citationItems&quot;:[{&quot;id&quot;:&quot;326a010a-8b0a-309e-8f43-b897ec98ad84&quot;,&quot;itemData&quot;:{&quot;type&quot;:&quot;article-journal&quot;,&quot;id&quot;:&quot;326a010a-8b0a-309e-8f43-b897ec98ad84&quot;,&quot;title&quot;:&quot;High-yield production of single-cell protein from starch processing wastewater using co-cultivation of yeasts&quot;,&quot;author&quot;:[{&quot;family&quot;:&quot;Tian&quot;,&quot;given&quot;:&quot;Yajie&quot;,&quot;parse-names&quot;:false,&quot;dropping-particle&quot;:&quot;&quot;,&quot;non-dropping-particle&quot;:&quot;&quot;},{&quot;family&quot;:&quot;Li&quot;,&quot;given&quot;:&quot;Jianzheng&quot;,&quot;parse-names&quot;:false,&quot;dropping-particle&quot;:&quot;&quot;,&quot;non-dropping-particle&quot;:&quot;&quot;},{&quot;family&quot;:&quot;Meng&quot;,&quot;given&quot;:&quot;Jia&quot;,&quot;parse-names&quot;:false,&quot;dropping-particle&quot;:&quot;&quot;,&quot;non-dropping-particle&quot;:&quot;&quot;},{&quot;family&quot;:&quot;Li&quot;,&quot;given&quot;:&quot;Jiuling&quot;,&quot;parse-names&quot;:false,&quot;dropping-particle&quot;:&quot;&quot;,&quot;non-dropping-particle&quot;:&quot;&quot;}],&quot;container-title&quot;:&quot;Bioresource Technology&quot;,&quot;container-title-short&quot;:&quot;Bioresour. Technol.&quot;,&quot;DOI&quot;:&quot;10.1016/j.biortech.2022.128527&quot;,&quot;ISSN&quot;:&quot;09608524&quot;,&quot;issued&quot;:{&quot;date-parts&quot;:[[2023,2]]},&quot;page&quot;:&quot;128527&quot;,&quot;volume&quot;:&quot;370&quot;},&quot;isTemporary&quot;:false}]},{&quot;citationID&quot;:&quot;MENDELEY_CITATION_ee1dd0a7-e086-441f-89d8-6ed85bbb0be8&quot;,&quot;properties&quot;:{&quot;noteIndex&quot;:0},&quot;isEdited&quot;:false,&quot;manualOverride&quot;:{&quot;isManuallyOverridden&quot;:false,&quot;citeprocText&quot;:&quot;(Ding et al., 2023)&quot;,&quot;manualOverrideText&quot;:&quot;&quot;},&quot;citationTag&quot;:&quot;MENDELEY_CITATION_v3_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&quot;,&quot;citationItems&quot;:[{&quot;id&quot;:&quot;0ff6f6b6-da3e-54ba-a311-709a76f51688&quot;,&quot;itemData&quot;:{&quot;id&quot;:&quot;0ff6f6b6-da3e-54ba-a311-709a76f51688&quot;,&quot;type&quot;:&quot;article-journal&quot;,&quot;title&quot;:&quot;Ammonia nitrogen recovery from biogas slurry by SCP production using Candida utilis&quot;,&quot;author&quot;:[{&quot;family&quot;:&quot;Ding&quot;,&quot;given&quot;:&quot;Hongxia&quot;,&quot;parse-names&quot;:false,&quot;dropping-particle&quot;:&quot;&quot;,&quot;non-dropping-particle&quot;:&quot;&quot;},{&quot;family&quot;:&quot;Li&quot;,&quot;given&quot;:&quot;Jiabao&quot;,&quot;parse-names&quot;:false,&quot;dropping-particle&quot;:&quot;&quot;,&quot;non-dropping-particle&quot;:&quot;&quot;},{&quot;family&quot;:&quot;Deng&quot;,&quot;given&quot;:&quot;Fang&quot;,&quot;parse-names&quot;:false,&quot;dropping-particle&quot;:&quot;&quot;,&quot;non-dropping-particle&quot;:&quot;&quot;},{&quot;family&quot;:&quot;Huang&quot;,&quot;given&quot;:&quot;Siyuan&quot;,&quot;parse-names&quot;:false,&quot;dropping-particle&quot;:&quot;&quot;,&quot;non-dropping-particle&quot;:&quot;&quot;},{&quot;family&quot;:&quot;Zhou&quot;,&quot;given&quot;:&quot;Pan&quot;,&quot;parse-names&quot;:false,&quot;dropping-particle&quot;:&quot;&quot;,&quot;non-dropping-particle&quot;:&quot;&quot;},{&quot;family&quot;:&quot;Liu&quot;,&quot;given&quot;:&quot;Xiaofeng&quot;,&quot;parse-names&quot;:false,&quot;dropping-particle&quot;:&quot;&quot;,&quot;non-dropping-particle&quot;:&quot;&quot;},{&quot;family&quot;:&quot;Li&quot;,&quot;given&quot;:&quot;Zhidong&quot;,&quot;parse-names&quot;:false,&quot;dropping-particle&quot;:&quot;&quot;,&quot;non-dropping-particle&quot;:&quot;&quot;},{&quot;family&quot;:&quot;Li&quot;,&quot;given&quot;:&quot;Dong&quot;,&quot;parse-names&quot;:false,&quot;dropping-particle&quot;:&quot;&quot;,&quot;non-dropping-particle&quot;:&quot;&quot;}],&quot;container-title&quot;:&quot;Journal of Environmental Management&quot;,&quot;volume&quot;:&quot;325&quot;,&quot;page&quot;:&quot;116657&quot;,&quot;DOI&quot;:&quot;10.1016/j.jenvman.2022.116657&quot;,&quot;issued&quot;:{&quot;date-parts&quot;:[[2023]]}},&quot;isTemporary&quot;:false}]},{&quot;citationID&quot;:&quot;MENDELEY_CITATION_06e9a98b-f3e7-4759-9b6e-54a81acf7939&quot;,&quot;properties&quot;:{&quot;noteIndex&quot;:0},&quot;isEdited&quot;:false,&quot;manualOverride&quot;:{&quot;isManuallyOverridden&quot;:false,&quot;citeprocText&quot;:&quot;(American Society of Mechanical Engineers, 2024; International Organization for Standardization, 1999, 2008a, 2008b, 2009, 2017, 2024; U.S. Food and Drug Administration, 2025; World Health Organization, 2020)&quot;,&quot;manualOverrideText&quot;:&quot;&quot;},&quot;citationTag&quot;:&quot;MENDELEY_CITATION_v3_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&quot;,&quot;citationItems&quot;:[{&quot;id&quot;:&quot;a9b188e5-6d22-5ca0-9a93-0f9f173853fa&quot;,&quot;itemData&quot;:{&quot;id&quot;:&quot;a9b188e5-6d22-5ca0-9a93-0f9f173853fa&quot;,&quot;type&quot;:&quot;report&quot;,&quot;title&quot;:&quot;Bioprocessing equipment&quot;,&quot;author&quot;:[{&quot;literal&quot;:&quot;American Society of Mechanical Engineers&quot;}],&quot;genre&quot;:&quot;ASME Standard&quot;,&quot;number&quot;:&quot;BPE-2024&quot;,&quot;issued&quot;:{&quot;date-parts&quot;:[[2024]]}},&quot;isTemporary&quot;:false},{&quot;id&quot;:&quot;a31e325d-3c9e-5272-8b53-4880ae6fe571&quot;,&quot;itemData&quot;:{&quot;id&quot;:&quot;a31e325d-3c9e-5272-8b53-4880ae6fe571&quot;,&quot;type&quot;:&quot;report&quot;,&quot;title&quot;:&quot;Animal feeding stuffs — Determination of moisture and other volatile matter&quot;,&quot;author&quot;:[{&quot;literal&quot;:&quot;International Organization for Standardization&quot;}],&quot;genre&quot;:&quot;ISO Standard&quot;,&quot;number&quot;:&quot;6496:1999&quot;,&quot;issued&quot;:{&quot;date-parts&quot;:[[1999]]}},&quot;isTemporary&quot;:false},{&quot;id&quot;:&quot;196fa364-4ce2-5d3d-920d-1a955b53b440&quot;,&quot;itemData&quot;:{&quot;id&quot;:&quot;196fa364-4ce2-5d3d-920d-1a955b53b440&quot;,&quot;type&quot;:&quot;report&quot;,&quot;title&quot;:&quot;Food products — Determination of the total nitrogen content by combustion according to the Dumas principle and calculation of the crude protein content — Part 1: Oilseeds and animal feeding stuffs&quot;,&quot;author&quot;:[{&quot;literal&quot;:&quot;International Organization for Standardization&quot;}],&quot;genre&quot;:&quot;ISO Standard&quot;,&quot;number&quot;:&quot;16634-1:2008&quot;,&quot;issued&quot;:{&quot;date-parts&quot;:[[2008]]}},&quot;isTemporary&quot;:false},{&quot;id&quot;:&quot;c00fdf89-28f1-54af-9b1f-2ea44227323e&quot;,&quot;itemData&quot;:{&quot;id&quot;:&quot;c00fdf89-28f1-54af-9b1f-2ea44227323e&quot;,&quot;type&quot;:&quot;report&quot;,&quot;title&quot;:&quot;Microbiology of food and animal feeding stuffs — Horizontal method for the enumeration of yeasts and moulds — Part 1: Colony count technique in products with water activity greater than 0,95&quot;,&quot;author&quot;:[{&quot;literal&quot;:&quot;International Organization for Standardization&quot;}],&quot;genre&quot;:&quot;ISO Standard&quot;,&quot;number&quot;:&quot;21527-1:2008&quot;,&quot;issued&quot;:{&quot;date-parts&quot;:[[2008]]}},&quot;isTemporary&quot;:false},{&quot;id&quot;:&quot;f34f1d34-179b-5615-a717-57381b5a2cfc&quot;,&quot;itemData&quot;:{&quot;id&quot;:&quot;f34f1d34-179b-5615-a717-57381b5a2cfc&quot;,&quot;type&quot;:&quot;report&quot;,&quot;title&quot;:&quot;Animal feeding stuffs — Determination of nitrogen content and calculation of crude protein content — Part 2: Block digestion and steam distillation method&quot;,&quot;author&quot;:[{&quot;literal&quot;:&quot;International Organization for Standardization&quot;}],&quot;genre&quot;:&quot;ISO Standard&quot;,&quot;number&quot;:&quot;5983-2:2009&quot;,&quot;issued&quot;:{&quot;date-parts&quot;:[[2009]]}},&quot;isTemporary&quot;:false},{&quot;id&quot;:&quot;53454e74-be79-5d7e-b6e1-228329193c73&quot;,&quot;itemData&quot;:{&quot;id&quot;:&quot;53454e74-be79-5d7e-b6e1-228329193c73&quot;,&quot;type&quot;:&quot;report&quot;,&quot;title&quot;:&quot;Sterilization of health care products — Biological indicators — Part 3: Biological indicators for moist heat sterilization processes&quot;,&quot;author&quot;:[{&quot;literal&quot;:&quot;International Organization for Standardization&quot;}],&quot;genre&quot;:&quot;ISO Standard&quot;,&quot;number&quot;:&quot;11138-3:2017&quot;,&quot;issued&quot;:{&quot;date-parts&quot;:[[2017]]}},&quot;isTemporary&quot;:false},{&quot;id&quot;:&quot;1ddc816b-2881-5453-b8e1-3a75b63f6718&quot;,&quot;itemData&quot;:{&quot;id&quot;:&quot;1ddc816b-2881-5453-b8e1-3a75b63f6718&quot;,&quot;type&quot;:&quot;report&quot;,&quot;title&quot;:&quot;Sterilization of health care products — Moist heat — Requirements for the development, validation and routine control of a sterilization process for medical devices&quot;,&quot;author&quot;:[{&quot;literal&quot;:&quot;International Organization for Standardization&quot;}],&quot;genre&quot;:&quot;ISO Standard&quot;,&quot;number&quot;:&quot;17665:2024&quot;,&quot;issued&quot;:{&quot;date-parts&quot;:[[2024]]}},&quot;isTemporary&quot;:false},{&quot;id&quot;:&quot;916a512c-4f96-511b-beac-65efa21dd3b9&quot;,&quot;itemData&quot;:{&quot;id&quot;:&quot;916a512c-4f96-511b-beac-65efa21dd3b9&quot;,&quot;type&quot;:&quot;webpage&quot;,&quot;title&quot;:&quot;Dried yeasts (21 CFR § 172.896)&quot;,&quot;author&quot;:[{&quot;literal&quot;:&quot;U.S. Food and Drug Administration&quot;}],&quot;URL&quot;:&quot;https://www.ecfr.gov/current/title-21/chapter-I/subchapter-B/part-172/subpart-I/section-172.896&quot;,&quot;issued&quot;:{&quot;date-parts&quot;:[[2025]]}},&quot;isTemporary&quot;:false},{&quot;id&quot;:&quot;5f0b397e-f142-5280-808b-7ec064cf3d2d&quot;,&quot;itemData&quot;:{&quot;id&quot;:&quot;5f0b397e-f142-5280-808b-7ec064cf3d2d&quot;,&quot;type&quot;:&quot;book&quot;,&quot;title&quot;:&quot;Laboratory biosafety manual&quot;,&quot;author&quot;:[{&quot;literal&quot;:&quot;World Health Organization&quot;}],&quot;edition&quot;:&quot;4&quot;,&quot;ISBN&quot;:&quot;9789240011311&quot;,&quot;URL&quot;:&quot;https://www.who.int/publications/i/item/9789240011311&quot;,&quot;issued&quot;:{&quot;date-parts&quot;:[[2020]]}},&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F08254-875C-4FEE-87EA-930471892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Pages>
  <Words>793</Words>
  <Characters>4600</Characters>
  <Application>Microsoft Office Word</Application>
  <DocSecurity>0</DocSecurity>
  <Lines>76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Vega</dc:creator>
  <cp:keywords/>
  <dc:description/>
  <cp:lastModifiedBy>Nicolás Vega</cp:lastModifiedBy>
  <cp:revision>4</cp:revision>
  <dcterms:created xsi:type="dcterms:W3CDTF">2026-09-28T13:01:00Z</dcterms:created>
  <dcterms:modified xsi:type="dcterms:W3CDTF">2026-09-29T02:25:00Z</dcterms:modified>
</cp:coreProperties>
</file>