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D67" w:rsidRDefault="00C34D5D" w:rsidP="00C34D5D">
      <w:pPr>
        <w:pStyle w:val="Title"/>
      </w:pPr>
      <w:r>
        <w:t>Question 1 – linear regression</w:t>
      </w:r>
    </w:p>
    <w:p w:rsidR="00C34D5D" w:rsidRDefault="00C34D5D" w:rsidP="00C34D5D"/>
    <w:p w:rsidR="00917E1E" w:rsidRDefault="00C34D5D" w:rsidP="00C34D5D">
      <w:bookmarkStart w:id="0" w:name="_GoBack"/>
      <w:r>
        <w:t xml:space="preserve">I have </w:t>
      </w:r>
      <w:r w:rsidR="00B50A2D">
        <w:t xml:space="preserve">chosen to use Maximum Likelihood solution much like as I did in the second assignment of the course because I already have a good implementation of it and I understood the algorithm very well so it was easy to make the implementation. I have chosen to make the implantation in </w:t>
      </w:r>
      <w:proofErr w:type="spellStart"/>
      <w:r w:rsidR="00B50A2D">
        <w:t>Matlab</w:t>
      </w:r>
      <w:proofErr w:type="spellEnd"/>
      <w:r w:rsidR="00B50A2D">
        <w:t xml:space="preserve"> and I used mostly the functions that we have written for that assignment. </w:t>
      </w:r>
    </w:p>
    <w:p w:rsidR="00C34D5D" w:rsidRDefault="00B50A2D" w:rsidP="00C34D5D">
      <w:r>
        <w:t xml:space="preserve">I </w:t>
      </w:r>
      <w:r w:rsidR="00C34D5D">
        <w:t>solved in question by going through the following steps</w:t>
      </w:r>
      <w:bookmarkEnd w:id="0"/>
      <w:r w:rsidR="00C34D5D">
        <w:t>:</w:t>
      </w:r>
    </w:p>
    <w:p w:rsidR="00C34D5D" w:rsidRDefault="00C34D5D" w:rsidP="00C34D5D">
      <w:pPr>
        <w:pStyle w:val="ListParagraph"/>
        <w:numPr>
          <w:ilvl w:val="0"/>
          <w:numId w:val="1"/>
        </w:numPr>
      </w:pPr>
      <w:r>
        <w:t>At first, I read the data from both files</w:t>
      </w:r>
      <w:r w:rsidR="00B50A2D">
        <w:t xml:space="preserve"> and did not normalize because it has no effect on this linear model.</w:t>
      </w:r>
    </w:p>
    <w:p w:rsidR="00C34D5D" w:rsidRDefault="00C34D5D" w:rsidP="00C34D5D">
      <w:pPr>
        <w:pStyle w:val="ListParagraph"/>
        <w:numPr>
          <w:ilvl w:val="0"/>
          <w:numId w:val="1"/>
        </w:numPr>
      </w:pPr>
      <w:r>
        <w:t xml:space="preserve">I created the </w:t>
      </w:r>
      <w:r w:rsidR="00241679">
        <w:t xml:space="preserve">design </w:t>
      </w:r>
      <w:r>
        <w:t xml:space="preserve">matrix corresponding to variable </w:t>
      </w:r>
      <w:r>
        <w:sym w:font="Symbol" w:char="F046"/>
      </w:r>
      <w:r w:rsidR="00241679">
        <w:t xml:space="preserve"> (according to Eq. 3.16 from Bishop book) </w:t>
      </w:r>
      <w:r>
        <w:t xml:space="preserve">which is needed in the algorithm for building the model by inserting a column of 1 corresponding to the bias parameter and adding the 10 columns corresponding to the first 10 parameters in the train dataset. </w:t>
      </w:r>
    </w:p>
    <w:p w:rsidR="00241679" w:rsidRPr="00241679" w:rsidRDefault="00241679" w:rsidP="00C34D5D">
      <w:pPr>
        <w:pStyle w:val="ListParagraph"/>
        <w:numPr>
          <w:ilvl w:val="0"/>
          <w:numId w:val="1"/>
        </w:numPr>
      </w:pPr>
      <w:r>
        <w:t xml:space="preserve">I calculated the model by applying the Eq. 3.15(from Bishop </w:t>
      </w:r>
      <w:proofErr w:type="gramStart"/>
      <w:r>
        <w:t>book</w:t>
      </w:r>
      <w:proofErr w:type="gramEnd"/>
      <w:r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ML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46"/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Symbol" w:char="F046"/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46"/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t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w:sym w:font="Symbol" w:char="F046"/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the design matrix and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the matrix with column 11 corresponding to target values </w:t>
      </w:r>
      <w:r w:rsidR="0071484D">
        <w:rPr>
          <w:rFonts w:eastAsiaTheme="minorEastAsia"/>
        </w:rPr>
        <w:t>of redshift f</w:t>
      </w:r>
      <w:r>
        <w:rPr>
          <w:rFonts w:eastAsiaTheme="minorEastAsia"/>
        </w:rPr>
        <w:t xml:space="preserve">rom the training data. This calculation is done in the function </w:t>
      </w:r>
      <w:proofErr w:type="spellStart"/>
      <w:r>
        <w:rPr>
          <w:rFonts w:eastAsiaTheme="minorEastAsia"/>
          <w:i/>
        </w:rPr>
        <w:t>my_wML</w:t>
      </w:r>
      <w:proofErr w:type="spellEnd"/>
      <w:r>
        <w:rPr>
          <w:rFonts w:eastAsiaTheme="minorEastAsia"/>
        </w:rPr>
        <w:t xml:space="preserve">  I obtained the following model: </w:t>
      </w:r>
    </w:p>
    <w:p w:rsidR="00241679" w:rsidRPr="00AB27DD" w:rsidRDefault="00917E1E" w:rsidP="00241679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-0.8807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-0.0060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0.1097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0.2784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-0.0018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0.0094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-0.0018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0.0094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-0.0086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   0.0041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-0.1075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-0.0098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    0.0408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B27DD" w:rsidRDefault="00AB27DD" w:rsidP="00241679">
      <w:pPr>
        <w:pStyle w:val="ListParagraph"/>
        <w:jc w:val="center"/>
        <w:rPr>
          <w:rFonts w:eastAsiaTheme="minorEastAsia"/>
        </w:rPr>
      </w:pPr>
    </w:p>
    <w:p w:rsidR="00AB27DD" w:rsidRDefault="00AB27DD" w:rsidP="00AB27D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By using the model obtained previously, I applied the test data to the linear model by using the function </w:t>
      </w:r>
      <w:proofErr w:type="spellStart"/>
      <w:r>
        <w:rPr>
          <w:rFonts w:eastAsiaTheme="minorEastAsia"/>
          <w:i/>
        </w:rPr>
        <w:t>my_lmfunction</w:t>
      </w:r>
      <w:proofErr w:type="spellEnd"/>
      <w:r>
        <w:rPr>
          <w:rFonts w:eastAsiaTheme="minorEastAsia"/>
        </w:rPr>
        <w:t xml:space="preserve"> which takes as input the first 10 columns of test data and the model to make the matrix multiplication. The result is a column matrix containing the prediction for the redshift of each galaxy in test.  </w:t>
      </w:r>
    </w:p>
    <w:p w:rsidR="009E6FE8" w:rsidRDefault="009E6FE8" w:rsidP="00AB27D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By using the function </w:t>
      </w:r>
      <w:proofErr w:type="spellStart"/>
      <w:r>
        <w:rPr>
          <w:rFonts w:eastAsiaTheme="minorEastAsia"/>
          <w:i/>
        </w:rPr>
        <w:t>my_rms</w:t>
      </w:r>
      <w:proofErr w:type="spellEnd"/>
      <w:r>
        <w:rPr>
          <w:rFonts w:eastAsiaTheme="minorEastAsia"/>
        </w:rPr>
        <w:t xml:space="preserve"> which was implemented for the assignment the mean-squared-root error is calculated by computing the equation: </w:t>
      </w:r>
    </w:p>
    <w:p w:rsidR="009E6FE8" w:rsidRPr="009E6FE8" w:rsidRDefault="009E6FE8" w:rsidP="009E6FE8">
      <w:pPr>
        <w:pStyle w:val="ListParagraph"/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RMS=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-y(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,w))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9E6FE8" w:rsidRDefault="009E6FE8" w:rsidP="009E6FE8">
      <w:pPr>
        <w:pStyle w:val="ListParagraph"/>
        <w:ind w:left="360" w:firstLine="360"/>
        <w:rPr>
          <w:rFonts w:eastAsiaTheme="minorEastAsia"/>
        </w:rPr>
      </w:pPr>
      <w:r>
        <w:rPr>
          <w:rFonts w:eastAsiaTheme="minorEastAsia"/>
        </w:rPr>
        <w:t>The resulting mean-squared-</w:t>
      </w:r>
      <w:r w:rsidR="009743F0">
        <w:rPr>
          <w:rFonts w:eastAsiaTheme="minorEastAsia"/>
        </w:rPr>
        <w:t xml:space="preserve">error for train data </w:t>
      </w:r>
      <w:proofErr w:type="gramStart"/>
      <w:r w:rsidR="009743F0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RMS=0.0028</m:t>
        </m:r>
      </m:oMath>
      <w:r>
        <w:rPr>
          <w:rFonts w:eastAsiaTheme="minorEastAsia"/>
        </w:rPr>
        <w:t>.</w:t>
      </w:r>
    </w:p>
    <w:p w:rsidR="009743F0" w:rsidRDefault="009743F0" w:rsidP="009E6FE8">
      <w:pPr>
        <w:pStyle w:val="ListParagraph"/>
        <w:ind w:left="360" w:firstLine="360"/>
        <w:rPr>
          <w:rFonts w:eastAsiaTheme="minorEastAsia"/>
        </w:rPr>
      </w:pPr>
      <w:r>
        <w:rPr>
          <w:rFonts w:eastAsiaTheme="minorEastAsia"/>
        </w:rPr>
        <w:lastRenderedPageBreak/>
        <w:t xml:space="preserve">The resulting mean-squared-error for test data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RMS=0.0032</m:t>
        </m:r>
      </m:oMath>
      <w:r>
        <w:rPr>
          <w:rFonts w:eastAsiaTheme="minorEastAsia"/>
        </w:rPr>
        <w:t>.</w:t>
      </w:r>
    </w:p>
    <w:p w:rsidR="009E6FE8" w:rsidRDefault="009E6FE8" w:rsidP="009E6FE8">
      <w:pPr>
        <w:pStyle w:val="ListParagraph"/>
        <w:ind w:left="360" w:firstLine="360"/>
        <w:rPr>
          <w:rFonts w:eastAsiaTheme="minorEastAsia"/>
        </w:rPr>
      </w:pPr>
    </w:p>
    <w:p w:rsidR="0071484D" w:rsidRDefault="0071484D" w:rsidP="0071484D">
      <w:pPr>
        <w:ind w:firstLine="360"/>
      </w:pPr>
      <w:r>
        <w:t xml:space="preserve">In order to also have a visual estimation on how the model behaves,  I have also created a plot as in assignment 2 to visualize the difference between the redshift that was calculated for the </w:t>
      </w:r>
      <w:r w:rsidR="009743F0">
        <w:t>test</w:t>
      </w:r>
      <w:r>
        <w:t xml:space="preserve"> set and the prediction obtained by using the linear model. I have only plotted the values for galaxies 100-200 because it was hard to visualize if I was plotting for all the 2500 galaxies.</w:t>
      </w:r>
    </w:p>
    <w:p w:rsidR="0071484D" w:rsidRDefault="0071484D" w:rsidP="0071484D"/>
    <w:p w:rsidR="009E6FE8" w:rsidRDefault="009E6FE8" w:rsidP="009E6FE8">
      <w:pPr>
        <w:pStyle w:val="ListParagraph"/>
        <w:keepNext/>
        <w:ind w:left="360" w:firstLine="360"/>
      </w:pPr>
      <w:r>
        <w:rPr>
          <w:noProof/>
        </w:rPr>
        <w:drawing>
          <wp:inline distT="0" distB="0" distL="0" distR="0" wp14:anchorId="5DFF3477" wp14:editId="228CAFC5">
            <wp:extent cx="59436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E8" w:rsidRDefault="009E6FE8" w:rsidP="009E6FE8">
      <w:pPr>
        <w:pStyle w:val="Caption"/>
      </w:pPr>
      <w:proofErr w:type="gramStart"/>
      <w:r>
        <w:t xml:space="preserve">Figure </w:t>
      </w:r>
      <w:r w:rsidR="00917E1E">
        <w:fldChar w:fldCharType="begin"/>
      </w:r>
      <w:r w:rsidR="00917E1E">
        <w:instrText xml:space="preserve"> SEQ Figure \* ARABIC </w:instrText>
      </w:r>
      <w:r w:rsidR="00917E1E">
        <w:fldChar w:fldCharType="separate"/>
      </w:r>
      <w:r>
        <w:rPr>
          <w:noProof/>
        </w:rPr>
        <w:t>1</w:t>
      </w:r>
      <w:r w:rsidR="00917E1E">
        <w:rPr>
          <w:noProof/>
        </w:rPr>
        <w:fldChar w:fldCharType="end"/>
      </w:r>
      <w:r>
        <w:t>.</w:t>
      </w:r>
      <w:proofErr w:type="gramEnd"/>
      <w:r>
        <w:t xml:space="preserve"> The plotting of the </w:t>
      </w:r>
      <w:r w:rsidR="0071484D">
        <w:t xml:space="preserve">redshift from the test set </w:t>
      </w:r>
      <w:proofErr w:type="gramStart"/>
      <w:r w:rsidR="0071484D">
        <w:t>and  the</w:t>
      </w:r>
      <w:proofErr w:type="gramEnd"/>
      <w:r w:rsidR="0071484D">
        <w:t xml:space="preserve"> redshift predicted by the linear model that I have obtained</w:t>
      </w:r>
      <w:r w:rsidR="009743F0">
        <w:t xml:space="preserve"> for the test data</w:t>
      </w:r>
    </w:p>
    <w:p w:rsidR="009E6FE8" w:rsidRDefault="009E6FE8" w:rsidP="009E6FE8">
      <w:pPr>
        <w:pStyle w:val="ListParagraph"/>
        <w:ind w:left="360" w:firstLine="360"/>
        <w:rPr>
          <w:rFonts w:eastAsiaTheme="minorEastAsia"/>
        </w:rPr>
      </w:pPr>
    </w:p>
    <w:p w:rsidR="00710AA8" w:rsidRDefault="0071484D" w:rsidP="009E6FE8">
      <w:pPr>
        <w:pStyle w:val="ListParagraph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Both the RMS and the plot show that the model obtained using the linear regression </w:t>
      </w:r>
      <w:r w:rsidR="00D84126">
        <w:rPr>
          <w:rFonts w:eastAsiaTheme="minorEastAsia"/>
        </w:rPr>
        <w:t>are</w:t>
      </w:r>
      <w:r>
        <w:rPr>
          <w:rFonts w:eastAsiaTheme="minorEastAsia"/>
        </w:rPr>
        <w:t xml:space="preserve"> quite good</w:t>
      </w:r>
      <w:r w:rsidR="00D84126">
        <w:rPr>
          <w:rFonts w:eastAsiaTheme="minorEastAsia"/>
        </w:rPr>
        <w:t xml:space="preserve"> and there is no </w:t>
      </w:r>
      <w:proofErr w:type="spellStart"/>
      <w:r w:rsidR="00D84126">
        <w:rPr>
          <w:rFonts w:eastAsiaTheme="minorEastAsia"/>
        </w:rPr>
        <w:t>overfitting</w:t>
      </w:r>
      <w:proofErr w:type="spellEnd"/>
      <w:r w:rsidR="00710AA8">
        <w:rPr>
          <w:rFonts w:eastAsiaTheme="minorEastAsia"/>
        </w:rPr>
        <w:t>.</w:t>
      </w:r>
      <w:r w:rsidR="00D84126">
        <w:rPr>
          <w:rFonts w:eastAsiaTheme="minorEastAsia"/>
        </w:rPr>
        <w:t xml:space="preserve"> </w:t>
      </w:r>
      <w:r w:rsidR="000925FF">
        <w:rPr>
          <w:rFonts w:eastAsiaTheme="minorEastAsia"/>
        </w:rPr>
        <w:t>Because the train data offers good generalization and t</w:t>
      </w:r>
      <w:r w:rsidR="00D84126">
        <w:rPr>
          <w:rFonts w:eastAsiaTheme="minorEastAsia"/>
        </w:rPr>
        <w:t xml:space="preserve">he large dataset for training helped to create a better model and obtain better precision than in assignment where we only had 100 patterns. </w:t>
      </w:r>
    </w:p>
    <w:p w:rsidR="00A01CD5" w:rsidRDefault="00A01CD5" w:rsidP="009E6FE8">
      <w:pPr>
        <w:pStyle w:val="ListParagraph"/>
        <w:ind w:left="360" w:firstLine="360"/>
        <w:rPr>
          <w:rFonts w:eastAsiaTheme="minorEastAsia"/>
        </w:rPr>
      </w:pPr>
    </w:p>
    <w:p w:rsidR="00A01CD5" w:rsidRDefault="00A01CD5" w:rsidP="009E6FE8">
      <w:pPr>
        <w:pStyle w:val="ListParagraph"/>
        <w:ind w:left="360" w:firstLine="360"/>
        <w:rPr>
          <w:rFonts w:eastAsiaTheme="minorEastAsia"/>
        </w:rPr>
      </w:pPr>
    </w:p>
    <w:p w:rsidR="00043882" w:rsidRDefault="00043882" w:rsidP="009E6FE8">
      <w:pPr>
        <w:pStyle w:val="ListParagraph"/>
        <w:ind w:left="360" w:firstLine="360"/>
        <w:rPr>
          <w:rFonts w:eastAsiaTheme="minorEastAsia"/>
        </w:rPr>
      </w:pPr>
    </w:p>
    <w:p w:rsidR="00043882" w:rsidRDefault="00043882" w:rsidP="009E6FE8">
      <w:pPr>
        <w:pStyle w:val="ListParagraph"/>
        <w:ind w:left="360" w:firstLine="360"/>
        <w:rPr>
          <w:rFonts w:eastAsiaTheme="minorEastAsia"/>
        </w:rPr>
      </w:pPr>
    </w:p>
    <w:p w:rsidR="00043882" w:rsidRDefault="00043882" w:rsidP="009E6FE8">
      <w:pPr>
        <w:pStyle w:val="ListParagraph"/>
        <w:ind w:left="360" w:firstLine="360"/>
        <w:rPr>
          <w:rFonts w:eastAsiaTheme="minorEastAsia"/>
        </w:rPr>
      </w:pPr>
    </w:p>
    <w:p w:rsidR="0071484D" w:rsidRDefault="0071484D" w:rsidP="009E6FE8">
      <w:pPr>
        <w:pStyle w:val="ListParagraph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9E6FE8" w:rsidRDefault="009E6FE8" w:rsidP="009E6FE8">
      <w:pPr>
        <w:pStyle w:val="ListParagraph"/>
        <w:ind w:left="360"/>
        <w:jc w:val="center"/>
        <w:rPr>
          <w:rFonts w:eastAsiaTheme="minorEastAsia"/>
        </w:rPr>
      </w:pPr>
    </w:p>
    <w:p w:rsidR="00AB27DD" w:rsidRPr="00AB27DD" w:rsidRDefault="00AB27DD" w:rsidP="00AB27DD">
      <w:pPr>
        <w:ind w:left="720"/>
        <w:rPr>
          <w:rFonts w:eastAsiaTheme="minorEastAsia"/>
        </w:rPr>
      </w:pPr>
    </w:p>
    <w:p w:rsidR="00AB27DD" w:rsidRPr="00C34D5D" w:rsidRDefault="00AB27DD" w:rsidP="00AB27DD">
      <w:pPr>
        <w:pStyle w:val="ListParagraph"/>
      </w:pPr>
    </w:p>
    <w:sectPr w:rsidR="00AB27DD" w:rsidRPr="00C3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94FF1"/>
    <w:multiLevelType w:val="hybridMultilevel"/>
    <w:tmpl w:val="588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F02"/>
    <w:rsid w:val="00043882"/>
    <w:rsid w:val="00081A13"/>
    <w:rsid w:val="000925FF"/>
    <w:rsid w:val="00136B59"/>
    <w:rsid w:val="00241679"/>
    <w:rsid w:val="002F2FD6"/>
    <w:rsid w:val="003E0F02"/>
    <w:rsid w:val="004279A8"/>
    <w:rsid w:val="00525AED"/>
    <w:rsid w:val="005C2440"/>
    <w:rsid w:val="00710AA8"/>
    <w:rsid w:val="0071484D"/>
    <w:rsid w:val="00917E1E"/>
    <w:rsid w:val="009743F0"/>
    <w:rsid w:val="009E6FE8"/>
    <w:rsid w:val="00A01CD5"/>
    <w:rsid w:val="00AB27DD"/>
    <w:rsid w:val="00B15A81"/>
    <w:rsid w:val="00B50A2D"/>
    <w:rsid w:val="00BC5F07"/>
    <w:rsid w:val="00BE3B23"/>
    <w:rsid w:val="00C34D5D"/>
    <w:rsid w:val="00D84126"/>
    <w:rsid w:val="00E22262"/>
    <w:rsid w:val="00E3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4D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16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6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E6FE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4D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16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6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E6FE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6CE05794-6865-43AD-9AFF-B89CA1767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9</cp:revision>
  <dcterms:created xsi:type="dcterms:W3CDTF">2015-03-29T11:51:00Z</dcterms:created>
  <dcterms:modified xsi:type="dcterms:W3CDTF">2015-04-07T08:08:00Z</dcterms:modified>
</cp:coreProperties>
</file>