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54"/>
        <w:gridCol w:w="6388"/>
      </w:tblGrid>
      <w:tr w:rsidR="00285DBF" w:rsidRPr="001609DA" w14:paraId="2EC92780" w14:textId="77777777" w:rsidTr="00285DBF">
        <w:tc>
          <w:tcPr>
            <w:tcW w:w="2254" w:type="dxa"/>
          </w:tcPr>
          <w:p w14:paraId="5FD4C00A" w14:textId="2DE46FC7" w:rsidR="00285DBF" w:rsidRPr="001609DA" w:rsidRDefault="00285DBF">
            <w:pPr>
              <w:rPr>
                <w:rFonts w:ascii="Neo Sans Pro" w:hAnsi="Neo Sans Pro"/>
                <w:b/>
                <w:bCs/>
                <w:lang w:val="en-GB"/>
              </w:rPr>
            </w:pPr>
            <w:r w:rsidRPr="001609DA">
              <w:rPr>
                <w:rFonts w:ascii="Neo Sans Pro" w:hAnsi="Neo Sans Pro"/>
                <w:b/>
                <w:bCs/>
                <w:lang w:val="en-GB"/>
              </w:rPr>
              <w:t>Date</w:t>
            </w:r>
          </w:p>
        </w:tc>
        <w:tc>
          <w:tcPr>
            <w:tcW w:w="6388" w:type="dxa"/>
          </w:tcPr>
          <w:p w14:paraId="7FD832CB" w14:textId="1FC2AEBF" w:rsidR="00285DBF" w:rsidRPr="001609DA" w:rsidRDefault="00285DBF">
            <w:pPr>
              <w:rPr>
                <w:rFonts w:ascii="Neo Sans Pro" w:hAnsi="Neo Sans Pro"/>
                <w:b/>
                <w:bCs/>
                <w:lang w:val="en-GB"/>
              </w:rPr>
            </w:pPr>
            <w:r w:rsidRPr="001609DA">
              <w:rPr>
                <w:rFonts w:ascii="Neo Sans Pro" w:hAnsi="Neo Sans Pro"/>
                <w:b/>
                <w:bCs/>
                <w:lang w:val="en-GB"/>
              </w:rPr>
              <w:t>To do (both)</w:t>
            </w:r>
          </w:p>
        </w:tc>
      </w:tr>
      <w:tr w:rsidR="00285DBF" w:rsidRPr="001609DA" w14:paraId="57294930" w14:textId="77777777" w:rsidTr="00285DBF">
        <w:tc>
          <w:tcPr>
            <w:tcW w:w="2254" w:type="dxa"/>
          </w:tcPr>
          <w:p w14:paraId="75FD2433" w14:textId="57A1C8DF" w:rsidR="00285DBF" w:rsidRPr="001609DA" w:rsidRDefault="00285DBF">
            <w:p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17-04</w:t>
            </w:r>
          </w:p>
        </w:tc>
        <w:tc>
          <w:tcPr>
            <w:tcW w:w="6388" w:type="dxa"/>
          </w:tcPr>
          <w:p w14:paraId="0B62BC68" w14:textId="290E9978" w:rsidR="00285DBF" w:rsidRPr="001609DA" w:rsidRDefault="00DB78D0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Time plan</w:t>
            </w:r>
            <w:r w:rsidR="00285DBF" w:rsidRPr="001609DA">
              <w:rPr>
                <w:rFonts w:ascii="Neo Sans Pro" w:hAnsi="Neo Sans Pro"/>
                <w:lang w:val="en-GB"/>
              </w:rPr>
              <w:t xml:space="preserve"> for project</w:t>
            </w:r>
          </w:p>
        </w:tc>
      </w:tr>
      <w:tr w:rsidR="00285DBF" w:rsidRPr="001609DA" w14:paraId="67AFDAFC" w14:textId="77777777" w:rsidTr="00285DBF">
        <w:tc>
          <w:tcPr>
            <w:tcW w:w="8642" w:type="dxa"/>
            <w:gridSpan w:val="2"/>
            <w:shd w:val="clear" w:color="auto" w:fill="4472C4" w:themeFill="accent1"/>
          </w:tcPr>
          <w:p w14:paraId="2DB3D99B" w14:textId="77777777" w:rsidR="00285DBF" w:rsidRPr="001609DA" w:rsidRDefault="00285DBF">
            <w:pPr>
              <w:rPr>
                <w:rFonts w:ascii="Neo Sans Pro" w:hAnsi="Neo Sans Pro"/>
                <w:lang w:val="en-GB"/>
              </w:rPr>
            </w:pPr>
          </w:p>
        </w:tc>
      </w:tr>
      <w:tr w:rsidR="00285DBF" w:rsidRPr="004573CD" w14:paraId="6AC9B61F" w14:textId="77777777" w:rsidTr="00285DBF">
        <w:tc>
          <w:tcPr>
            <w:tcW w:w="2254" w:type="dxa"/>
          </w:tcPr>
          <w:p w14:paraId="65E99572" w14:textId="2155277D" w:rsidR="00285DBF" w:rsidRPr="001609DA" w:rsidRDefault="00285DBF">
            <w:p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24-04</w:t>
            </w:r>
          </w:p>
        </w:tc>
        <w:tc>
          <w:tcPr>
            <w:tcW w:w="6388" w:type="dxa"/>
          </w:tcPr>
          <w:p w14:paraId="6A520E83" w14:textId="053E19F8" w:rsidR="00285DBF" w:rsidRPr="001609DA" w:rsidRDefault="00DB78D0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Read both articles:</w:t>
            </w:r>
          </w:p>
          <w:p w14:paraId="54BB9C21" w14:textId="77777777" w:rsidR="00DB78D0" w:rsidRPr="001609DA" w:rsidRDefault="00DB78D0" w:rsidP="00DB78D0">
            <w:pPr>
              <w:pStyle w:val="Listeafsnit"/>
              <w:numPr>
                <w:ilvl w:val="1"/>
                <w:numId w:val="1"/>
              </w:num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Sødequist (2023) &amp; Sødequist (2024)</w:t>
            </w:r>
          </w:p>
          <w:p w14:paraId="1367DB0F" w14:textId="77777777" w:rsidR="00DB78D0" w:rsidRPr="001609DA" w:rsidRDefault="001609DA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Complete GPAW tutorial for spin spiral</w:t>
            </w:r>
          </w:p>
          <w:p w14:paraId="21A4FA27" w14:textId="77777777" w:rsidR="001609DA" w:rsidRPr="001609DA" w:rsidRDefault="001609DA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 xml:space="preserve">Calculate propagation vector </w:t>
            </w:r>
            <w:r w:rsidRPr="001609DA">
              <w:rPr>
                <w:rFonts w:ascii="Neo Sans Pro" w:hAnsi="Neo Sans Pro"/>
                <w:b/>
                <w:bCs/>
                <w:lang w:val="en-GB"/>
              </w:rPr>
              <w:t>Q</w:t>
            </w:r>
            <w:r w:rsidRPr="001609DA">
              <w:rPr>
                <w:rFonts w:ascii="Neo Sans Pro" w:hAnsi="Neo Sans Pro"/>
                <w:lang w:val="en-GB"/>
              </w:rPr>
              <w:t xml:space="preserve"> for MnI</w:t>
            </w:r>
            <w:r w:rsidRPr="001609DA">
              <w:rPr>
                <w:rFonts w:ascii="Neo Sans Pro" w:hAnsi="Neo Sans Pro"/>
                <w:vertAlign w:val="subscript"/>
                <w:lang w:val="en-GB"/>
              </w:rPr>
              <w:t>2</w:t>
            </w:r>
            <w:r w:rsidRPr="001609DA">
              <w:rPr>
                <w:rFonts w:ascii="Neo Sans Pro" w:hAnsi="Neo Sans Pro"/>
                <w:lang w:val="en-GB"/>
              </w:rPr>
              <w:t xml:space="preserve"> and VBr</w:t>
            </w:r>
            <w:r w:rsidRPr="001609DA">
              <w:rPr>
                <w:rFonts w:ascii="Neo Sans Pro" w:hAnsi="Neo Sans Pro"/>
                <w:vertAlign w:val="subscript"/>
                <w:lang w:val="en-GB"/>
              </w:rPr>
              <w:t>2</w:t>
            </w:r>
          </w:p>
          <w:p w14:paraId="4D171C8A" w14:textId="73F82066" w:rsidR="001E7523" w:rsidRPr="001609DA" w:rsidRDefault="001E7523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>
              <w:rPr>
                <w:rFonts w:ascii="Neo Sans Pro" w:hAnsi="Neo Sans Pro"/>
                <w:lang w:val="en-GB"/>
              </w:rPr>
              <w:t>Convergence checks for k-point sampling, cut-off energy for plane wave expansion etc.</w:t>
            </w:r>
          </w:p>
        </w:tc>
      </w:tr>
      <w:tr w:rsidR="00285DBF" w:rsidRPr="004573CD" w14:paraId="5BC9E85F" w14:textId="77777777" w:rsidTr="00DB78D0">
        <w:tc>
          <w:tcPr>
            <w:tcW w:w="2254" w:type="dxa"/>
            <w:shd w:val="clear" w:color="auto" w:fill="4472C4" w:themeFill="accent1"/>
          </w:tcPr>
          <w:p w14:paraId="3828490A" w14:textId="77777777" w:rsidR="00285DBF" w:rsidRPr="001609DA" w:rsidRDefault="00285DBF">
            <w:pPr>
              <w:rPr>
                <w:rFonts w:ascii="Neo Sans Pro" w:hAnsi="Neo Sans Pro"/>
                <w:lang w:val="en-GB"/>
              </w:rPr>
            </w:pPr>
          </w:p>
        </w:tc>
        <w:tc>
          <w:tcPr>
            <w:tcW w:w="6388" w:type="dxa"/>
            <w:shd w:val="clear" w:color="auto" w:fill="4472C4" w:themeFill="accent1"/>
          </w:tcPr>
          <w:p w14:paraId="7C86D5ED" w14:textId="77777777" w:rsidR="00285DBF" w:rsidRPr="001609DA" w:rsidRDefault="00285DBF">
            <w:pPr>
              <w:rPr>
                <w:rFonts w:ascii="Neo Sans Pro" w:hAnsi="Neo Sans Pro"/>
                <w:lang w:val="en-GB"/>
              </w:rPr>
            </w:pPr>
          </w:p>
        </w:tc>
      </w:tr>
      <w:tr w:rsidR="00285DBF" w:rsidRPr="004573CD" w14:paraId="03AB5C5B" w14:textId="77777777" w:rsidTr="00285DBF">
        <w:tc>
          <w:tcPr>
            <w:tcW w:w="2254" w:type="dxa"/>
          </w:tcPr>
          <w:p w14:paraId="575CB347" w14:textId="5965C0E7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01-05</w:t>
            </w:r>
          </w:p>
        </w:tc>
        <w:tc>
          <w:tcPr>
            <w:tcW w:w="6388" w:type="dxa"/>
          </w:tcPr>
          <w:p w14:paraId="4EA3EF23" w14:textId="77777777" w:rsidR="00285DBF" w:rsidRDefault="001E7523" w:rsidP="001E7523">
            <w:pPr>
              <w:pStyle w:val="Listeafsnit"/>
              <w:numPr>
                <w:ilvl w:val="0"/>
                <w:numId w:val="1"/>
              </w:numPr>
              <w:spacing w:after="160" w:line="259" w:lineRule="auto"/>
              <w:rPr>
                <w:rFonts w:ascii="Neo Sans Pro" w:hAnsi="Neo Sans Pro"/>
                <w:lang w:val="en-GB"/>
              </w:rPr>
            </w:pPr>
            <w:r>
              <w:rPr>
                <w:rFonts w:ascii="Neo Sans Pro" w:hAnsi="Neo Sans Pro"/>
                <w:lang w:val="en-GB"/>
              </w:rPr>
              <w:t>SOC with PSO to calculate spin plane direction</w:t>
            </w:r>
          </w:p>
          <w:p w14:paraId="0F964BCC" w14:textId="77777777" w:rsidR="001E7523" w:rsidRDefault="001E7523" w:rsidP="001E7523">
            <w:pPr>
              <w:pStyle w:val="Listeafsnit"/>
              <w:numPr>
                <w:ilvl w:val="0"/>
                <w:numId w:val="1"/>
              </w:numPr>
              <w:spacing w:after="160" w:line="259" w:lineRule="auto"/>
              <w:rPr>
                <w:rFonts w:ascii="Neo Sans Pro" w:hAnsi="Neo Sans Pro"/>
                <w:lang w:val="en-GB"/>
              </w:rPr>
            </w:pPr>
            <w:r>
              <w:rPr>
                <w:rFonts w:ascii="Neo Sans Pro" w:hAnsi="Neo Sans Pro"/>
                <w:lang w:val="en-GB"/>
              </w:rPr>
              <w:t>Super cells without SOC to calculate energy and compare with GBT</w:t>
            </w:r>
          </w:p>
          <w:p w14:paraId="1A5699EA" w14:textId="5287CAC3" w:rsidR="001E7523" w:rsidRPr="001E7523" w:rsidRDefault="00EB5E55" w:rsidP="001E7523">
            <w:pPr>
              <w:pStyle w:val="Listeafsnit"/>
              <w:numPr>
                <w:ilvl w:val="0"/>
                <w:numId w:val="1"/>
              </w:numPr>
              <w:spacing w:after="160" w:line="259" w:lineRule="auto"/>
              <w:rPr>
                <w:rFonts w:ascii="Neo Sans Pro" w:hAnsi="Neo Sans Pro"/>
                <w:lang w:val="en-GB"/>
              </w:rPr>
            </w:pPr>
            <w:r>
              <w:rPr>
                <w:rFonts w:ascii="Neo Sans Pro" w:hAnsi="Neo Sans Pro"/>
                <w:lang w:val="en-GB"/>
              </w:rPr>
              <w:t>Super cells with SOC to check error using PSO</w:t>
            </w:r>
          </w:p>
        </w:tc>
      </w:tr>
      <w:tr w:rsidR="00285DBF" w:rsidRPr="004573CD" w14:paraId="77ED5462" w14:textId="77777777" w:rsidTr="00DB78D0">
        <w:tc>
          <w:tcPr>
            <w:tcW w:w="2254" w:type="dxa"/>
            <w:shd w:val="clear" w:color="auto" w:fill="4472C4" w:themeFill="accent1"/>
          </w:tcPr>
          <w:p w14:paraId="7DF2B690" w14:textId="77777777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</w:p>
        </w:tc>
        <w:tc>
          <w:tcPr>
            <w:tcW w:w="6388" w:type="dxa"/>
            <w:shd w:val="clear" w:color="auto" w:fill="4472C4" w:themeFill="accent1"/>
          </w:tcPr>
          <w:p w14:paraId="6352BB6E" w14:textId="77777777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</w:p>
        </w:tc>
      </w:tr>
      <w:tr w:rsidR="00285DBF" w:rsidRPr="001609DA" w14:paraId="3FBDCCE4" w14:textId="77777777" w:rsidTr="00285DBF">
        <w:tc>
          <w:tcPr>
            <w:tcW w:w="2254" w:type="dxa"/>
          </w:tcPr>
          <w:p w14:paraId="6002B1C0" w14:textId="6FEF1DA8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08-05</w:t>
            </w:r>
          </w:p>
        </w:tc>
        <w:tc>
          <w:tcPr>
            <w:tcW w:w="6388" w:type="dxa"/>
          </w:tcPr>
          <w:p w14:paraId="794E71BB" w14:textId="77777777" w:rsidR="00285DBF" w:rsidRDefault="00DB78D0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First draft for report ready</w:t>
            </w:r>
          </w:p>
          <w:p w14:paraId="6269F069" w14:textId="62DC95F4" w:rsidR="00EB5E55" w:rsidRPr="001609DA" w:rsidRDefault="00EB5E55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>
              <w:rPr>
                <w:rFonts w:ascii="Neo Sans Pro" w:hAnsi="Neo Sans Pro"/>
                <w:lang w:val="en-GB"/>
              </w:rPr>
              <w:t>Convergence checks for super cells</w:t>
            </w:r>
            <w:r w:rsidR="0091328A">
              <w:rPr>
                <w:rFonts w:ascii="Neo Sans Pro" w:hAnsi="Neo Sans Pro"/>
                <w:lang w:val="en-GB"/>
              </w:rPr>
              <w:t>…</w:t>
            </w:r>
          </w:p>
        </w:tc>
      </w:tr>
      <w:tr w:rsidR="00285DBF" w:rsidRPr="001609DA" w14:paraId="4C902FBC" w14:textId="77777777" w:rsidTr="00DB78D0">
        <w:tc>
          <w:tcPr>
            <w:tcW w:w="2254" w:type="dxa"/>
            <w:shd w:val="clear" w:color="auto" w:fill="4472C4" w:themeFill="accent1"/>
          </w:tcPr>
          <w:p w14:paraId="0A8DA586" w14:textId="77777777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</w:p>
        </w:tc>
        <w:tc>
          <w:tcPr>
            <w:tcW w:w="6388" w:type="dxa"/>
            <w:shd w:val="clear" w:color="auto" w:fill="4472C4" w:themeFill="accent1"/>
          </w:tcPr>
          <w:p w14:paraId="7713C597" w14:textId="77777777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</w:p>
        </w:tc>
      </w:tr>
      <w:tr w:rsidR="00285DBF" w:rsidRPr="001609DA" w14:paraId="048F28F9" w14:textId="77777777" w:rsidTr="00285DBF">
        <w:tc>
          <w:tcPr>
            <w:tcW w:w="2254" w:type="dxa"/>
          </w:tcPr>
          <w:p w14:paraId="6F6A1ECB" w14:textId="7F995548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15-05</w:t>
            </w:r>
          </w:p>
        </w:tc>
        <w:tc>
          <w:tcPr>
            <w:tcW w:w="6388" w:type="dxa"/>
          </w:tcPr>
          <w:p w14:paraId="552C3506" w14:textId="4246B621" w:rsidR="00285DBF" w:rsidRPr="001609DA" w:rsidRDefault="00285DBF" w:rsidP="00285DBF">
            <w:pPr>
              <w:rPr>
                <w:rFonts w:ascii="Neo Sans Pro" w:hAnsi="Neo Sans Pro"/>
                <w:b/>
                <w:bCs/>
                <w:lang w:val="en-GB"/>
              </w:rPr>
            </w:pPr>
            <w:r w:rsidRPr="001609DA">
              <w:rPr>
                <w:rFonts w:ascii="Neo Sans Pro" w:hAnsi="Neo Sans Pro"/>
                <w:b/>
                <w:bCs/>
                <w:lang w:val="en-GB"/>
              </w:rPr>
              <w:t xml:space="preserve">Hand-in </w:t>
            </w:r>
            <w:r w:rsidR="00DB78D0" w:rsidRPr="001609DA">
              <w:rPr>
                <w:rFonts w:ascii="Neo Sans Pro" w:hAnsi="Neo Sans Pro"/>
                <w:b/>
                <w:bCs/>
                <w:lang w:val="en-GB"/>
              </w:rPr>
              <w:t>report!</w:t>
            </w:r>
          </w:p>
        </w:tc>
      </w:tr>
    </w:tbl>
    <w:p w14:paraId="3A7F0A00" w14:textId="77777777" w:rsidR="00DF5817" w:rsidRPr="001609DA" w:rsidRDefault="00DF5817">
      <w:pPr>
        <w:rPr>
          <w:rFonts w:ascii="Neo Sans Pro" w:hAnsi="Neo Sans Pro"/>
          <w:lang w:val="en-GB"/>
        </w:rPr>
      </w:pPr>
    </w:p>
    <w:p w14:paraId="7756F5E6" w14:textId="563AF1BD" w:rsidR="00285DBF" w:rsidRDefault="007D3361">
      <w:p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Questions:</w:t>
      </w:r>
    </w:p>
    <w:p w14:paraId="1FF610F6" w14:textId="4B84BDB0" w:rsidR="007D3361" w:rsidRDefault="007D3361" w:rsidP="007D3361">
      <w:pPr>
        <w:pStyle w:val="Listeafsnit"/>
        <w:numPr>
          <w:ilvl w:val="0"/>
          <w:numId w:val="2"/>
        </w:num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Which functionals to consider?</w:t>
      </w:r>
      <w:r w:rsidR="004573CD">
        <w:rPr>
          <w:rFonts w:ascii="Neo Sans Pro" w:hAnsi="Neo Sans Pro"/>
          <w:lang w:val="en-GB"/>
        </w:rPr>
        <w:t xml:space="preserve"> (LDA only, implementation issues)</w:t>
      </w:r>
    </w:p>
    <w:p w14:paraId="3C6BAFA5" w14:textId="0183FBEE" w:rsidR="007D3361" w:rsidRDefault="007D3361" w:rsidP="007D3361">
      <w:pPr>
        <w:pStyle w:val="Listeafsnit"/>
        <w:numPr>
          <w:ilvl w:val="0"/>
          <w:numId w:val="2"/>
        </w:num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If Hubbard correction, what to use for U?</w:t>
      </w:r>
      <w:r w:rsidR="004573CD">
        <w:rPr>
          <w:rFonts w:ascii="Neo Sans Pro" w:hAnsi="Neo Sans Pro"/>
          <w:lang w:val="en-GB"/>
        </w:rPr>
        <w:t xml:space="preserve"> (3-4 ev</w:t>
      </w:r>
      <w:r w:rsidR="00C01212">
        <w:rPr>
          <w:rFonts w:ascii="Neo Sans Pro" w:hAnsi="Neo Sans Pro"/>
          <w:lang w:val="en-GB"/>
        </w:rPr>
        <w:t xml:space="preserve"> maybe, only for d-orbitals due to localization</w:t>
      </w:r>
      <w:r w:rsidR="004573CD">
        <w:rPr>
          <w:rFonts w:ascii="Neo Sans Pro" w:hAnsi="Neo Sans Pro"/>
          <w:lang w:val="en-GB"/>
        </w:rPr>
        <w:t>)</w:t>
      </w:r>
    </w:p>
    <w:p w14:paraId="40C1C4A8" w14:textId="6AB1CC2A" w:rsidR="007D3361" w:rsidRDefault="007D3361" w:rsidP="007D3361">
      <w:pPr>
        <w:pStyle w:val="Listeafsnit"/>
        <w:numPr>
          <w:ilvl w:val="0"/>
          <w:numId w:val="2"/>
        </w:num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How to check easy plane and Mermin-Wagner theorem?</w:t>
      </w:r>
    </w:p>
    <w:p w14:paraId="0B847EFC" w14:textId="78AB53FB" w:rsidR="007D3361" w:rsidRDefault="00CD4465" w:rsidP="007D3361">
      <w:pPr>
        <w:pStyle w:val="Listeafsnit"/>
        <w:numPr>
          <w:ilvl w:val="0"/>
          <w:numId w:val="2"/>
        </w:num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Time length of simulations? (HPC?)</w:t>
      </w:r>
    </w:p>
    <w:p w14:paraId="24CC1BFE" w14:textId="6C780842" w:rsidR="00CD4465" w:rsidRDefault="003B6164" w:rsidP="007D3361">
      <w:pPr>
        <w:pStyle w:val="Listeafsnit"/>
        <w:numPr>
          <w:ilvl w:val="0"/>
          <w:numId w:val="2"/>
        </w:num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More materials?</w:t>
      </w:r>
      <w:r w:rsidR="00865D48">
        <w:rPr>
          <w:rFonts w:ascii="Neo Sans Pro" w:hAnsi="Neo Sans Pro"/>
          <w:lang w:val="en-GB"/>
        </w:rPr>
        <w:t xml:space="preserve"> (N</w:t>
      </w:r>
      <w:r w:rsidR="006D04F7">
        <w:rPr>
          <w:rFonts w:ascii="Neo Sans Pro" w:hAnsi="Neo Sans Pro"/>
          <w:lang w:val="en-GB"/>
        </w:rPr>
        <w:t>i</w:t>
      </w:r>
      <w:r w:rsidR="00865D48">
        <w:rPr>
          <w:rFonts w:ascii="Neo Sans Pro" w:hAnsi="Neo Sans Pro"/>
          <w:lang w:val="en-GB"/>
        </w:rPr>
        <w:t>I</w:t>
      </w:r>
      <w:r w:rsidR="00865D48">
        <w:rPr>
          <w:rFonts w:ascii="Neo Sans Pro" w:hAnsi="Neo Sans Pro"/>
          <w:vertAlign w:val="subscript"/>
          <w:lang w:val="en-GB"/>
        </w:rPr>
        <w:t>2</w:t>
      </w:r>
      <w:r w:rsidR="00865D48">
        <w:rPr>
          <w:rFonts w:ascii="Neo Sans Pro" w:hAnsi="Neo Sans Pro"/>
          <w:lang w:val="en-GB"/>
        </w:rPr>
        <w:t>)</w:t>
      </w:r>
    </w:p>
    <w:p w14:paraId="4F1B6181" w14:textId="414E6641" w:rsidR="00D148C8" w:rsidRPr="007D3361" w:rsidRDefault="00D148C8" w:rsidP="007D3361">
      <w:pPr>
        <w:pStyle w:val="Listeafsnit"/>
        <w:numPr>
          <w:ilvl w:val="0"/>
          <w:numId w:val="2"/>
        </w:num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Spiral bandwidth?</w:t>
      </w:r>
    </w:p>
    <w:p w14:paraId="37002A65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402FD512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5D616A8A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47AED303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2D9D170D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126AB007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01F3107F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12EA3C2F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6B07BCC8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5AD4FBFC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54AAD43F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070FD9AB" w14:textId="77777777" w:rsidR="00285DBF" w:rsidRPr="001609DA" w:rsidRDefault="00285DBF">
      <w:pPr>
        <w:rPr>
          <w:rFonts w:ascii="Neo Sans Pro" w:hAnsi="Neo Sans Pro"/>
          <w:lang w:val="en-GB"/>
        </w:rPr>
      </w:pPr>
    </w:p>
    <w:sectPr w:rsidR="00285DBF" w:rsidRPr="0016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o Sans Pro">
    <w:panose1 w:val="020B0504030504040204"/>
    <w:charset w:val="00"/>
    <w:family w:val="swiss"/>
    <w:notTrueType/>
    <w:pitch w:val="variable"/>
    <w:sig w:usb0="A00000A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6619A"/>
    <w:multiLevelType w:val="hybridMultilevel"/>
    <w:tmpl w:val="26EC9CF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0B20"/>
    <w:multiLevelType w:val="hybridMultilevel"/>
    <w:tmpl w:val="2488D6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5296">
    <w:abstractNumId w:val="1"/>
  </w:num>
  <w:num w:numId="2" w16cid:durableId="149849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F"/>
    <w:rsid w:val="00034BE2"/>
    <w:rsid w:val="001609DA"/>
    <w:rsid w:val="001E7523"/>
    <w:rsid w:val="00285DBF"/>
    <w:rsid w:val="003B6164"/>
    <w:rsid w:val="004573CD"/>
    <w:rsid w:val="006D04F7"/>
    <w:rsid w:val="007A603B"/>
    <w:rsid w:val="007D3361"/>
    <w:rsid w:val="00865D48"/>
    <w:rsid w:val="0091328A"/>
    <w:rsid w:val="00C01212"/>
    <w:rsid w:val="00C61714"/>
    <w:rsid w:val="00CD4465"/>
    <w:rsid w:val="00D148C8"/>
    <w:rsid w:val="00DB78D0"/>
    <w:rsid w:val="00DF5817"/>
    <w:rsid w:val="00EB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2B4C"/>
  <w15:chartTrackingRefBased/>
  <w15:docId w15:val="{A9DCCD52-FDEB-4D65-B2D6-1618F670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8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8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85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8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85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8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8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8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8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5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85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85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85DBF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85DBF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85DB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85DB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85DB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85D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8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8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8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8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8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85DB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85DB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85DBF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85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85DBF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85DBF"/>
    <w:rPr>
      <w:b/>
      <w:bCs/>
      <w:smallCaps/>
      <w:color w:val="2F5496" w:themeColor="accent1" w:themeShade="BF"/>
      <w:spacing w:val="5"/>
    </w:rPr>
  </w:style>
  <w:style w:type="table" w:styleId="Tabel-Gitter">
    <w:name w:val="Table Grid"/>
    <w:basedOn w:val="Tabel-Normal"/>
    <w:uiPriority w:val="39"/>
    <w:rsid w:val="0028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Mentz-Jørgensen</dc:creator>
  <cp:keywords/>
  <dc:description/>
  <cp:lastModifiedBy>Mads Mentz-Jørgensen</cp:lastModifiedBy>
  <cp:revision>16</cp:revision>
  <dcterms:created xsi:type="dcterms:W3CDTF">2024-04-17T07:05:00Z</dcterms:created>
  <dcterms:modified xsi:type="dcterms:W3CDTF">2024-04-17T08:12:00Z</dcterms:modified>
</cp:coreProperties>
</file>