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sz w:val="20"/>
          <w:szCs w:val="20"/>
        </w:rPr>
        <w:t xml:space="preserve"/>
      </w:r>
    </w:p>
    <w:p>
      <w:pPr>
        <w:spacing w:after="80" w:before="0"/>
        <w:jc w:val="left"/>
      </w:pPr>
      <w:r>
        <w:rPr>
          <w:rFonts w:ascii="Times New Roman" w:cs="Times New Roman" w:eastAsia="Times New Roman" w:hAnsi="Times New Roman"/>
          <w:b/>
          <w:bCs/>
          <w:i w:val="false"/>
          <w:iCs w:val="false"/>
          <w:sz w:val="32"/>
          <w:szCs w:val="32"/>
        </w:rPr>
        <w:t xml:space="preserve">ShoreVest Website Copy for Legal Review</w:t>
      </w:r>
    </w:p>
    <w:p>
      <w:pPr>
        <w:spacing w:after="0" w:before="80"/>
      </w:pPr>
      <w:r>
        <w:rPr>
          <w:sz w:val="20"/>
          <w:szCs w:val="20"/>
        </w:rPr>
        <w:t xml:space="preserve"/>
      </w:r>
    </w:p>
    <w:p>
      <w:pPr>
        <w:spacing w:after="80" w:before="0"/>
        <w:jc w:val="left"/>
      </w:pPr>
      <w:r>
        <w:rPr>
          <w:rFonts w:ascii="Times New Roman" w:cs="Times New Roman" w:eastAsia="Times New Roman" w:hAnsi="Times New Roman"/>
          <w:b w:val="false"/>
          <w:bCs w:val="false"/>
          <w:i/>
          <w:iCs/>
          <w:sz w:val="20"/>
          <w:szCs w:val="20"/>
        </w:rPr>
        <w:t xml:space="preserve">Public Website Content Draft</w:t>
      </w:r>
    </w:p>
    <w:p>
      <w:pPr>
        <w:spacing w:after="80" w:before="0"/>
        <w:jc w:val="left"/>
      </w:pPr>
      <w:r>
        <w:rPr>
          <w:rFonts w:ascii="Times New Roman" w:cs="Times New Roman" w:eastAsia="Times New Roman" w:hAnsi="Times New Roman"/>
          <w:b w:val="false"/>
          <w:bCs w:val="false"/>
          <w:i w:val="false"/>
          <w:iCs w:val="false"/>
          <w:sz w:val="20"/>
          <w:szCs w:val="20"/>
        </w:rPr>
        <w:t xml:space="preserve">Prepared for Ada and Haiwen review</w:t>
      </w:r>
    </w:p>
    <w:p>
      <w:pPr>
        <w:spacing w:after="80" w:before="0"/>
        <w:jc w:val="left"/>
      </w:pPr>
      <w:r>
        <w:rPr>
          <w:rFonts w:ascii="Times New Roman" w:cs="Times New Roman" w:eastAsia="Times New Roman" w:hAnsi="Times New Roman"/>
          <w:b w:val="false"/>
          <w:bCs w:val="false"/>
          <w:i w:val="false"/>
          <w:iCs w:val="false"/>
          <w:sz w:val="20"/>
          <w:szCs w:val="20"/>
        </w:rPr>
        <w:t xml:space="preserve">Working draft — June 2026</w:t>
      </w:r>
    </w:p>
    <w:p>
      <w:pPr>
        <w:spacing w:after="0" w:before="1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spacing w:after="0" w:before="0"/>
            </w:pPr>
            <w:r>
              <w:rPr>
                <w:rFonts w:ascii="Times New Roman" w:cs="Times New Roman" w:eastAsia="Times New Roman" w:hAnsi="Times New Roman"/>
                <w:sz w:val="20"/>
                <w:szCs w:val="20"/>
              </w:rPr>
              <w:t xml:space="preserve">Review scope   This document sets out the proposed public-facing website copy for ShoreVest's refreshed website. It is intended to cover the broader website content Ben flagged for legal review, including how the site describes the firm, strategy, investment process, investor access, public-facing claims, and related risk language. This document is separate from the standalone legal and policy pages, including the Privacy Policy, Cookie Notice, Terms of Use, Legal Notices and Disclaimers, and Investor Portal Terms. Chinese copy is not included as final copy in this draft pending alignment with Janine's revised Chinese version and confirmation of the correct Chinese firm name. Any Chinese text shown below is for context and confirmation only.</w:t>
            </w:r>
          </w:p>
        </w:tc>
      </w:tr>
    </w:tbl>
    <w:p>
      <w:pPr>
        <w:spacing w:after="0" w:before="200"/>
      </w:pPr>
      <w:r>
        <w:rPr>
          <w:sz w:val="20"/>
          <w:szCs w:val="20"/>
        </w:rPr>
        <w:t xml:space="preserve"/>
      </w:r>
    </w:p>
    <w:p>
      <w:pPr>
        <w:pBdr>
          <w:bottom w:val="single" w:color="000000" w:sz="4" w:space="4"/>
        </w:pBdr>
        <w:spacing w:after="120" w:before="320"/>
      </w:pPr>
      <w:r>
        <w:rPr>
          <w:rFonts w:ascii="Times New Roman" w:cs="Times New Roman" w:eastAsia="Times New Roman" w:hAnsi="Times New Roman"/>
          <w:b/>
          <w:bCs/>
          <w:sz w:val="26"/>
          <w:szCs w:val="26"/>
        </w:rPr>
        <w:t xml:space="preserve">Contents</w:t>
      </w:r>
    </w:p>
    <w:p>
      <w:pPr>
        <w:spacing w:after="0" w:before="60"/>
      </w:pPr>
      <w:r>
        <w:rPr>
          <w:sz w:val="20"/>
          <w:szCs w:val="20"/>
        </w:rPr>
        <w:t xml:space="preserve"/>
      </w:r>
    </w:p>
    <w:p>
      <w:pPr>
        <w:pStyle w:val="ListParagraph"/>
        <w:numPr>
          <w:ilvl w:val="0"/>
          <w:numId w:val="2"/>
        </w:numPr>
        <w:spacing w:after="40" w:before="40"/>
      </w:pPr>
      <w:r>
        <w:rPr>
          <w:rFonts w:ascii="Times New Roman" w:cs="Times New Roman" w:eastAsia="Times New Roman" w:hAnsi="Times New Roman"/>
          <w:sz w:val="20"/>
          <w:szCs w:val="20"/>
        </w:rPr>
        <w:t xml:space="preserve">Navigation</w:t>
      </w:r>
    </w:p>
    <w:p>
      <w:pPr>
        <w:pStyle w:val="ListParagraph"/>
        <w:numPr>
          <w:ilvl w:val="0"/>
          <w:numId w:val="2"/>
        </w:numPr>
        <w:spacing w:after="40" w:before="40"/>
      </w:pPr>
      <w:r>
        <w:rPr>
          <w:rFonts w:ascii="Times New Roman" w:cs="Times New Roman" w:eastAsia="Times New Roman" w:hAnsi="Times New Roman"/>
          <w:sz w:val="20"/>
          <w:szCs w:val="20"/>
        </w:rPr>
        <w:t xml:space="preserve">Home</w:t>
      </w:r>
    </w:p>
    <w:p>
      <w:pPr>
        <w:pStyle w:val="ListParagraph"/>
        <w:numPr>
          <w:ilvl w:val="0"/>
          <w:numId w:val="2"/>
        </w:numPr>
        <w:spacing w:after="40" w:before="40"/>
      </w:pPr>
      <w:r>
        <w:rPr>
          <w:rFonts w:ascii="Times New Roman" w:cs="Times New Roman" w:eastAsia="Times New Roman" w:hAnsi="Times New Roman"/>
          <w:sz w:val="20"/>
          <w:szCs w:val="20"/>
        </w:rPr>
        <w:t xml:space="preserve">Firm</w:t>
      </w:r>
    </w:p>
    <w:p>
      <w:pPr>
        <w:pStyle w:val="ListParagraph"/>
        <w:numPr>
          <w:ilvl w:val="0"/>
          <w:numId w:val="2"/>
        </w:numPr>
        <w:spacing w:after="40" w:before="40"/>
      </w:pPr>
      <w:r>
        <w:rPr>
          <w:rFonts w:ascii="Times New Roman" w:cs="Times New Roman" w:eastAsia="Times New Roman" w:hAnsi="Times New Roman"/>
          <w:sz w:val="20"/>
          <w:szCs w:val="20"/>
        </w:rPr>
        <w:t xml:space="preserve">Strategy</w:t>
      </w:r>
    </w:p>
    <w:p>
      <w:pPr>
        <w:pStyle w:val="ListParagraph"/>
        <w:numPr>
          <w:ilvl w:val="0"/>
          <w:numId w:val="2"/>
        </w:numPr>
        <w:spacing w:after="40" w:before="40"/>
      </w:pPr>
      <w:r>
        <w:rPr>
          <w:rFonts w:ascii="Times New Roman" w:cs="Times New Roman" w:eastAsia="Times New Roman" w:hAnsi="Times New Roman"/>
          <w:sz w:val="20"/>
          <w:szCs w:val="20"/>
        </w:rPr>
        <w:t xml:space="preserve">Insights / China Debt Dynamics</w:t>
      </w:r>
    </w:p>
    <w:p>
      <w:pPr>
        <w:pStyle w:val="ListParagraph"/>
        <w:numPr>
          <w:ilvl w:val="0"/>
          <w:numId w:val="2"/>
        </w:numPr>
        <w:spacing w:after="40" w:before="40"/>
      </w:pPr>
      <w:r>
        <w:rPr>
          <w:rFonts w:ascii="Times New Roman" w:cs="Times New Roman" w:eastAsia="Times New Roman" w:hAnsi="Times New Roman"/>
          <w:sz w:val="20"/>
          <w:szCs w:val="20"/>
        </w:rPr>
        <w:t xml:space="preserve">Media</w:t>
      </w:r>
    </w:p>
    <w:p>
      <w:pPr>
        <w:pStyle w:val="ListParagraph"/>
        <w:numPr>
          <w:ilvl w:val="0"/>
          <w:numId w:val="2"/>
        </w:numPr>
        <w:spacing w:after="40" w:before="40"/>
      </w:pPr>
      <w:r>
        <w:rPr>
          <w:rFonts w:ascii="Times New Roman" w:cs="Times New Roman" w:eastAsia="Times New Roman" w:hAnsi="Times New Roman"/>
          <w:sz w:val="20"/>
          <w:szCs w:val="20"/>
        </w:rPr>
        <w:t xml:space="preserve">Team</w:t>
      </w:r>
    </w:p>
    <w:p>
      <w:pPr>
        <w:pStyle w:val="ListParagraph"/>
        <w:numPr>
          <w:ilvl w:val="0"/>
          <w:numId w:val="2"/>
        </w:numPr>
        <w:spacing w:after="40" w:before="40"/>
      </w:pPr>
      <w:r>
        <w:rPr>
          <w:rFonts w:ascii="Times New Roman" w:cs="Times New Roman" w:eastAsia="Times New Roman" w:hAnsi="Times New Roman"/>
          <w:sz w:val="20"/>
          <w:szCs w:val="20"/>
        </w:rPr>
        <w:t xml:space="preserve">Investor Portal</w:t>
      </w:r>
    </w:p>
    <w:p>
      <w:pPr>
        <w:pStyle w:val="ListParagraph"/>
        <w:numPr>
          <w:ilvl w:val="0"/>
          <w:numId w:val="2"/>
        </w:numPr>
        <w:spacing w:after="40" w:before="40"/>
      </w:pPr>
      <w:r>
        <w:rPr>
          <w:rFonts w:ascii="Times New Roman" w:cs="Times New Roman" w:eastAsia="Times New Roman" w:hAnsi="Times New Roman"/>
          <w:sz w:val="20"/>
          <w:szCs w:val="20"/>
        </w:rPr>
        <w:t xml:space="preserve">Contact</w:t>
      </w:r>
    </w:p>
    <w:p>
      <w:pPr>
        <w:pStyle w:val="ListParagraph"/>
        <w:numPr>
          <w:ilvl w:val="0"/>
          <w:numId w:val="2"/>
        </w:numPr>
        <w:spacing w:after="40" w:before="40"/>
      </w:pPr>
      <w:r>
        <w:rPr>
          <w:rFonts w:ascii="Times New Roman" w:cs="Times New Roman" w:eastAsia="Times New Roman" w:hAnsi="Times New Roman"/>
          <w:sz w:val="20"/>
          <w:szCs w:val="20"/>
        </w:rPr>
        <w:t xml:space="preserve">Footer</w:t>
      </w:r>
    </w:p>
    <w:p>
      <w:pPr>
        <w:pStyle w:val="ListParagraph"/>
        <w:numPr>
          <w:ilvl w:val="0"/>
          <w:numId w:val="2"/>
        </w:numPr>
        <w:spacing w:after="40" w:before="40"/>
      </w:pPr>
      <w:r>
        <w:rPr>
          <w:rFonts w:ascii="Times New Roman" w:cs="Times New Roman" w:eastAsia="Times New Roman" w:hAnsi="Times New Roman"/>
          <w:sz w:val="20"/>
          <w:szCs w:val="20"/>
        </w:rPr>
        <w:t xml:space="preserve">Legal Review Notes</w:t>
      </w:r>
    </w:p>
    <w:p>
      <w:r>
        <w:br/>
      </w:r>
    </w:p>
    <w:p>
      <w:pPr>
        <w:pBdr>
          <w:bottom w:val="single" w:color="000000" w:sz="4" w:space="4"/>
        </w:pBdr>
        <w:spacing w:after="120" w:before="320"/>
      </w:pPr>
      <w:r>
        <w:rPr>
          <w:rFonts w:ascii="Times New Roman" w:cs="Times New Roman" w:eastAsia="Times New Roman" w:hAnsi="Times New Roman"/>
          <w:b/>
          <w:bCs/>
          <w:sz w:val="26"/>
          <w:szCs w:val="26"/>
        </w:rPr>
        <w:t xml:space="preserve">Navigation</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Primary navigation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Firm │ Strategy │ Insights │ Media │ Team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Language switcher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EN │ 中文</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Utility links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Investor Portal │ Contact</w:t>
            </w:r>
          </w:p>
        </w:tc>
      </w:tr>
    </w:tbl>
    <w:p>
      <w:pPr>
        <w:spacing w:after="0" w:before="160"/>
      </w:pPr>
      <w:r>
        <w:rPr>
          <w:sz w:val="20"/>
          <w:szCs w:val="20"/>
        </w:rPr>
        <w:t xml:space="preserve"/>
      </w:r>
    </w:p>
    <w:p>
      <w:pPr>
        <w:pBdr>
          <w:bottom w:val="single" w:color="000000" w:sz="4" w:space="4"/>
        </w:pBdr>
        <w:spacing w:after="120" w:before="320"/>
      </w:pPr>
      <w:r>
        <w:rPr>
          <w:rFonts w:ascii="Times New Roman" w:cs="Times New Roman" w:eastAsia="Times New Roman" w:hAnsi="Times New Roman"/>
          <w:b/>
          <w:bCs/>
          <w:sz w:val="26"/>
          <w:szCs w:val="26"/>
        </w:rPr>
        <w:t xml:space="preserve">Home</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Specialists in China credit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Asset-backed private credit in China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Hero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Partners invests in asset-backed China credit opportunities where proprietary sourcing, collateral quality, and recoverability drive the underwriting case.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Primary link</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China Debt Dynamics →</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Focus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Asset-backed private credit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Since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2004</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Strategies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Asset-Based Lending · Asset Restructuring · Debt Resolutions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Offices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Guangzhou · Shanghai · Beijing · Hong Kong</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Proof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Stat</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Label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20+ years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China credit experience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US$2B+</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Managed across private credit strategies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60+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Transactions executed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20,000+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Loan positions underwritten, managed, and resolved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4 offices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Guangzhou · Shanghai · Beijing · Hong Kong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
            </w:r>
          </w:p>
        </w:tc>
      </w:tr>
    </w:tbl>
    <w:p>
      <w:pPr>
        <w:spacing w:after="0" w:before="60"/>
      </w:pPr>
      <w:r>
        <w:rPr>
          <w:sz w:val="20"/>
          <w:szCs w:val="20"/>
        </w:rPr>
        <w:t xml:space="preserve"/>
      </w:r>
    </w:p>
    <w:p>
      <w:pPr>
        <w:spacing w:after="80" w:before="100"/>
      </w:pPr>
      <w:r>
        <w:rPr>
          <w:rFonts w:ascii="Times New Roman" w:cs="Times New Roman" w:eastAsia="Times New Roman" w:hAnsi="Times New Roman"/>
          <w:i/>
          <w:iCs/>
          <w:sz w:val="18"/>
          <w:szCs w:val="18"/>
        </w:rPr>
        <w:t xml:space="preserve">Figures are approximate and subject to confirmation before publication.</w:t>
      </w:r>
    </w:p>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Homepage preview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Firm preview heading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 China credit platform developed over two decades.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Firm preview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brings two decades of experience across China credit and distressed debt, with institutional capital managed through multiple market cycles.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Strategy preview heading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Defined recovery paths.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Strategy preview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underwrites secured opportunities around claim priority, enforceability, and exit route.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Strategy list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Asset-Based Lending │ Asset Restructuring │ Debt Resolutions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CDD preview label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Research series · Established 2018</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CDD preview heading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China Debt Dynamics / 新岸资本 · 中国债务动态</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CDD preview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Research on China’s private credit markets, policy trajectory, legal frameworks, and creditor recoveries.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Featured report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Issue 46 · 25 January 2026 — The End of the “China Is Uninvestable” Myth — Read issue →</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Recent issue 1</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Vol. 10 · No. 1 / January 2026 — The End of the “China Is Uninvestable” Myth — Markets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Recent issue 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Vol. 9 · No. 5 / 2025 — Beijing’s Campaign Against Overcapacity Creates Private Credit Opportunities — Policy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Recent issue 3</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Vol. 9 · No. 4 / 2025 — China’s Property Sector and the Path Through Restructuring — Markets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Archive link</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View full archive →</w:t>
            </w:r>
          </w:p>
        </w:tc>
      </w:tr>
    </w:tbl>
    <w:p>
      <w:r>
        <w:br/>
      </w:r>
    </w:p>
    <w:p>
      <w:pPr>
        <w:pBdr>
          <w:bottom w:val="single" w:color="000000" w:sz="4" w:space="4"/>
        </w:pBdr>
        <w:spacing w:after="120" w:before="320"/>
      </w:pPr>
      <w:r>
        <w:rPr>
          <w:rFonts w:ascii="Times New Roman" w:cs="Times New Roman" w:eastAsia="Times New Roman" w:hAnsi="Times New Roman"/>
          <w:b/>
          <w:bCs/>
          <w:sz w:val="26"/>
          <w:szCs w:val="26"/>
        </w:rPr>
        <w:t xml:space="preserve">Firm</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The Firm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Private credit, private debt, and distressed credit solutions in China and Asia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Hero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Partners is a leading institutional China private credit and private debt investment manager, having pioneered private credit solutions in the market over 20 years ago. The firm also brings deep experience across China’s private equity and distressed debt landscape.</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Firm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Founded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2004</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Focus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China private credit and private debt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Capital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Over US$2 billion in China private credit and private debt investments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Investors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Institutional investors worldwide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Offices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Guangzhou · Shanghai · Beijing · Hong Kong</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Who We Are</w:t>
      </w:r>
    </w:p>
    <w:p>
      <w:pPr>
        <w:spacing w:after="80" w:before="0"/>
        <w:jc w:val="left"/>
      </w:pPr>
      <w:r>
        <w:rPr>
          <w:rFonts w:ascii="Times New Roman" w:cs="Times New Roman" w:eastAsia="Times New Roman" w:hAnsi="Times New Roman"/>
          <w:b w:val="false"/>
          <w:bCs w:val="false"/>
          <w:i w:val="false"/>
          <w:iCs w:val="false"/>
          <w:sz w:val="20"/>
          <w:szCs w:val="20"/>
        </w:rPr>
        <w:t xml:space="preserve">The ShoreVest team has managed over US$2 billion in private credit and private debt investments in China on behalf of institutional investors worldwide.</w:t>
      </w:r>
    </w:p>
    <w:p>
      <w:pPr>
        <w:spacing w:after="80" w:before="0"/>
        <w:jc w:val="left"/>
      </w:pPr>
      <w:r>
        <w:rPr>
          <w:rFonts w:ascii="Times New Roman" w:cs="Times New Roman" w:eastAsia="Times New Roman" w:hAnsi="Times New Roman"/>
          <w:b w:val="false"/>
          <w:bCs w:val="false"/>
          <w:i w:val="false"/>
          <w:iCs w:val="false"/>
          <w:sz w:val="20"/>
          <w:szCs w:val="20"/>
        </w:rPr>
        <w:t xml:space="preserve">Through its China-focused credit platform, ShoreVest delivers tailored China credit solutions and selectively pursues distressed debt opportunities, with broader experience across Asia’s private credit markets.</w:t>
      </w:r>
    </w:p>
    <w:p>
      <w:pPr>
        <w:spacing w:after="0" w:before="80"/>
      </w:pPr>
      <w:r>
        <w:rPr>
          <w:sz w:val="20"/>
          <w:szCs w:val="20"/>
        </w:rPr>
        <w:t xml:space="preserve"/>
      </w:r>
    </w:p>
    <w:p>
      <w:pPr>
        <w:spacing w:after="60" w:before="140"/>
      </w:pPr>
      <w:r>
        <w:rPr>
          <w:rFonts w:ascii="Times New Roman" w:cs="Times New Roman" w:eastAsia="Times New Roman" w:hAnsi="Times New Roman"/>
          <w:b/>
          <w:bCs/>
          <w:i/>
          <w:iCs/>
          <w:sz w:val="20"/>
          <w:szCs w:val="20"/>
        </w:rPr>
        <w:t xml:space="preserve">Institutional investor base</w:t>
      </w:r>
    </w:p>
    <w:p>
      <w:pPr>
        <w:pStyle w:val="ListParagraph"/>
        <w:numPr>
          <w:ilvl w:val="0"/>
          <w:numId w:val="2"/>
        </w:numPr>
        <w:spacing w:after="40" w:before="40"/>
      </w:pPr>
      <w:r>
        <w:rPr>
          <w:rFonts w:ascii="Times New Roman" w:cs="Times New Roman" w:eastAsia="Times New Roman" w:hAnsi="Times New Roman"/>
          <w:sz w:val="20"/>
          <w:szCs w:val="20"/>
        </w:rPr>
        <w:t xml:space="preserve">Sovereign wealth funds</w:t>
      </w:r>
    </w:p>
    <w:p>
      <w:pPr>
        <w:pStyle w:val="ListParagraph"/>
        <w:numPr>
          <w:ilvl w:val="0"/>
          <w:numId w:val="2"/>
        </w:numPr>
        <w:spacing w:after="40" w:before="40"/>
      </w:pPr>
      <w:r>
        <w:rPr>
          <w:rFonts w:ascii="Times New Roman" w:cs="Times New Roman" w:eastAsia="Times New Roman" w:hAnsi="Times New Roman"/>
          <w:sz w:val="20"/>
          <w:szCs w:val="20"/>
        </w:rPr>
        <w:t xml:space="preserve">Pension funds</w:t>
      </w:r>
    </w:p>
    <w:p>
      <w:pPr>
        <w:pStyle w:val="ListParagraph"/>
        <w:numPr>
          <w:ilvl w:val="0"/>
          <w:numId w:val="2"/>
        </w:numPr>
        <w:spacing w:after="40" w:before="40"/>
      </w:pPr>
      <w:r>
        <w:rPr>
          <w:rFonts w:ascii="Times New Roman" w:cs="Times New Roman" w:eastAsia="Times New Roman" w:hAnsi="Times New Roman"/>
          <w:sz w:val="20"/>
          <w:szCs w:val="20"/>
        </w:rPr>
        <w:t xml:space="preserve">Insurance companies</w:t>
      </w:r>
    </w:p>
    <w:p>
      <w:pPr>
        <w:pStyle w:val="ListParagraph"/>
        <w:numPr>
          <w:ilvl w:val="0"/>
          <w:numId w:val="2"/>
        </w:numPr>
        <w:spacing w:after="40" w:before="40"/>
      </w:pPr>
      <w:r>
        <w:rPr>
          <w:rFonts w:ascii="Times New Roman" w:cs="Times New Roman" w:eastAsia="Times New Roman" w:hAnsi="Times New Roman"/>
          <w:sz w:val="20"/>
          <w:szCs w:val="20"/>
        </w:rPr>
        <w:t xml:space="preserve">Foundations</w:t>
      </w:r>
    </w:p>
    <w:p>
      <w:pPr>
        <w:pStyle w:val="ListParagraph"/>
        <w:numPr>
          <w:ilvl w:val="0"/>
          <w:numId w:val="2"/>
        </w:numPr>
        <w:spacing w:after="40" w:before="40"/>
      </w:pPr>
      <w:r>
        <w:rPr>
          <w:rFonts w:ascii="Times New Roman" w:cs="Times New Roman" w:eastAsia="Times New Roman" w:hAnsi="Times New Roman"/>
          <w:sz w:val="20"/>
          <w:szCs w:val="20"/>
        </w:rPr>
        <w:t xml:space="preserve">Endowments</w:t>
      </w:r>
    </w:p>
    <w:p>
      <w:pPr>
        <w:pStyle w:val="ListParagraph"/>
        <w:numPr>
          <w:ilvl w:val="0"/>
          <w:numId w:val="2"/>
        </w:numPr>
        <w:spacing w:after="40" w:before="40"/>
      </w:pPr>
      <w:r>
        <w:rPr>
          <w:rFonts w:ascii="Times New Roman" w:cs="Times New Roman" w:eastAsia="Times New Roman" w:hAnsi="Times New Roman"/>
          <w:sz w:val="20"/>
          <w:szCs w:val="20"/>
        </w:rPr>
        <w:t xml:space="preserve">Family offices</w:t>
      </w:r>
    </w:p>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Core Competencies</w:t>
      </w:r>
    </w:p>
    <w:p>
      <w:pPr>
        <w:spacing w:after="80" w:before="0"/>
        <w:jc w:val="left"/>
      </w:pPr>
      <w:r>
        <w:rPr>
          <w:rFonts w:ascii="Times New Roman" w:cs="Times New Roman" w:eastAsia="Times New Roman" w:hAnsi="Times New Roman"/>
          <w:b w:val="false"/>
          <w:bCs w:val="false"/>
          <w:i w:val="false"/>
          <w:iCs w:val="false"/>
          <w:sz w:val="20"/>
          <w:szCs w:val="20"/>
        </w:rPr>
        <w:t xml:space="preserve">Three capabilities that define the firm.</w:t>
      </w:r>
    </w:p>
    <w:p>
      <w:pPr>
        <w:spacing w:after="80" w:before="0"/>
        <w:jc w:val="left"/>
      </w:pPr>
      <w:r>
        <w:rPr>
          <w:rFonts w:ascii="Times New Roman" w:cs="Times New Roman" w:eastAsia="Times New Roman" w:hAnsi="Times New Roman"/>
          <w:b w:val="false"/>
          <w:bCs w:val="false"/>
          <w:i w:val="false"/>
          <w:iCs w:val="false"/>
          <w:sz w:val="20"/>
          <w:szCs w:val="20"/>
        </w:rPr>
        <w:t xml:space="preserve">ShoreVest leverages these core competencies to find and create value in the world’s second-largest credit market.</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Track Record
20+ year track record of consistent returns, focused on first-lien downside protection and margin of safety.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Credit Solutions
Credit solution provider helping companies and financial institutions solve problems and unlock value.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Local Execution
Unparalleled local execution capability, integrated with the highest international institutional standards.</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Vision &amp; Principles</w:t>
      </w:r>
    </w:p>
    <w:p>
      <w:pPr>
        <w:spacing w:after="80" w:before="0"/>
        <w:jc w:val="left"/>
      </w:pPr>
      <w:r>
        <w:rPr>
          <w:rFonts w:ascii="Times New Roman" w:cs="Times New Roman" w:eastAsia="Times New Roman" w:hAnsi="Times New Roman"/>
          <w:b w:val="false"/>
          <w:bCs w:val="false"/>
          <w:i w:val="false"/>
          <w:iCs w:val="false"/>
          <w:sz w:val="20"/>
          <w:szCs w:val="20"/>
        </w:rPr>
        <w:t xml:space="preserve">ShoreVest’s vision is to deliver consistent returns throughout cycles in China’s private credit market by maintaining a long-term platform with the unique capability to:</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Proprietary Access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Source proprietary opportunities, information, and exit channels not broadly available to the market.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Disciplined Analysis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Apply disciplined analysis to each opportunity, with a focus on downside protection (usually in the form of first-lien claims on real estate collateral).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Alignment of Interests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Uphold the highest ethical standards and proper alignment of interests with investors during this process.</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Human Business</w:t>
      </w:r>
    </w:p>
    <w:p>
      <w:pPr>
        <w:spacing w:after="80" w:before="0"/>
        <w:jc w:val="left"/>
      </w:pPr>
      <w:r>
        <w:rPr>
          <w:rFonts w:ascii="Times New Roman" w:cs="Times New Roman" w:eastAsia="Times New Roman" w:hAnsi="Times New Roman"/>
          <w:b w:val="false"/>
          <w:bCs w:val="false"/>
          <w:i w:val="false"/>
          <w:iCs w:val="false"/>
          <w:sz w:val="20"/>
          <w:szCs w:val="20"/>
        </w:rPr>
        <w:t xml:space="preserve">At the end of the day, our business is a human business, centered on relationships of trust with both the networks that provide us opportunities, and the investors that entrust us with their capital.</w:t>
      </w:r>
    </w:p>
    <w:p>
      <w:r>
        <w:br/>
      </w:r>
    </w:p>
    <w:p>
      <w:pPr>
        <w:pBdr>
          <w:bottom w:val="single" w:color="000000" w:sz="4" w:space="4"/>
        </w:pBdr>
        <w:spacing w:after="120" w:before="320"/>
      </w:pPr>
      <w:r>
        <w:rPr>
          <w:rFonts w:ascii="Times New Roman" w:cs="Times New Roman" w:eastAsia="Times New Roman" w:hAnsi="Times New Roman"/>
          <w:b/>
          <w:bCs/>
          <w:sz w:val="26"/>
          <w:szCs w:val="26"/>
        </w:rPr>
        <w:t xml:space="preserve">Strategy</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Strategy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Asset-backed private credit in China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Hero copy 1</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evaluates secured opportunities through entry basis, claim priority, enforceability, and exit route.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Hero copy 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Return outcomes are underwritten around documentation, collateral control, and resolution path rather than a directional call on China’s economy.</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Strategy proof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Margin of Safety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Low loan-to-value / cost-to-value entry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Sub-Strategies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Asset-Based Lending · Asset Restructuring · Debt Resolutions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Standard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Claim priority · enforceability · defined recovery</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The Opportunity</w:t>
      </w:r>
    </w:p>
    <w:p>
      <w:pPr>
        <w:spacing w:after="60" w:before="140"/>
      </w:pPr>
      <w:r>
        <w:rPr>
          <w:rFonts w:ascii="Times New Roman" w:cs="Times New Roman" w:eastAsia="Times New Roman" w:hAnsi="Times New Roman"/>
          <w:b/>
          <w:bCs/>
          <w:i/>
          <w:iCs/>
          <w:sz w:val="20"/>
          <w:szCs w:val="20"/>
        </w:rPr>
        <w:t xml:space="preserve">China remains structurally under-allocated</w:t>
      </w:r>
    </w:p>
    <w:p>
      <w:pPr>
        <w:spacing w:after="80" w:before="0"/>
        <w:jc w:val="left"/>
      </w:pPr>
      <w:r>
        <w:rPr>
          <w:rFonts w:ascii="Times New Roman" w:cs="Times New Roman" w:eastAsia="Times New Roman" w:hAnsi="Times New Roman"/>
          <w:b w:val="false"/>
          <w:bCs w:val="false"/>
          <w:i w:val="false"/>
          <w:iCs w:val="false"/>
          <w:sz w:val="20"/>
          <w:szCs w:val="20"/>
        </w:rPr>
        <w:t xml:space="preserve">China is the world’s second-largest credit market and one of the most systematically under-allocated in global portfolios.</w:t>
      </w:r>
    </w:p>
    <w:p>
      <w:pPr>
        <w:spacing w:after="80" w:before="0"/>
        <w:jc w:val="left"/>
      </w:pPr>
      <w:r>
        <w:rPr>
          <w:rFonts w:ascii="Times New Roman" w:cs="Times New Roman" w:eastAsia="Times New Roman" w:hAnsi="Times New Roman"/>
          <w:b w:val="false"/>
          <w:bCs w:val="false"/>
          <w:i w:val="false"/>
          <w:iCs w:val="false"/>
          <w:sz w:val="20"/>
          <w:szCs w:val="20"/>
        </w:rPr>
        <w:t xml:space="preserve">That gap reflects the difficulty of operating here: regulatory complexity, enforcement uncertainty, and a creditor landscape that rewards local presence over capital alone.</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1200"/>
        <w:gridCol w:w="3480"/>
      </w:tblGrid>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2nd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Largest credit market globally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US$5T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Shadow-banking contraction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US$2T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Recognized non-performing loans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&lt;3%</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Foreign GP penetration</w:t>
            </w:r>
          </w:p>
        </w:tc>
      </w:tr>
    </w:tbl>
    <w:p>
      <w:pPr>
        <w:spacing w:after="0" w:before="60"/>
      </w:pPr>
      <w:r>
        <w:rPr>
          <w:sz w:val="20"/>
          <w:szCs w:val="20"/>
        </w:rPr>
        <w:t xml:space="preserve"/>
      </w:r>
    </w:p>
    <w:p>
      <w:pPr>
        <w:spacing w:after="80" w:before="100"/>
      </w:pPr>
      <w:r>
        <w:rPr>
          <w:rFonts w:ascii="Times New Roman" w:cs="Times New Roman" w:eastAsia="Times New Roman" w:hAnsi="Times New Roman"/>
          <w:i/>
          <w:iCs/>
          <w:sz w:val="18"/>
          <w:szCs w:val="18"/>
        </w:rPr>
        <w:t xml:space="preserve">Market figures are illustrative, drawn from third-party estimates, and subject to change.</w:t>
      </w:r>
    </w:p>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Why this persists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Demand — Credit vacuum
The contraction of shadow banking and a large stock of recognized NPLs have pulled credit out of the market, widening spreads for disciplined secured lenders.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Barriers — High barriers to entry
Relationships, licensing, and local credibility take years to build. Competition in the situations ShoreVest targets remains structurally thin.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Execution — Execution complexity
Outcomes turn on control, documentation, and local process. That capability cannot be acquired quickly.</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Three sub-strategies</w:t>
      </w:r>
    </w:p>
    <w:p>
      <w:pPr>
        <w:spacing w:after="60" w:before="140"/>
      </w:pPr>
      <w:r>
        <w:rPr>
          <w:rFonts w:ascii="Times New Roman" w:cs="Times New Roman" w:eastAsia="Times New Roman" w:hAnsi="Times New Roman"/>
          <w:b/>
          <w:bCs/>
          <w:i/>
          <w:iCs/>
          <w:sz w:val="20"/>
          <w:szCs w:val="20"/>
        </w:rPr>
        <w:t xml:space="preserve">One underwriting standard</w:t>
      </w:r>
    </w:p>
    <w:p>
      <w:pPr>
        <w:spacing w:after="80" w:before="0"/>
        <w:jc w:val="left"/>
      </w:pPr>
      <w:r>
        <w:rPr>
          <w:rFonts w:ascii="Times New Roman" w:cs="Times New Roman" w:eastAsia="Times New Roman" w:hAnsi="Times New Roman"/>
          <w:b w:val="false"/>
          <w:bCs w:val="false"/>
          <w:i w:val="false"/>
          <w:iCs w:val="false"/>
          <w:sz w:val="20"/>
          <w:szCs w:val="20"/>
        </w:rPr>
        <w:t xml:space="preserve">Deployment weights shift with the opportunity set. Underwriting does not.</w:t>
      </w:r>
    </w:p>
    <w:p>
      <w:pPr>
        <w:spacing w:after="80" w:before="0"/>
        <w:jc w:val="left"/>
      </w:pPr>
      <w:r>
        <w:rPr>
          <w:rFonts w:ascii="Times New Roman" w:cs="Times New Roman" w:eastAsia="Times New Roman" w:hAnsi="Times New Roman"/>
          <w:b w:val="false"/>
          <w:bCs w:val="false"/>
          <w:i w:val="false"/>
          <w:iCs w:val="false"/>
          <w:sz w:val="20"/>
          <w:szCs w:val="20"/>
        </w:rPr>
        <w:t xml:space="preserve">Across asset-based lending, asset restructuring, and debt resolutions, each position must clear the same threshold before capital is committed.</w:t>
      </w:r>
    </w:p>
    <w:p>
      <w:pPr>
        <w:spacing w:after="0" w:before="80"/>
      </w:pPr>
      <w:r>
        <w:rPr>
          <w:sz w:val="20"/>
          <w:szCs w:val="20"/>
        </w:rPr>
        <w:t xml:space="preserve"/>
      </w:r>
    </w:p>
    <w:p>
      <w:pPr>
        <w:spacing w:after="60" w:before="140"/>
      </w:pPr>
      <w:r>
        <w:rPr>
          <w:rFonts w:ascii="Times New Roman" w:cs="Times New Roman" w:eastAsia="Times New Roman" w:hAnsi="Times New Roman"/>
          <w:b/>
          <w:bCs/>
          <w:i/>
          <w:iCs/>
          <w:sz w:val="20"/>
          <w:szCs w:val="20"/>
        </w:rPr>
        <w:t xml:space="preserve">Common principles applied to every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Conservative basis
Entry priced below assessed collateral value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Defined horizon
Shorter-dated positions with clear exit paths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Cash yielding
Emphasis on near-term recovery</w:t>
            </w:r>
          </w:p>
        </w:tc>
      </w:tr>
    </w:tbl>
    <w:p>
      <w:pPr>
        <w:spacing w:after="0" w:before="60"/>
      </w:pPr>
      <w:r>
        <w:rPr>
          <w:sz w:val="20"/>
          <w:szCs w:val="20"/>
        </w:rPr>
        <w:t xml:space="preserve"/>
      </w:r>
    </w:p>
    <w:p>
      <w:pPr>
        <w:spacing w:after="80" w:before="100"/>
      </w:pPr>
      <w:r>
        <w:rPr>
          <w:rFonts w:ascii="Times New Roman" w:cs="Times New Roman" w:eastAsia="Times New Roman" w:hAnsi="Times New Roman"/>
          <w:i/>
          <w:iCs/>
          <w:sz w:val="18"/>
          <w:szCs w:val="18"/>
        </w:rPr>
        <w:t xml:space="preserve">Principles are general and illustrative, apply differently by situation, and are not a representation of any specific or expected outcome.</w:t>
      </w:r>
    </w:p>
    <w:p>
      <w:pPr>
        <w:spacing w:after="0" w:before="80"/>
      </w:pPr>
      <w:r>
        <w:rPr>
          <w:sz w:val="20"/>
          <w:szCs w:val="20"/>
        </w:rPr>
        <w:t xml:space="preserve"/>
      </w:r>
    </w:p>
    <w:p>
      <w:pPr>
        <w:spacing w:after="60" w:before="140"/>
      </w:pPr>
      <w:r>
        <w:rPr>
          <w:rFonts w:ascii="Times New Roman" w:cs="Times New Roman" w:eastAsia="Times New Roman" w:hAnsi="Times New Roman"/>
          <w:b/>
          <w:bCs/>
          <w:i/>
          <w:iCs/>
          <w:sz w:val="20"/>
          <w:szCs w:val="20"/>
        </w:rPr>
        <w:t xml:space="preserve">Sub-strategy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Asset-Based Lending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First-lien asset-backed financing to well-performing companies within China’s private credit market. Conservative basis · shorter-dated — Bridge · refinance · acquisition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Asset Restructuring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Credit clean-up opportunities involving good assets and challenged balance sheets, including select China distressed debt situations. Conservative basis · shorter-dated — Loan-to-own · bankruptcy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Debt Resolutions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Assisting financial institutions seeking to divest distressed debt, such as non-performing loans, as part of broader China distressed debt solutions. Conservative basis · shorter-dated — Negotiation · auction · sale</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Sourcing &amp; Diligence</w:t>
      </w:r>
    </w:p>
    <w:p>
      <w:pPr>
        <w:spacing w:after="60" w:before="140"/>
      </w:pPr>
      <w:r>
        <w:rPr>
          <w:rFonts w:ascii="Times New Roman" w:cs="Times New Roman" w:eastAsia="Times New Roman" w:hAnsi="Times New Roman"/>
          <w:b/>
          <w:bCs/>
          <w:i/>
          <w:iCs/>
          <w:sz w:val="20"/>
          <w:szCs w:val="20"/>
        </w:rPr>
        <w:t xml:space="preserve">Origination discipline</w:t>
      </w:r>
    </w:p>
    <w:p>
      <w:pPr>
        <w:spacing w:after="80" w:before="0"/>
        <w:jc w:val="left"/>
      </w:pPr>
      <w:r>
        <w:rPr>
          <w:rFonts w:ascii="Times New Roman" w:cs="Times New Roman" w:eastAsia="Times New Roman" w:hAnsi="Times New Roman"/>
          <w:b w:val="false"/>
          <w:bCs w:val="false"/>
          <w:i w:val="false"/>
          <w:iCs w:val="false"/>
          <w:sz w:val="20"/>
          <w:szCs w:val="20"/>
        </w:rPr>
        <w:t xml:space="preserve">Sourcing is relationship-led and not intermediated. Opportunities are advanced only where legal control and recoverability can be evidenced through diligence.</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Sourcing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Bank, AMC, legal, and servicing channels across the firm’s onshore networks.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Screening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Collateral quality, claim priority, and enforcement path reviewed before committee.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Diligence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Full legal and asset-level underwriting with stressed downside testing.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Committee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Only structures with defined recovery routes are approved for deployment.</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Recovery</w:t>
      </w:r>
    </w:p>
    <w:p>
      <w:pPr>
        <w:spacing w:after="60" w:before="140"/>
      </w:pPr>
      <w:r>
        <w:rPr>
          <w:rFonts w:ascii="Times New Roman" w:cs="Times New Roman" w:eastAsia="Times New Roman" w:hAnsi="Times New Roman"/>
          <w:b/>
          <w:bCs/>
          <w:i/>
          <w:iCs/>
          <w:sz w:val="20"/>
          <w:szCs w:val="20"/>
        </w:rPr>
        <w:t xml:space="preserve">Multiple paths to monetisation</w:t>
      </w:r>
    </w:p>
    <w:p>
      <w:pPr>
        <w:spacing w:after="80" w:before="0"/>
        <w:jc w:val="left"/>
      </w:pPr>
      <w:r>
        <w:rPr>
          <w:rFonts w:ascii="Times New Roman" w:cs="Times New Roman" w:eastAsia="Times New Roman" w:hAnsi="Times New Roman"/>
          <w:b w:val="false"/>
          <w:bCs w:val="false"/>
          <w:i w:val="false"/>
          <w:iCs w:val="false"/>
          <w:sz w:val="20"/>
          <w:szCs w:val="20"/>
        </w:rPr>
        <w:t xml:space="preserve">Enforcement is a capability, not the strategy. Most positions resolve through negotiated settlement or secondary sale.</w:t>
      </w:r>
    </w:p>
    <w:p>
      <w:pPr>
        <w:spacing w:after="80" w:before="0"/>
        <w:jc w:val="left"/>
      </w:pPr>
      <w:r>
        <w:rPr>
          <w:rFonts w:ascii="Times New Roman" w:cs="Times New Roman" w:eastAsia="Times New Roman" w:hAnsi="Times New Roman"/>
          <w:b w:val="false"/>
          <w:bCs w:val="false"/>
          <w:i w:val="false"/>
          <w:iCs w:val="false"/>
          <w:sz w:val="20"/>
          <w:szCs w:val="20"/>
        </w:rPr>
        <w:t xml:space="preserve">When court processes are involved, secured-creditor outcomes depend on perfected collateral, a clean documentation chain, and the right venue.</w:t>
      </w:r>
    </w:p>
    <w:p>
      <w:pPr>
        <w:spacing w:after="80" w:before="0"/>
        <w:jc w:val="left"/>
      </w:pPr>
      <w:r>
        <w:rPr>
          <w:rFonts w:ascii="Times New Roman" w:cs="Times New Roman" w:eastAsia="Times New Roman" w:hAnsi="Times New Roman"/>
          <w:b w:val="false"/>
          <w:bCs w:val="false"/>
          <w:i w:val="false"/>
          <w:iCs w:val="false"/>
          <w:sz w:val="20"/>
          <w:szCs w:val="20"/>
        </w:rPr>
        <w:t xml:space="preserve">The availability of multiple resolution paths means recovery rarely depends on any single route.</w:t>
      </w:r>
    </w:p>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Downside Protection</w:t>
      </w:r>
    </w:p>
    <w:p>
      <w:pPr>
        <w:spacing w:after="60" w:before="140"/>
      </w:pPr>
      <w:r>
        <w:rPr>
          <w:rFonts w:ascii="Times New Roman" w:cs="Times New Roman" w:eastAsia="Times New Roman" w:hAnsi="Times New Roman"/>
          <w:b/>
          <w:bCs/>
          <w:i/>
          <w:iCs/>
          <w:sz w:val="20"/>
          <w:szCs w:val="20"/>
        </w:rPr>
        <w:t xml:space="preserve">Risk controls</w:t>
      </w:r>
    </w:p>
    <w:p>
      <w:pPr>
        <w:spacing w:after="80" w:before="0"/>
        <w:jc w:val="left"/>
      </w:pPr>
      <w:r>
        <w:rPr>
          <w:rFonts w:ascii="Times New Roman" w:cs="Times New Roman" w:eastAsia="Times New Roman" w:hAnsi="Times New Roman"/>
          <w:b w:val="false"/>
          <w:bCs w:val="false"/>
          <w:i w:val="false"/>
          <w:iCs w:val="false"/>
          <w:sz w:val="20"/>
          <w:szCs w:val="20"/>
        </w:rPr>
        <w:t xml:space="preserve">Downside controls are embedded in both deal-level underwriting and portfolio construction.</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Underwriting controls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Conservative entry basis with stressed recovery assumptions. First-lien claims and enforceability reviewed under PRC-law documentation. Limited reliance on refinancing to realise value.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Portfolio controls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Diversification by borrower, collateral, province, and vintage. Continuous surveillance from origination through disposition. Predefined exit pathways to reduce duration and execution risk.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Collateral first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Every position is underwritten around legal control and recoverability, so value does not depend on spread, refinancing, or market direction.</w:t>
            </w:r>
          </w:p>
        </w:tc>
      </w:tr>
    </w:tbl>
    <w:p>
      <w:pPr>
        <w:spacing w:after="0" w:before="100"/>
      </w:pPr>
      <w:r>
        <w:rPr>
          <w:sz w:val="20"/>
          <w:szCs w:val="20"/>
        </w:rPr>
        <w:t xml:space="preserve"/>
      </w:r>
    </w:p>
    <w:p>
      <w:pPr>
        <w:spacing w:after="80" w:before="100"/>
      </w:pPr>
      <w:r>
        <w:rPr>
          <w:rFonts w:ascii="Times New Roman" w:cs="Times New Roman" w:eastAsia="Times New Roman" w:hAnsi="Times New Roman"/>
          <w:i/>
          <w:iCs/>
          <w:sz w:val="18"/>
          <w:szCs w:val="18"/>
        </w:rPr>
        <w:t xml:space="preserve">Past performance is not indicative of future results. All investments involve risk, including possible loss of principal. Information on this page reflects ShoreVest’s current investment approach and is subject to change without notice. Nothing on this page constitutes an offer to sell or a solicitation to buy any security or investment product.</w:t>
      </w:r>
    </w:p>
    <w:p>
      <w:r>
        <w:br/>
      </w:r>
    </w:p>
    <w:p>
      <w:pPr>
        <w:pBdr>
          <w:bottom w:val="single" w:color="000000" w:sz="4" w:space="4"/>
        </w:pBdr>
        <w:spacing w:after="120" w:before="320"/>
      </w:pPr>
      <w:r>
        <w:rPr>
          <w:rFonts w:ascii="Times New Roman" w:cs="Times New Roman" w:eastAsia="Times New Roman" w:hAnsi="Times New Roman"/>
          <w:b/>
          <w:bCs/>
          <w:sz w:val="26"/>
          <w:szCs w:val="26"/>
        </w:rPr>
        <w:t xml:space="preserve">Insights / China Debt Dynamics</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Research series · Established 2018</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China Debt Dynamics / 新岸资本 · 中国债务动态</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Page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Research on China’s private credit markets, policy trajectory, legal frameworks, and creditor recoveries.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Featured report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Issue 46 · 25 January 2026 — The End of the “China Is Uninvestable” Myth — Read issue →</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Recent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25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Issue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Title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Category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CTA</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Vol. 10 · No. 1 / January 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The End of the “China Is Uninvestable” Myth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Markets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Read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Vol. 9 · No. 5 / 2025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Beijing’s Campaign Against Overcapacity Creates Private Credit Opportunities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Policy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Read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Vol. 9 · No. 4 / 2025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China’s Property Sector and the Path Through Restructuring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Markets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Read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
            </w:r>
          </w:p>
        </w:tc>
      </w:tr>
    </w:tbl>
    <w:p>
      <w:pPr>
        <w:spacing w:after="0" w:before="60"/>
      </w:pPr>
      <w:r>
        <w:rPr>
          <w:sz w:val="20"/>
          <w:szCs w:val="20"/>
        </w:rPr>
        <w:t xml:space="preserve"/>
      </w:r>
    </w:p>
    <w:p>
      <w:pPr>
        <w:spacing w:after="80" w:before="0"/>
        <w:jc w:val="left"/>
      </w:pPr>
      <w:r>
        <w:rPr>
          <w:rFonts w:ascii="Times New Roman" w:cs="Times New Roman" w:eastAsia="Times New Roman" w:hAnsi="Times New Roman"/>
          <w:b w:val="false"/>
          <w:bCs w:val="false"/>
          <w:i w:val="false"/>
          <w:iCs w:val="false"/>
          <w:sz w:val="20"/>
          <w:szCs w:val="20"/>
        </w:rPr>
        <w:t xml:space="preserve">View full archive →</w:t>
      </w:r>
    </w:p>
    <w:p>
      <w:pPr>
        <w:spacing w:after="0" w:before="100"/>
      </w:pPr>
      <w:r>
        <w:rPr>
          <w:sz w:val="20"/>
          <w:szCs w:val="20"/>
        </w:rPr>
        <w:t xml:space="preserve"/>
      </w:r>
    </w:p>
    <w:p>
      <w:pPr>
        <w:spacing w:after="80" w:before="100"/>
      </w:pPr>
      <w:r>
        <w:rPr>
          <w:rFonts w:ascii="Times New Roman" w:cs="Times New Roman" w:eastAsia="Times New Roman" w:hAnsi="Times New Roman"/>
          <w:i/>
          <w:iCs/>
          <w:sz w:val="18"/>
          <w:szCs w:val="18"/>
        </w:rPr>
        <w:t xml:space="preserve">China Debt Dynamics is provided for informational purposes only. It reflects market commentary and research views as of the relevant publication date and should not be relied upon as investment, legal, tax, accounting, or other professional advice. Nothing on this page constitutes an offer to sell or a solicitation to buy any security or investment product.</w:t>
      </w:r>
    </w:p>
    <w:p>
      <w:r>
        <w:br/>
      </w:r>
    </w:p>
    <w:p>
      <w:pPr>
        <w:pBdr>
          <w:bottom w:val="single" w:color="000000" w:sz="4" w:space="4"/>
        </w:pBdr>
        <w:spacing w:after="120" w:before="320"/>
      </w:pPr>
      <w:r>
        <w:rPr>
          <w:rFonts w:ascii="Times New Roman" w:cs="Times New Roman" w:eastAsia="Times New Roman" w:hAnsi="Times New Roman"/>
          <w:b/>
          <w:bCs/>
          <w:sz w:val="26"/>
          <w:szCs w:val="26"/>
        </w:rPr>
        <w:t xml:space="preserve">Media</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Page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Third-party coverage, interviews, and public appearances involving ShoreVest and China private credit.</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In the field</w:t>
      </w:r>
    </w:p>
    <w:p>
      <w:pPr>
        <w:pStyle w:val="ListParagraph"/>
        <w:numPr>
          <w:ilvl w:val="0"/>
          <w:numId w:val="2"/>
        </w:numPr>
        <w:spacing w:after="40" w:before="40"/>
      </w:pPr>
      <w:r>
        <w:rPr>
          <w:rFonts w:ascii="Times New Roman" w:cs="Times New Roman" w:eastAsia="Times New Roman" w:hAnsi="Times New Roman"/>
          <w:sz w:val="20"/>
          <w:szCs w:val="20"/>
        </w:rPr>
        <w:t xml:space="preserve">Conference and panel appearances</w:t>
      </w:r>
    </w:p>
    <w:p>
      <w:pPr>
        <w:pStyle w:val="ListParagraph"/>
        <w:numPr>
          <w:ilvl w:val="0"/>
          <w:numId w:val="2"/>
        </w:numPr>
        <w:spacing w:after="40" w:before="40"/>
      </w:pPr>
      <w:r>
        <w:rPr>
          <w:rFonts w:ascii="Times New Roman" w:cs="Times New Roman" w:eastAsia="Times New Roman" w:hAnsi="Times New Roman"/>
          <w:sz w:val="20"/>
          <w:szCs w:val="20"/>
        </w:rPr>
        <w:t xml:space="preserve">Interviews and broadcast commentary</w:t>
      </w:r>
    </w:p>
    <w:p>
      <w:pPr>
        <w:pStyle w:val="ListParagraph"/>
        <w:numPr>
          <w:ilvl w:val="0"/>
          <w:numId w:val="2"/>
        </w:numPr>
        <w:spacing w:after="40" w:before="40"/>
      </w:pPr>
      <w:r>
        <w:rPr>
          <w:rFonts w:ascii="Times New Roman" w:cs="Times New Roman" w:eastAsia="Times New Roman" w:hAnsi="Times New Roman"/>
          <w:sz w:val="20"/>
          <w:szCs w:val="20"/>
        </w:rPr>
        <w:t xml:space="preserve">The team in market</w:t>
      </w:r>
    </w:p>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Upcoming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25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Event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Date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Location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SuperReturn Emerging Markets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15 to 17 June 2026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Conference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Amsterdam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View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PDI APAC Forum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24 to 25 June 2026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Panel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Singapore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View →</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Selected speaking appearances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Private credit market discussion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FII Institute · 6 November 2025
ShoreVest joins the FII Institute Priority panel to discuss conditions in China private credit and how investors are assessing credit-cycle risk and market structure. Watch the panel →</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China private credit and special situations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C*Funds · 14 December 2021
ShoreVest commentary. Listen →</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China credit markets discussion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Reuters · 15 September 2020
ShoreVest commentary. Listen →</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Private credit dynamics in Europe and Asia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AIM Summit · 8 July 2020
ShoreVest panel representation. Watch →</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Media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25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Title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Publication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Date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Context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Private credit market discussion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FII Institute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Panel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6 November 2025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commentary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on the case for China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Private Debt Investor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Interview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8 June 2025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commentary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The Economist speaks with ShoreVest on China’s financial system and distressed debt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The Economist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Podcast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14 February 2024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commentary</w:t>
            </w:r>
          </w:p>
        </w:tc>
      </w:tr>
    </w:tbl>
    <w:p>
      <w:pPr>
        <w:spacing w:after="0" w:before="100"/>
      </w:pPr>
      <w:r>
        <w:rPr>
          <w:sz w:val="20"/>
          <w:szCs w:val="20"/>
        </w:rPr>
        <w:t xml:space="preserve"/>
      </w:r>
    </w:p>
    <w:p>
      <w:pPr>
        <w:spacing w:after="80" w:before="100"/>
      </w:pPr>
      <w:r>
        <w:rPr>
          <w:rFonts w:ascii="Times New Roman" w:cs="Times New Roman" w:eastAsia="Times New Roman" w:hAnsi="Times New Roman"/>
          <w:i/>
          <w:iCs/>
          <w:sz w:val="18"/>
          <w:szCs w:val="18"/>
        </w:rPr>
        <w:t xml:space="preserve">Third-party media coverage and external commentary referenced on this page is provided for informational purposes only. ShoreVest Partners does not endorse, and is not responsible for, the content of external publications. Coverage does not constitute investment advice or a solicitation to invest. Links to external sources may require subscription or registration to access. Views expressed by third parties do not necessarily reflect the views of ShoreVest Partners.</w:t>
      </w:r>
    </w:p>
    <w:p>
      <w:r>
        <w:br/>
      </w:r>
    </w:p>
    <w:p>
      <w:pPr>
        <w:pBdr>
          <w:bottom w:val="single" w:color="000000" w:sz="4" w:space="4"/>
        </w:pBdr>
        <w:spacing w:after="120" w:before="320"/>
      </w:pPr>
      <w:r>
        <w:rPr>
          <w:rFonts w:ascii="Times New Roman" w:cs="Times New Roman" w:eastAsia="Times New Roman" w:hAnsi="Times New Roman"/>
          <w:b/>
          <w:bCs/>
          <w:sz w:val="26"/>
          <w:szCs w:val="26"/>
        </w:rPr>
        <w:t xml:space="preserve">Team</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Team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The people behind the platform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Page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is led by senior professionals across investment, legal, servicing, advisory, and client solutions functions.</w:t>
            </w:r>
          </w:p>
        </w:tc>
      </w:tr>
    </w:tbl>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Platform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~20 years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14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Senior partners working together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Senior professionals across the platform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Investment Committee members</w:t>
            </w:r>
          </w:p>
        </w:tc>
      </w:tr>
    </w:tbl>
    <w:p>
      <w:pPr>
        <w:spacing w:after="0" w:before="60"/>
      </w:pPr>
      <w:r>
        <w:rPr>
          <w:sz w:val="20"/>
          <w:szCs w:val="20"/>
        </w:rPr>
        <w:t xml:space="preserve"/>
      </w:r>
    </w:p>
    <w:p>
      <w:pPr>
        <w:spacing w:after="80" w:before="0"/>
        <w:jc w:val="left"/>
      </w:pPr>
      <w:r>
        <w:rPr>
          <w:rFonts w:ascii="Times New Roman" w:cs="Times New Roman" w:eastAsia="Times New Roman" w:hAnsi="Times New Roman"/>
          <w:b w:val="false"/>
          <w:bCs w:val="false"/>
          <w:i/>
          <w:iCs/>
          <w:sz w:val="20"/>
          <w:szCs w:val="20"/>
        </w:rPr>
        <w:t xml:space="preserve">Team names, titles, and groupings to be confirmed separately before publication.</w:t>
      </w:r>
    </w:p>
    <w:p>
      <w:r>
        <w:br/>
      </w:r>
    </w:p>
    <w:p>
      <w:pPr>
        <w:pBdr>
          <w:bottom w:val="single" w:color="000000" w:sz="4" w:space="4"/>
        </w:pBdr>
        <w:spacing w:after="120" w:before="320"/>
      </w:pPr>
      <w:r>
        <w:rPr>
          <w:rFonts w:ascii="Times New Roman" w:cs="Times New Roman" w:eastAsia="Times New Roman" w:hAnsi="Times New Roman"/>
          <w:b/>
          <w:bCs/>
          <w:sz w:val="26"/>
          <w:szCs w:val="26"/>
        </w:rPr>
        <w:t xml:space="preserve">Investor Portal</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Investor Portal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Secure data room access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Page copy 1</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Authorised investors may access ShoreVest materials through the iDeals virtual data room.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Page copy 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Access is restricted to eligible persons and may be subject to verification, confidentiality obligations, and applicable portal terms.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Authorised users only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If you have not been granted access, please contact your ShoreVest representative.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Portal sign-in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Secure sign in — Enter your email to continue. The portal will redirect to iDeals after validating your email format.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Form field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Email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Button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Sign in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Portal acknowledgement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By continuing, you acknowledge that access is restricted to authorised users only and is subject to the Investor Portal Terms, Terms of Use, Legal Notices and Disclaimers, Privacy Policy, and Cookie Notice.</w:t>
            </w:r>
          </w:p>
        </w:tc>
      </w:tr>
    </w:tbl>
    <w:p>
      <w:r>
        <w:br/>
      </w:r>
    </w:p>
    <w:p>
      <w:pPr>
        <w:pBdr>
          <w:bottom w:val="single" w:color="000000" w:sz="4" w:space="4"/>
        </w:pBdr>
        <w:spacing w:after="120" w:before="320"/>
      </w:pPr>
      <w:r>
        <w:rPr>
          <w:rFonts w:ascii="Times New Roman" w:cs="Times New Roman" w:eastAsia="Times New Roman" w:hAnsi="Times New Roman"/>
          <w:b/>
          <w:bCs/>
          <w:sz w:val="26"/>
          <w:szCs w:val="26"/>
        </w:rPr>
        <w:t xml:space="preserve">Contact</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Inquiries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Contact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Page copy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Please use this page to direct institutional inquiries and media requests.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General inquiries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For questions, partnership discussions, mandates, or other inquiries, please use the form below.</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Media inquiries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For media, interviews, events, or editorial inquiries, please contact media@shorevest.com.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Submit inquiry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Inquiry type — Select inquiry type — Full name — Business email — Firm / institution — Phone (optional) — Inquiry summary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Form note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Brief description only. No confidential deal materials.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Button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Send inquiry</w:t>
            </w:r>
          </w:p>
        </w:tc>
      </w:tr>
    </w:tbl>
    <w:p>
      <w:r>
        <w:br/>
      </w:r>
    </w:p>
    <w:p>
      <w:pPr>
        <w:pBdr>
          <w:bottom w:val="single" w:color="000000" w:sz="4" w:space="4"/>
        </w:pBdr>
        <w:spacing w:after="120" w:before="320"/>
      </w:pPr>
      <w:r>
        <w:rPr>
          <w:rFonts w:ascii="Times New Roman" w:cs="Times New Roman" w:eastAsia="Times New Roman" w:hAnsi="Times New Roman"/>
          <w:b/>
          <w:bCs/>
          <w:sz w:val="26"/>
          <w:szCs w:val="26"/>
        </w:rPr>
        <w:t xml:space="preserve">Footer</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Office list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Guangzhou · Shanghai · Beijing · Hong Kong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Contact link</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General enquiries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Footer navigation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Firm — Strategy — Team — Investor Portal — Insights — Media — Contact — China Debt Dynamics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Footer disclaimer 1</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ShoreVest Partners and its affiliates provide investment management services to institutional investors. This website is for informational purposes only and does not constitute an offer to sell or a solicitation of an offer to buy any security or investment product, nor investment, legal, or tax advice.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Footer disclaimer 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Past performance is not indicative of future results. Investments in private credit and private debt involve risk, including the possible loss of principal. Figures shown are approximate and subject to confirmation before publication.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Footer legal links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Privacy Policy — Cookie Notice — Terms of Use — Legal Notices &amp; Disclaimers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Times New Roman" w:cs="Times New Roman" w:eastAsia="Times New Roman" w:hAnsi="Times New Roman"/>
                <w:b/>
                <w:bCs/>
                <w:sz w:val="20"/>
                <w:szCs w:val="20"/>
              </w:rPr>
              <w:t xml:space="preserve">Copyright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Times New Roman" w:cs="Times New Roman" w:eastAsia="Times New Roman" w:hAnsi="Times New Roman"/>
                <w:sz w:val="20"/>
                <w:szCs w:val="20"/>
              </w:rPr>
              <w:t xml:space="preserve">© 2026 ShoreVest Partners. All rights reserved.</w:t>
            </w:r>
          </w:p>
        </w:tc>
      </w:tr>
    </w:tbl>
    <w:p>
      <w:r>
        <w:br/>
      </w:r>
    </w:p>
    <w:p>
      <w:pPr>
        <w:pBdr>
          <w:bottom w:val="single" w:color="000000" w:sz="4" w:space="4"/>
        </w:pBdr>
        <w:spacing w:after="120" w:before="320"/>
      </w:pPr>
      <w:r>
        <w:rPr>
          <w:rFonts w:ascii="Times New Roman" w:cs="Times New Roman" w:eastAsia="Times New Roman" w:hAnsi="Times New Roman"/>
          <w:b/>
          <w:bCs/>
          <w:sz w:val="26"/>
          <w:szCs w:val="26"/>
        </w:rPr>
        <w:t xml:space="preserve">Legal Review Notes</w:t>
      </w:r>
    </w:p>
    <w:p>
      <w:pPr>
        <w:spacing w:after="0" w:before="60"/>
      </w:pPr>
      <w:r>
        <w:rPr>
          <w:sz w:val="20"/>
          <w:szCs w:val="20"/>
        </w:rPr>
        <w:t xml:space="preserve"/>
      </w:r>
    </w:p>
    <w:p>
      <w:pPr>
        <w:spacing w:after="80" w:before="200"/>
      </w:pPr>
      <w:r>
        <w:rPr>
          <w:rFonts w:ascii="Times New Roman" w:cs="Times New Roman" w:eastAsia="Times New Roman" w:hAnsi="Times New Roman"/>
          <w:b/>
          <w:bCs/>
          <w:sz w:val="22"/>
          <w:szCs w:val="22"/>
        </w:rPr>
        <w:t xml:space="preserve">Figures and claims for confirmation</w:t>
      </w:r>
    </w:p>
    <w:p>
      <w:pPr>
        <w:pStyle w:val="ListParagraph"/>
        <w:numPr>
          <w:ilvl w:val="0"/>
          <w:numId w:val="2"/>
        </w:numPr>
        <w:spacing w:after="40" w:before="40"/>
      </w:pPr>
      <w:r>
        <w:rPr>
          <w:rFonts w:ascii="Times New Roman" w:cs="Times New Roman" w:eastAsia="Times New Roman" w:hAnsi="Times New Roman"/>
          <w:sz w:val="20"/>
          <w:szCs w:val="20"/>
        </w:rPr>
        <w:t xml:space="preserve">2004 / since 2004</w:t>
      </w:r>
    </w:p>
    <w:p>
      <w:pPr>
        <w:pStyle w:val="ListParagraph"/>
        <w:numPr>
          <w:ilvl w:val="0"/>
          <w:numId w:val="2"/>
        </w:numPr>
        <w:spacing w:after="40" w:before="40"/>
      </w:pPr>
      <w:r>
        <w:rPr>
          <w:rFonts w:ascii="Times New Roman" w:cs="Times New Roman" w:eastAsia="Times New Roman" w:hAnsi="Times New Roman"/>
          <w:sz w:val="20"/>
          <w:szCs w:val="20"/>
        </w:rPr>
        <w:t xml:space="preserve">20+ years / over 20 years</w:t>
      </w:r>
    </w:p>
    <w:p>
      <w:pPr>
        <w:pStyle w:val="ListParagraph"/>
        <w:numPr>
          <w:ilvl w:val="0"/>
          <w:numId w:val="2"/>
        </w:numPr>
        <w:spacing w:after="40" w:before="40"/>
      </w:pPr>
      <w:r>
        <w:rPr>
          <w:rFonts w:ascii="Times New Roman" w:cs="Times New Roman" w:eastAsia="Times New Roman" w:hAnsi="Times New Roman"/>
          <w:sz w:val="20"/>
          <w:szCs w:val="20"/>
        </w:rPr>
        <w:t xml:space="preserve">US$2B+ / over US$2 billion</w:t>
      </w:r>
    </w:p>
    <w:p>
      <w:pPr>
        <w:pStyle w:val="ListParagraph"/>
        <w:numPr>
          <w:ilvl w:val="0"/>
          <w:numId w:val="2"/>
        </w:numPr>
        <w:spacing w:after="40" w:before="40"/>
      </w:pPr>
      <w:r>
        <w:rPr>
          <w:rFonts w:ascii="Times New Roman" w:cs="Times New Roman" w:eastAsia="Times New Roman" w:hAnsi="Times New Roman"/>
          <w:sz w:val="20"/>
          <w:szCs w:val="20"/>
        </w:rPr>
        <w:t xml:space="preserve">60+ transactions executed</w:t>
      </w:r>
    </w:p>
    <w:p>
      <w:pPr>
        <w:pStyle w:val="ListParagraph"/>
        <w:numPr>
          <w:ilvl w:val="0"/>
          <w:numId w:val="2"/>
        </w:numPr>
        <w:spacing w:after="40" w:before="40"/>
      </w:pPr>
      <w:r>
        <w:rPr>
          <w:rFonts w:ascii="Times New Roman" w:cs="Times New Roman" w:eastAsia="Times New Roman" w:hAnsi="Times New Roman"/>
          <w:sz w:val="20"/>
          <w:szCs w:val="20"/>
        </w:rPr>
        <w:t xml:space="preserve">20,000+ loan positions underwritten, managed, and resolved</w:t>
      </w:r>
    </w:p>
    <w:p>
      <w:pPr>
        <w:pStyle w:val="ListParagraph"/>
        <w:numPr>
          <w:ilvl w:val="0"/>
          <w:numId w:val="2"/>
        </w:numPr>
        <w:spacing w:after="40" w:before="40"/>
      </w:pPr>
      <w:r>
        <w:rPr>
          <w:rFonts w:ascii="Times New Roman" w:cs="Times New Roman" w:eastAsia="Times New Roman" w:hAnsi="Times New Roman"/>
          <w:sz w:val="20"/>
          <w:szCs w:val="20"/>
        </w:rPr>
        <w:t xml:space="preserve">4 offices</w:t>
      </w:r>
    </w:p>
    <w:p>
      <w:pPr>
        <w:pStyle w:val="ListParagraph"/>
        <w:numPr>
          <w:ilvl w:val="0"/>
          <w:numId w:val="2"/>
        </w:numPr>
        <w:spacing w:after="40" w:before="40"/>
      </w:pPr>
      <w:r>
        <w:rPr>
          <w:rFonts w:ascii="Times New Roman" w:cs="Times New Roman" w:eastAsia="Times New Roman" w:hAnsi="Times New Roman"/>
          <w:sz w:val="20"/>
          <w:szCs w:val="20"/>
        </w:rPr>
        <w:t xml:space="preserve">Guangzhou · Shanghai · Beijing · Hong Kong</w:t>
      </w:r>
    </w:p>
    <w:p>
      <w:pPr>
        <w:pStyle w:val="ListParagraph"/>
        <w:numPr>
          <w:ilvl w:val="0"/>
          <w:numId w:val="2"/>
        </w:numPr>
        <w:spacing w:after="40" w:before="40"/>
      </w:pPr>
      <w:r>
        <w:rPr>
          <w:rFonts w:ascii="Times New Roman" w:cs="Times New Roman" w:eastAsia="Times New Roman" w:hAnsi="Times New Roman"/>
          <w:sz w:val="20"/>
          <w:szCs w:val="20"/>
        </w:rPr>
        <w:t xml:space="preserve">China as the world’s second-largest credit market</w:t>
      </w:r>
    </w:p>
    <w:p>
      <w:pPr>
        <w:pStyle w:val="ListParagraph"/>
        <w:numPr>
          <w:ilvl w:val="0"/>
          <w:numId w:val="2"/>
        </w:numPr>
        <w:spacing w:after="40" w:before="40"/>
      </w:pPr>
      <w:r>
        <w:rPr>
          <w:rFonts w:ascii="Times New Roman" w:cs="Times New Roman" w:eastAsia="Times New Roman" w:hAnsi="Times New Roman"/>
          <w:sz w:val="20"/>
          <w:szCs w:val="20"/>
        </w:rPr>
        <w:t xml:space="preserve">US$5T shadow-banking contraction</w:t>
      </w:r>
    </w:p>
    <w:p>
      <w:pPr>
        <w:pStyle w:val="ListParagraph"/>
        <w:numPr>
          <w:ilvl w:val="0"/>
          <w:numId w:val="2"/>
        </w:numPr>
        <w:spacing w:after="40" w:before="40"/>
      </w:pPr>
      <w:r>
        <w:rPr>
          <w:rFonts w:ascii="Times New Roman" w:cs="Times New Roman" w:eastAsia="Times New Roman" w:hAnsi="Times New Roman"/>
          <w:sz w:val="20"/>
          <w:szCs w:val="20"/>
        </w:rPr>
        <w:t xml:space="preserve">US$2T recognized non-performing loans</w:t>
      </w:r>
    </w:p>
    <w:p>
      <w:pPr>
        <w:pStyle w:val="ListParagraph"/>
        <w:numPr>
          <w:ilvl w:val="0"/>
          <w:numId w:val="2"/>
        </w:numPr>
        <w:spacing w:after="40" w:before="40"/>
      </w:pPr>
      <w:r>
        <w:rPr>
          <w:rFonts w:ascii="Times New Roman" w:cs="Times New Roman" w:eastAsia="Times New Roman" w:hAnsi="Times New Roman"/>
          <w:sz w:val="20"/>
          <w:szCs w:val="20"/>
        </w:rPr>
        <w:t xml:space="preserve">&lt;3% foreign GP penetration</w:t>
      </w:r>
    </w:p>
    <w:p>
      <w:pPr>
        <w:pStyle w:val="ListParagraph"/>
        <w:numPr>
          <w:ilvl w:val="0"/>
          <w:numId w:val="2"/>
        </w:numPr>
        <w:spacing w:after="40" w:before="40"/>
      </w:pPr>
      <w:r>
        <w:rPr>
          <w:rFonts w:ascii="Times New Roman" w:cs="Times New Roman" w:eastAsia="Times New Roman" w:hAnsi="Times New Roman"/>
          <w:sz w:val="20"/>
          <w:szCs w:val="20"/>
        </w:rPr>
        <w:t xml:space="preserve">Established 2018 for China Debt Dynamics</w:t>
      </w:r>
    </w:p>
    <w:p>
      <w:pPr>
        <w:pStyle w:val="ListParagraph"/>
        <w:numPr>
          <w:ilvl w:val="0"/>
          <w:numId w:val="2"/>
        </w:numPr>
        <w:spacing w:after="40" w:before="40"/>
      </w:pPr>
      <w:r>
        <w:rPr>
          <w:rFonts w:ascii="Times New Roman" w:cs="Times New Roman" w:eastAsia="Times New Roman" w:hAnsi="Times New Roman"/>
          <w:sz w:val="20"/>
          <w:szCs w:val="20"/>
        </w:rPr>
        <w:t xml:space="preserve">Issue 46 dated 25 January 2026</w:t>
      </w:r>
    </w:p>
    <w:p>
      <w:pPr>
        <w:pStyle w:val="ListParagraph"/>
        <w:numPr>
          <w:ilvl w:val="0"/>
          <w:numId w:val="2"/>
        </w:numPr>
        <w:spacing w:after="40" w:before="40"/>
      </w:pPr>
      <w:r>
        <w:rPr>
          <w:rFonts w:ascii="Times New Roman" w:cs="Times New Roman" w:eastAsia="Times New Roman" w:hAnsi="Times New Roman"/>
          <w:sz w:val="20"/>
          <w:szCs w:val="20"/>
        </w:rPr>
        <w:t xml:space="preserve">All publication titles, dates, and media references</w:t>
      </w:r>
    </w:p>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Phrases for legal sensitivity review</w:t>
      </w:r>
    </w:p>
    <w:p>
      <w:pPr>
        <w:pStyle w:val="ListParagraph"/>
        <w:numPr>
          <w:ilvl w:val="0"/>
          <w:numId w:val="2"/>
        </w:numPr>
        <w:spacing w:after="40" w:before="40"/>
      </w:pPr>
      <w:r>
        <w:rPr>
          <w:rFonts w:ascii="Times New Roman" w:cs="Times New Roman" w:eastAsia="Times New Roman" w:hAnsi="Times New Roman"/>
          <w:sz w:val="20"/>
          <w:szCs w:val="20"/>
        </w:rPr>
        <w:t xml:space="preserve">leading institutional China private credit and private debt investment manager</w:t>
      </w:r>
    </w:p>
    <w:p>
      <w:pPr>
        <w:pStyle w:val="ListParagraph"/>
        <w:numPr>
          <w:ilvl w:val="0"/>
          <w:numId w:val="2"/>
        </w:numPr>
        <w:spacing w:after="40" w:before="40"/>
      </w:pPr>
      <w:r>
        <w:rPr>
          <w:rFonts w:ascii="Times New Roman" w:cs="Times New Roman" w:eastAsia="Times New Roman" w:hAnsi="Times New Roman"/>
          <w:sz w:val="20"/>
          <w:szCs w:val="20"/>
        </w:rPr>
        <w:t xml:space="preserve">pioneered private credit solutions in the market over 20 years ago</w:t>
      </w:r>
    </w:p>
    <w:p>
      <w:pPr>
        <w:pStyle w:val="ListParagraph"/>
        <w:numPr>
          <w:ilvl w:val="0"/>
          <w:numId w:val="2"/>
        </w:numPr>
        <w:spacing w:after="40" w:before="40"/>
      </w:pPr>
      <w:r>
        <w:rPr>
          <w:rFonts w:ascii="Times New Roman" w:cs="Times New Roman" w:eastAsia="Times New Roman" w:hAnsi="Times New Roman"/>
          <w:sz w:val="20"/>
          <w:szCs w:val="20"/>
        </w:rPr>
        <w:t xml:space="preserve">consistent returns throughout cycles</w:t>
      </w:r>
    </w:p>
    <w:p>
      <w:pPr>
        <w:pStyle w:val="ListParagraph"/>
        <w:numPr>
          <w:ilvl w:val="0"/>
          <w:numId w:val="2"/>
        </w:numPr>
        <w:spacing w:after="40" w:before="40"/>
      </w:pPr>
      <w:r>
        <w:rPr>
          <w:rFonts w:ascii="Times New Roman" w:cs="Times New Roman" w:eastAsia="Times New Roman" w:hAnsi="Times New Roman"/>
          <w:sz w:val="20"/>
          <w:szCs w:val="20"/>
        </w:rPr>
        <w:t xml:space="preserve">find and create value in the world’s second-largest credit market</w:t>
      </w:r>
    </w:p>
    <w:p>
      <w:pPr>
        <w:pStyle w:val="ListParagraph"/>
        <w:numPr>
          <w:ilvl w:val="0"/>
          <w:numId w:val="2"/>
        </w:numPr>
        <w:spacing w:after="40" w:before="40"/>
      </w:pPr>
      <w:r>
        <w:rPr>
          <w:rFonts w:ascii="Times New Roman" w:cs="Times New Roman" w:eastAsia="Times New Roman" w:hAnsi="Times New Roman"/>
          <w:sz w:val="20"/>
          <w:szCs w:val="20"/>
        </w:rPr>
        <w:t xml:space="preserve">first-lien downside protection</w:t>
      </w:r>
    </w:p>
    <w:p>
      <w:pPr>
        <w:pStyle w:val="ListParagraph"/>
        <w:numPr>
          <w:ilvl w:val="0"/>
          <w:numId w:val="2"/>
        </w:numPr>
        <w:spacing w:after="40" w:before="40"/>
      </w:pPr>
      <w:r>
        <w:rPr>
          <w:rFonts w:ascii="Times New Roman" w:cs="Times New Roman" w:eastAsia="Times New Roman" w:hAnsi="Times New Roman"/>
          <w:sz w:val="20"/>
          <w:szCs w:val="20"/>
        </w:rPr>
        <w:t xml:space="preserve">margin of safety</w:t>
      </w:r>
    </w:p>
    <w:p>
      <w:pPr>
        <w:pStyle w:val="ListParagraph"/>
        <w:numPr>
          <w:ilvl w:val="0"/>
          <w:numId w:val="2"/>
        </w:numPr>
        <w:spacing w:after="40" w:before="40"/>
      </w:pPr>
      <w:r>
        <w:rPr>
          <w:rFonts w:ascii="Times New Roman" w:cs="Times New Roman" w:eastAsia="Times New Roman" w:hAnsi="Times New Roman"/>
          <w:sz w:val="20"/>
          <w:szCs w:val="20"/>
        </w:rPr>
        <w:t xml:space="preserve">proprietary opportunities, information, and exit channels</w:t>
      </w:r>
    </w:p>
    <w:p>
      <w:pPr>
        <w:pStyle w:val="ListParagraph"/>
        <w:numPr>
          <w:ilvl w:val="0"/>
          <w:numId w:val="2"/>
        </w:numPr>
        <w:spacing w:after="40" w:before="40"/>
      </w:pPr>
      <w:r>
        <w:rPr>
          <w:rFonts w:ascii="Times New Roman" w:cs="Times New Roman" w:eastAsia="Times New Roman" w:hAnsi="Times New Roman"/>
          <w:sz w:val="20"/>
          <w:szCs w:val="20"/>
        </w:rPr>
        <w:t xml:space="preserve">local execution capability integrated with international institutional standards</w:t>
      </w:r>
    </w:p>
    <w:p>
      <w:pPr>
        <w:pStyle w:val="ListParagraph"/>
        <w:numPr>
          <w:ilvl w:val="0"/>
          <w:numId w:val="2"/>
        </w:numPr>
        <w:spacing w:after="40" w:before="40"/>
      </w:pPr>
      <w:r>
        <w:rPr>
          <w:rFonts w:ascii="Times New Roman" w:cs="Times New Roman" w:eastAsia="Times New Roman" w:hAnsi="Times New Roman"/>
          <w:sz w:val="20"/>
          <w:szCs w:val="20"/>
        </w:rPr>
        <w:t xml:space="preserve">tailored China credit solutions</w:t>
      </w:r>
    </w:p>
    <w:p>
      <w:pPr>
        <w:pStyle w:val="ListParagraph"/>
        <w:numPr>
          <w:ilvl w:val="0"/>
          <w:numId w:val="2"/>
        </w:numPr>
        <w:spacing w:after="40" w:before="40"/>
      </w:pPr>
      <w:r>
        <w:rPr>
          <w:rFonts w:ascii="Times New Roman" w:cs="Times New Roman" w:eastAsia="Times New Roman" w:hAnsi="Times New Roman"/>
          <w:sz w:val="20"/>
          <w:szCs w:val="20"/>
        </w:rPr>
        <w:t xml:space="preserve">distressed debt opportunities</w:t>
      </w:r>
    </w:p>
    <w:p>
      <w:pPr>
        <w:pStyle w:val="ListParagraph"/>
        <w:numPr>
          <w:ilvl w:val="0"/>
          <w:numId w:val="2"/>
        </w:numPr>
        <w:spacing w:after="40" w:before="40"/>
      </w:pPr>
      <w:r>
        <w:rPr>
          <w:rFonts w:ascii="Times New Roman" w:cs="Times New Roman" w:eastAsia="Times New Roman" w:hAnsi="Times New Roman"/>
          <w:sz w:val="20"/>
          <w:szCs w:val="20"/>
        </w:rPr>
        <w:t xml:space="preserve">broader experience across Asia’s private credit markets</w:t>
      </w:r>
    </w:p>
    <w:p>
      <w:pPr>
        <w:pStyle w:val="ListParagraph"/>
        <w:numPr>
          <w:ilvl w:val="0"/>
          <w:numId w:val="2"/>
        </w:numPr>
        <w:spacing w:after="40" w:before="40"/>
      </w:pPr>
      <w:r>
        <w:rPr>
          <w:rFonts w:ascii="Times New Roman" w:cs="Times New Roman" w:eastAsia="Times New Roman" w:hAnsi="Times New Roman"/>
          <w:sz w:val="20"/>
          <w:szCs w:val="20"/>
        </w:rPr>
        <w:t xml:space="preserve">high barriers to entry</w:t>
      </w:r>
    </w:p>
    <w:p>
      <w:pPr>
        <w:pStyle w:val="ListParagraph"/>
        <w:numPr>
          <w:ilvl w:val="0"/>
          <w:numId w:val="2"/>
        </w:numPr>
        <w:spacing w:after="40" w:before="40"/>
      </w:pPr>
      <w:r>
        <w:rPr>
          <w:rFonts w:ascii="Times New Roman" w:cs="Times New Roman" w:eastAsia="Times New Roman" w:hAnsi="Times New Roman"/>
          <w:sz w:val="20"/>
          <w:szCs w:val="20"/>
        </w:rPr>
        <w:t xml:space="preserve">competition in the situations ShoreVest targets remains structurally thin</w:t>
      </w:r>
    </w:p>
    <w:p>
      <w:pPr>
        <w:pStyle w:val="ListParagraph"/>
        <w:numPr>
          <w:ilvl w:val="0"/>
          <w:numId w:val="2"/>
        </w:numPr>
        <w:spacing w:after="40" w:before="40"/>
      </w:pPr>
      <w:r>
        <w:rPr>
          <w:rFonts w:ascii="Times New Roman" w:cs="Times New Roman" w:eastAsia="Times New Roman" w:hAnsi="Times New Roman"/>
          <w:sz w:val="20"/>
          <w:szCs w:val="20"/>
        </w:rPr>
        <w:t xml:space="preserve">every position is underwritten around legal control and recoverability</w:t>
      </w:r>
    </w:p>
    <w:p>
      <w:pPr>
        <w:pStyle w:val="ListParagraph"/>
        <w:numPr>
          <w:ilvl w:val="0"/>
          <w:numId w:val="2"/>
        </w:numPr>
        <w:spacing w:after="40" w:before="40"/>
      </w:pPr>
      <w:r>
        <w:rPr>
          <w:rFonts w:ascii="Times New Roman" w:cs="Times New Roman" w:eastAsia="Times New Roman" w:hAnsi="Times New Roman"/>
          <w:sz w:val="20"/>
          <w:szCs w:val="20"/>
        </w:rPr>
        <w:t xml:space="preserve">value does not depend on spread, refinancing, or market direction</w:t>
      </w:r>
    </w:p>
    <w:p>
      <w:pPr>
        <w:spacing w:after="0" w:before="120"/>
      </w:pPr>
      <w:r>
        <w:rPr>
          <w:sz w:val="20"/>
          <w:szCs w:val="20"/>
        </w:rPr>
        <w:t xml:space="preserve"/>
      </w:r>
    </w:p>
    <w:p>
      <w:pPr>
        <w:spacing w:after="80" w:before="200"/>
      </w:pPr>
      <w:r>
        <w:rPr>
          <w:rFonts w:ascii="Times New Roman" w:cs="Times New Roman" w:eastAsia="Times New Roman" w:hAnsi="Times New Roman"/>
          <w:b/>
          <w:bCs/>
          <w:sz w:val="22"/>
          <w:szCs w:val="22"/>
        </w:rPr>
        <w:t xml:space="preserve">Chinese version notes</w:t>
      </w:r>
    </w:p>
    <w:p>
      <w:pPr>
        <w:spacing w:after="80" w:before="0"/>
        <w:jc w:val="left"/>
      </w:pPr>
      <w:r>
        <w:rPr>
          <w:rFonts w:ascii="Times New Roman" w:cs="Times New Roman" w:eastAsia="Times New Roman" w:hAnsi="Times New Roman"/>
          <w:b w:val="false"/>
          <w:bCs w:val="false"/>
          <w:i w:val="false"/>
          <w:iCs w:val="false"/>
          <w:sz w:val="20"/>
          <w:szCs w:val="20"/>
        </w:rPr>
        <w:t xml:space="preserve">The Chinese version should not be sent as final until it has been aligned with Janine’s revised Chinese wording.</w:t>
      </w:r>
    </w:p>
    <w:p>
      <w:pPr>
        <w:spacing w:after="80" w:before="0"/>
        <w:jc w:val="left"/>
      </w:pPr>
      <w:r>
        <w:rPr>
          <w:rFonts w:ascii="Times New Roman" w:cs="Times New Roman" w:eastAsia="Times New Roman" w:hAnsi="Times New Roman"/>
          <w:b w:val="false"/>
          <w:bCs w:val="false"/>
          <w:i w:val="false"/>
          <w:iCs w:val="false"/>
          <w:sz w:val="20"/>
          <w:szCs w:val="20"/>
        </w:rPr>
        <w:t xml:space="preserve">Particular attention should be paid to the correct Chinese firm name, Chinese navigation labels, China Debt Dynamics Chinese title, Investor Portal access language, legal and disclaimer terminology, and references to strategy, governance, investment process, and investor eligibility.</w:t>
      </w:r>
    </w:p>
    <w:p>
      <w:pPr>
        <w:spacing w:after="0" w:before="80"/>
      </w:pPr>
      <w:r>
        <w:rPr>
          <w:sz w:val="20"/>
          <w:szCs w:val="20"/>
        </w:rPr>
        <w:t xml:space="preserve"/>
      </w:r>
    </w:p>
    <w:p>
      <w:pPr>
        <w:spacing w:after="80" w:before="100"/>
      </w:pPr>
      <w:r>
        <w:rPr>
          <w:rFonts w:ascii="Times New Roman" w:cs="Times New Roman" w:eastAsia="Times New Roman" w:hAnsi="Times New Roman"/>
          <w:i/>
          <w:iCs/>
          <w:sz w:val="18"/>
          <w:szCs w:val="18"/>
        </w:rPr>
        <w:t xml:space="preserve">Working draft — public website content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60"/>
      <w:jc w:val="center"/>
    </w:pPr>
    <w:r>
      <w:rPr>
        <w:rFonts w:ascii="Times New Roman" w:cs="Times New Roman" w:eastAsia="Times New Roman" w:hAnsi="Times New Roman"/>
        <w:color w:val="666666"/>
        <w:sz w:val="18"/>
        <w:szCs w:val="18"/>
      </w:rPr>
      <w:t xml:space="preserve">Working draft — June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60" w:before="0"/>
      <w:jc w:val="right"/>
    </w:pPr>
    <w:r>
      <w:rPr>
        <w:rFonts w:ascii="Times New Roman" w:cs="Times New Roman" w:eastAsia="Times New Roman" w:hAnsi="Times New Roman"/>
        <w:i/>
        <w:iCs/>
        <w:color w:val="666666"/>
        <w:sz w:val="18"/>
        <w:szCs w:val="18"/>
      </w:rPr>
      <w:t xml:space="preserve">ShoreVest Website Copy — Legal Review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2026-06-21T02:33:45.407Z</dcterms:created>
  <dcterms:modified xsi:type="dcterms:W3CDTF">2026-06-21T02:33:45.408Z</dcterms:modified>
</cp:coreProperties>
</file>

<file path=docProps/custom.xml><?xml version="1.0" encoding="utf-8"?>
<Properties xmlns="http://schemas.openxmlformats.org/officeDocument/2006/custom-properties" xmlns:vt="http://schemas.openxmlformats.org/officeDocument/2006/docPropsVTypes"/>
</file>