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0FB35" w14:textId="77777777" w:rsidR="00807506" w:rsidRDefault="00E94E5D">
      <w:pPr>
        <w:spacing w:after="20"/>
        <w:jc w:val="center"/>
      </w:pPr>
      <w:r>
        <w:rPr>
          <w:rFonts w:ascii="Aptos Display" w:eastAsia="Aptos Display" w:hAnsi="Aptos Display"/>
          <w:b/>
          <w:color w:val="203040"/>
          <w:sz w:val="28"/>
        </w:rPr>
        <w:t>PLAN4ARI</w:t>
      </w:r>
    </w:p>
    <w:p w14:paraId="7861F7D8" w14:textId="77777777" w:rsidR="00807506" w:rsidRDefault="00E94E5D">
      <w:pPr>
        <w:pStyle w:val="Title"/>
        <w:spacing w:after="40"/>
        <w:jc w:val="center"/>
      </w:pPr>
      <w:r>
        <w:t>Monthly Status Report</w:t>
      </w:r>
    </w:p>
    <w:p w14:paraId="616E0045" w14:textId="77777777" w:rsidR="00807506" w:rsidRDefault="00E94E5D">
      <w:pPr>
        <w:spacing w:after="280"/>
        <w:jc w:val="center"/>
      </w:pPr>
      <w:r>
        <w:rPr>
          <w:rFonts w:ascii="Aptos Display" w:eastAsia="Aptos Display" w:hAnsi="Aptos Display"/>
          <w:b/>
          <w:color w:val="203040"/>
          <w:sz w:val="36"/>
        </w:rPr>
        <w:t>February 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6520"/>
      </w:tblGrid>
      <w:tr w:rsidR="00807506" w14:paraId="1C17E739" w14:textId="77777777" w:rsidTr="00A53AE2">
        <w:trPr>
          <w:jc w:val="center"/>
        </w:trPr>
        <w:tc>
          <w:tcPr>
            <w:tcW w:w="2381" w:type="dxa"/>
            <w:shd w:val="clear" w:color="auto" w:fill="1F4E79"/>
            <w:tcMar>
              <w:top w:w="80" w:type="dxa"/>
              <w:left w:w="100" w:type="dxa"/>
              <w:bottom w:w="80" w:type="dxa"/>
              <w:right w:w="100" w:type="dxa"/>
            </w:tcMar>
            <w:vAlign w:val="center"/>
          </w:tcPr>
          <w:p w14:paraId="540D38FF" w14:textId="77777777" w:rsidR="00807506" w:rsidRDefault="00E94E5D">
            <w:pPr>
              <w:spacing w:after="0"/>
            </w:pPr>
            <w:r>
              <w:rPr>
                <w:b/>
                <w:color w:val="FFFFFF"/>
                <w:sz w:val="18"/>
              </w:rPr>
              <w:t>Project</w:t>
            </w:r>
          </w:p>
        </w:tc>
        <w:tc>
          <w:tcPr>
            <w:tcW w:w="6520" w:type="dxa"/>
            <w:shd w:val="clear" w:color="auto" w:fill="F7F9FB"/>
            <w:tcMar>
              <w:top w:w="80" w:type="dxa"/>
              <w:left w:w="100" w:type="dxa"/>
              <w:bottom w:w="80" w:type="dxa"/>
              <w:right w:w="100" w:type="dxa"/>
            </w:tcMar>
            <w:vAlign w:val="center"/>
          </w:tcPr>
          <w:p w14:paraId="1A5077FD" w14:textId="77777777" w:rsidR="00807506" w:rsidRDefault="00E94E5D">
            <w:pPr>
              <w:spacing w:after="0"/>
            </w:pPr>
            <w:r>
              <w:rPr>
                <w:color w:val="203040"/>
                <w:sz w:val="18"/>
              </w:rPr>
              <w:t>Planning for Artificial Robotic Intelligence and Beyond</w:t>
            </w:r>
          </w:p>
        </w:tc>
      </w:tr>
      <w:tr w:rsidR="00807506" w14:paraId="0E50D5AF" w14:textId="77777777" w:rsidTr="00A53AE2">
        <w:trPr>
          <w:jc w:val="center"/>
        </w:trPr>
        <w:tc>
          <w:tcPr>
            <w:tcW w:w="2381" w:type="dxa"/>
            <w:shd w:val="clear" w:color="auto" w:fill="1F4E79"/>
            <w:tcMar>
              <w:top w:w="80" w:type="dxa"/>
              <w:left w:w="100" w:type="dxa"/>
              <w:bottom w:w="80" w:type="dxa"/>
              <w:right w:w="100" w:type="dxa"/>
            </w:tcMar>
            <w:vAlign w:val="center"/>
          </w:tcPr>
          <w:p w14:paraId="5C0E4607" w14:textId="77777777" w:rsidR="00807506" w:rsidRDefault="00E94E5D">
            <w:pPr>
              <w:spacing w:after="0"/>
            </w:pPr>
            <w:r>
              <w:rPr>
                <w:b/>
                <w:color w:val="FFFFFF"/>
                <w:sz w:val="18"/>
              </w:rPr>
              <w:t>Deliverable</w:t>
            </w:r>
          </w:p>
        </w:tc>
        <w:tc>
          <w:tcPr>
            <w:tcW w:w="6520" w:type="dxa"/>
            <w:shd w:val="clear" w:color="auto" w:fill="FFFFFF"/>
            <w:tcMar>
              <w:top w:w="80" w:type="dxa"/>
              <w:left w:w="100" w:type="dxa"/>
              <w:bottom w:w="80" w:type="dxa"/>
              <w:right w:w="100" w:type="dxa"/>
            </w:tcMar>
            <w:vAlign w:val="center"/>
          </w:tcPr>
          <w:p w14:paraId="2AA16FF5" w14:textId="77777777" w:rsidR="00807506" w:rsidRDefault="00E94E5D">
            <w:pPr>
              <w:spacing w:after="0"/>
            </w:pPr>
            <w:r>
              <w:rPr>
                <w:color w:val="203040"/>
                <w:sz w:val="18"/>
              </w:rPr>
              <w:t>D1.1 – Project Management, Quality, and Coordination</w:t>
            </w:r>
          </w:p>
        </w:tc>
      </w:tr>
      <w:tr w:rsidR="00807506" w14:paraId="4B73387F" w14:textId="77777777" w:rsidTr="00A53AE2">
        <w:trPr>
          <w:jc w:val="center"/>
        </w:trPr>
        <w:tc>
          <w:tcPr>
            <w:tcW w:w="2381" w:type="dxa"/>
            <w:shd w:val="clear" w:color="auto" w:fill="1F4E79"/>
            <w:tcMar>
              <w:top w:w="80" w:type="dxa"/>
              <w:left w:w="100" w:type="dxa"/>
              <w:bottom w:w="80" w:type="dxa"/>
              <w:right w:w="100" w:type="dxa"/>
            </w:tcMar>
            <w:vAlign w:val="center"/>
          </w:tcPr>
          <w:p w14:paraId="4E225F95" w14:textId="77777777" w:rsidR="00807506" w:rsidRDefault="00E94E5D">
            <w:pPr>
              <w:spacing w:after="0"/>
            </w:pPr>
            <w:r>
              <w:rPr>
                <w:b/>
                <w:color w:val="FFFFFF"/>
                <w:sz w:val="18"/>
              </w:rPr>
              <w:t>Reporting period</w:t>
            </w:r>
          </w:p>
        </w:tc>
        <w:tc>
          <w:tcPr>
            <w:tcW w:w="6520" w:type="dxa"/>
            <w:shd w:val="clear" w:color="auto" w:fill="F7F9FB"/>
            <w:tcMar>
              <w:top w:w="80" w:type="dxa"/>
              <w:left w:w="100" w:type="dxa"/>
              <w:bottom w:w="80" w:type="dxa"/>
              <w:right w:w="100" w:type="dxa"/>
            </w:tcMar>
            <w:vAlign w:val="center"/>
          </w:tcPr>
          <w:p w14:paraId="17B9BC23" w14:textId="77777777" w:rsidR="00807506" w:rsidRDefault="00E94E5D">
            <w:pPr>
              <w:spacing w:after="0"/>
            </w:pPr>
            <w:r>
              <w:rPr>
                <w:color w:val="203040"/>
                <w:sz w:val="18"/>
              </w:rPr>
              <w:t>February 2026 (M1)</w:t>
            </w:r>
          </w:p>
        </w:tc>
      </w:tr>
      <w:tr w:rsidR="00807506" w14:paraId="6BBEEB25" w14:textId="77777777" w:rsidTr="00A53AE2">
        <w:trPr>
          <w:jc w:val="center"/>
        </w:trPr>
        <w:tc>
          <w:tcPr>
            <w:tcW w:w="2381" w:type="dxa"/>
            <w:shd w:val="clear" w:color="auto" w:fill="1F4E79"/>
            <w:tcMar>
              <w:top w:w="80" w:type="dxa"/>
              <w:left w:w="100" w:type="dxa"/>
              <w:bottom w:w="80" w:type="dxa"/>
              <w:right w:w="100" w:type="dxa"/>
            </w:tcMar>
            <w:vAlign w:val="center"/>
          </w:tcPr>
          <w:p w14:paraId="1E4B394E" w14:textId="77777777" w:rsidR="00807506" w:rsidRDefault="00E94E5D">
            <w:pPr>
              <w:spacing w:after="0"/>
            </w:pPr>
            <w:r>
              <w:rPr>
                <w:b/>
                <w:color w:val="FFFFFF"/>
                <w:sz w:val="18"/>
              </w:rPr>
              <w:t>Lead beneficiary</w:t>
            </w:r>
          </w:p>
        </w:tc>
        <w:tc>
          <w:tcPr>
            <w:tcW w:w="6520" w:type="dxa"/>
            <w:shd w:val="clear" w:color="auto" w:fill="FFFFFF"/>
            <w:tcMar>
              <w:top w:w="80" w:type="dxa"/>
              <w:left w:w="100" w:type="dxa"/>
              <w:bottom w:w="80" w:type="dxa"/>
              <w:right w:w="100" w:type="dxa"/>
            </w:tcMar>
            <w:vAlign w:val="center"/>
          </w:tcPr>
          <w:p w14:paraId="46E21EA8" w14:textId="77777777" w:rsidR="00807506" w:rsidRDefault="00E94E5D">
            <w:pPr>
              <w:spacing w:after="0"/>
            </w:pPr>
            <w:r>
              <w:rPr>
                <w:color w:val="203040"/>
                <w:sz w:val="18"/>
              </w:rPr>
              <w:t>CNR</w:t>
            </w:r>
          </w:p>
        </w:tc>
      </w:tr>
      <w:tr w:rsidR="00807506" w14:paraId="7DEABF29" w14:textId="77777777" w:rsidTr="00A53AE2">
        <w:trPr>
          <w:jc w:val="center"/>
        </w:trPr>
        <w:tc>
          <w:tcPr>
            <w:tcW w:w="2381" w:type="dxa"/>
            <w:shd w:val="clear" w:color="auto" w:fill="1F4E79"/>
            <w:tcMar>
              <w:top w:w="80" w:type="dxa"/>
              <w:left w:w="100" w:type="dxa"/>
              <w:bottom w:w="80" w:type="dxa"/>
              <w:right w:w="100" w:type="dxa"/>
            </w:tcMar>
            <w:vAlign w:val="center"/>
          </w:tcPr>
          <w:p w14:paraId="164FDBA9" w14:textId="77777777" w:rsidR="00807506" w:rsidRDefault="00E94E5D">
            <w:pPr>
              <w:spacing w:after="0"/>
            </w:pPr>
            <w:r>
              <w:rPr>
                <w:b/>
                <w:color w:val="FFFFFF"/>
                <w:sz w:val="18"/>
              </w:rPr>
              <w:t>Dissemination level</w:t>
            </w:r>
          </w:p>
        </w:tc>
        <w:tc>
          <w:tcPr>
            <w:tcW w:w="6520" w:type="dxa"/>
            <w:shd w:val="clear" w:color="auto" w:fill="F7F9FB"/>
            <w:tcMar>
              <w:top w:w="80" w:type="dxa"/>
              <w:left w:w="100" w:type="dxa"/>
              <w:bottom w:w="80" w:type="dxa"/>
              <w:right w:w="100" w:type="dxa"/>
            </w:tcMar>
            <w:vAlign w:val="center"/>
          </w:tcPr>
          <w:p w14:paraId="10AAA78E" w14:textId="77777777" w:rsidR="00807506" w:rsidRDefault="00E94E5D">
            <w:pPr>
              <w:spacing w:after="0"/>
            </w:pPr>
            <w:r>
              <w:rPr>
                <w:color w:val="203040"/>
                <w:sz w:val="18"/>
              </w:rPr>
              <w:t>Restricted</w:t>
            </w:r>
          </w:p>
        </w:tc>
      </w:tr>
    </w:tbl>
    <w:p w14:paraId="3A769044" w14:textId="77777777" w:rsidR="00807506" w:rsidRDefault="00807506"/>
    <w:p w14:paraId="3BC28AEC" w14:textId="77777777" w:rsidR="00807506" w:rsidRDefault="00E94E5D">
      <w:r>
        <w:br w:type="page"/>
      </w:r>
    </w:p>
    <w:p w14:paraId="315848F1" w14:textId="77777777" w:rsidR="00807506" w:rsidRDefault="00E94E5D">
      <w:pPr>
        <w:pStyle w:val="Heading1"/>
      </w:pPr>
      <w:r>
        <w:lastRenderedPageBreak/>
        <w:t>1. Meetings Performed</w:t>
      </w:r>
    </w:p>
    <w:tbl>
      <w:tblPr>
        <w:tblStyle w:val="TableGrid"/>
        <w:tblW w:w="0" w:type="auto"/>
        <w:jc w:val="center"/>
        <w:tblLayout w:type="fixed"/>
        <w:tblLook w:val="04A0" w:firstRow="1" w:lastRow="0" w:firstColumn="1" w:lastColumn="0" w:noHBand="0" w:noVBand="1"/>
      </w:tblPr>
      <w:tblGrid>
        <w:gridCol w:w="1757"/>
        <w:gridCol w:w="3402"/>
        <w:gridCol w:w="3969"/>
      </w:tblGrid>
      <w:tr w:rsidR="00807506" w14:paraId="79E4D0CA" w14:textId="77777777">
        <w:trPr>
          <w:tblHeader/>
          <w:jc w:val="center"/>
        </w:trPr>
        <w:tc>
          <w:tcPr>
            <w:tcW w:w="1757" w:type="dxa"/>
            <w:shd w:val="clear" w:color="auto" w:fill="1F4E79"/>
            <w:tcMar>
              <w:top w:w="70" w:type="dxa"/>
              <w:left w:w="100" w:type="dxa"/>
              <w:bottom w:w="70" w:type="dxa"/>
              <w:right w:w="100" w:type="dxa"/>
            </w:tcMar>
          </w:tcPr>
          <w:p w14:paraId="22F30AC9" w14:textId="77777777" w:rsidR="00807506" w:rsidRDefault="00E94E5D">
            <w:pPr>
              <w:spacing w:after="0"/>
            </w:pPr>
            <w:r>
              <w:rPr>
                <w:b/>
                <w:color w:val="FFFFFF"/>
                <w:sz w:val="17"/>
              </w:rPr>
              <w:t>Date</w:t>
            </w:r>
          </w:p>
        </w:tc>
        <w:tc>
          <w:tcPr>
            <w:tcW w:w="3402" w:type="dxa"/>
            <w:shd w:val="clear" w:color="auto" w:fill="1F4E79"/>
            <w:tcMar>
              <w:top w:w="70" w:type="dxa"/>
              <w:left w:w="100" w:type="dxa"/>
              <w:bottom w:w="70" w:type="dxa"/>
              <w:right w:w="100" w:type="dxa"/>
            </w:tcMar>
          </w:tcPr>
          <w:p w14:paraId="60F19490" w14:textId="77777777" w:rsidR="00807506" w:rsidRDefault="00E94E5D">
            <w:pPr>
              <w:spacing w:after="0"/>
            </w:pPr>
            <w:r>
              <w:rPr>
                <w:b/>
                <w:color w:val="FFFFFF"/>
                <w:sz w:val="17"/>
              </w:rPr>
              <w:t>Meeting and purpose</w:t>
            </w:r>
          </w:p>
        </w:tc>
        <w:tc>
          <w:tcPr>
            <w:tcW w:w="3969" w:type="dxa"/>
            <w:shd w:val="clear" w:color="auto" w:fill="1F4E79"/>
            <w:tcMar>
              <w:top w:w="70" w:type="dxa"/>
              <w:left w:w="100" w:type="dxa"/>
              <w:bottom w:w="70" w:type="dxa"/>
              <w:right w:w="100" w:type="dxa"/>
            </w:tcMar>
          </w:tcPr>
          <w:p w14:paraId="2EDD4675" w14:textId="77777777" w:rsidR="00807506" w:rsidRDefault="00E94E5D">
            <w:pPr>
              <w:spacing w:after="0"/>
            </w:pPr>
            <w:r>
              <w:rPr>
                <w:b/>
                <w:color w:val="FFFFFF"/>
                <w:sz w:val="17"/>
              </w:rPr>
              <w:t>Participants</w:t>
            </w:r>
          </w:p>
        </w:tc>
      </w:tr>
      <w:tr w:rsidR="00807506" w14:paraId="52BADAC1" w14:textId="77777777">
        <w:trPr>
          <w:jc w:val="center"/>
        </w:trPr>
        <w:tc>
          <w:tcPr>
            <w:tcW w:w="1757" w:type="dxa"/>
            <w:shd w:val="clear" w:color="auto" w:fill="F7F9FB"/>
            <w:tcMar>
              <w:top w:w="65" w:type="dxa"/>
              <w:left w:w="100" w:type="dxa"/>
              <w:bottom w:w="65" w:type="dxa"/>
              <w:right w:w="100" w:type="dxa"/>
            </w:tcMar>
          </w:tcPr>
          <w:p w14:paraId="5A2AD0DD" w14:textId="77777777" w:rsidR="00807506" w:rsidRDefault="00E94E5D">
            <w:pPr>
              <w:spacing w:after="0"/>
            </w:pPr>
            <w:r>
              <w:rPr>
                <w:color w:val="203040"/>
                <w:sz w:val="16"/>
              </w:rPr>
              <w:t>13 February 2026</w:t>
            </w:r>
          </w:p>
        </w:tc>
        <w:tc>
          <w:tcPr>
            <w:tcW w:w="3402" w:type="dxa"/>
            <w:shd w:val="clear" w:color="auto" w:fill="F7F9FB"/>
            <w:tcMar>
              <w:top w:w="65" w:type="dxa"/>
              <w:left w:w="100" w:type="dxa"/>
              <w:bottom w:w="65" w:type="dxa"/>
              <w:right w:w="100" w:type="dxa"/>
            </w:tcMar>
          </w:tcPr>
          <w:p w14:paraId="379B9550" w14:textId="77777777" w:rsidR="00807506" w:rsidRDefault="00E94E5D">
            <w:pPr>
              <w:spacing w:after="0"/>
            </w:pPr>
            <w:r>
              <w:rPr>
                <w:b/>
                <w:color w:val="203040"/>
                <w:sz w:val="16"/>
              </w:rPr>
              <w:t>Virtual Kick-Off</w:t>
            </w:r>
            <w:r>
              <w:rPr>
                <w:color w:val="203040"/>
                <w:sz w:val="16"/>
              </w:rPr>
              <w:br/>
              <w:t>Overall project presentation; introduction of the COMAU and CNR teams; agreement on roles, scoping meetings, recurring coordination and start-up actions.</w:t>
            </w:r>
          </w:p>
        </w:tc>
        <w:tc>
          <w:tcPr>
            <w:tcW w:w="3969" w:type="dxa"/>
            <w:shd w:val="clear" w:color="auto" w:fill="F7F9FB"/>
            <w:tcMar>
              <w:top w:w="65" w:type="dxa"/>
              <w:left w:w="100" w:type="dxa"/>
              <w:bottom w:w="65" w:type="dxa"/>
              <w:right w:w="100" w:type="dxa"/>
            </w:tcMar>
          </w:tcPr>
          <w:p w14:paraId="66BBEE89" w14:textId="77777777" w:rsidR="00807506" w:rsidRDefault="00E94E5D">
            <w:pPr>
              <w:spacing w:after="0"/>
            </w:pPr>
            <w:r>
              <w:rPr>
                <w:color w:val="203040"/>
                <w:sz w:val="16"/>
              </w:rPr>
              <w:t>COMAU and CNR project teams (individual attendance was not listed in the source).</w:t>
            </w:r>
          </w:p>
        </w:tc>
      </w:tr>
      <w:tr w:rsidR="00807506" w14:paraId="4F816E8E" w14:textId="77777777">
        <w:trPr>
          <w:jc w:val="center"/>
        </w:trPr>
        <w:tc>
          <w:tcPr>
            <w:tcW w:w="1757" w:type="dxa"/>
            <w:tcMar>
              <w:top w:w="65" w:type="dxa"/>
              <w:left w:w="100" w:type="dxa"/>
              <w:bottom w:w="65" w:type="dxa"/>
              <w:right w:w="100" w:type="dxa"/>
            </w:tcMar>
          </w:tcPr>
          <w:p w14:paraId="656707E9" w14:textId="77777777" w:rsidR="00807506" w:rsidRDefault="00E94E5D">
            <w:pPr>
              <w:spacing w:after="0"/>
            </w:pPr>
            <w:r>
              <w:rPr>
                <w:color w:val="203040"/>
                <w:sz w:val="16"/>
              </w:rPr>
              <w:t>24 February 2026</w:t>
            </w:r>
          </w:p>
        </w:tc>
        <w:tc>
          <w:tcPr>
            <w:tcW w:w="3402" w:type="dxa"/>
            <w:tcMar>
              <w:top w:w="65" w:type="dxa"/>
              <w:left w:w="100" w:type="dxa"/>
              <w:bottom w:w="65" w:type="dxa"/>
              <w:right w:w="100" w:type="dxa"/>
            </w:tcMar>
          </w:tcPr>
          <w:p w14:paraId="3CA761C4" w14:textId="77777777" w:rsidR="00807506" w:rsidRDefault="00E94E5D">
            <w:pPr>
              <w:spacing w:after="0"/>
            </w:pPr>
            <w:r>
              <w:rPr>
                <w:b/>
                <w:color w:val="203040"/>
                <w:sz w:val="16"/>
              </w:rPr>
              <w:t>First Technical Scoping Meeting</w:t>
            </w:r>
            <w:r>
              <w:rPr>
                <w:color w:val="203040"/>
                <w:sz w:val="16"/>
              </w:rPr>
              <w:br/>
              <w:t>Budget allocation and co-funding; review of the technical scope; alignment with COMAU’s 2026 strategic agenda.</w:t>
            </w:r>
          </w:p>
        </w:tc>
        <w:tc>
          <w:tcPr>
            <w:tcW w:w="3969" w:type="dxa"/>
            <w:tcMar>
              <w:top w:w="65" w:type="dxa"/>
              <w:left w:w="100" w:type="dxa"/>
              <w:bottom w:w="65" w:type="dxa"/>
              <w:right w:w="100" w:type="dxa"/>
            </w:tcMar>
          </w:tcPr>
          <w:p w14:paraId="7C5E7A29" w14:textId="77777777" w:rsidR="00807506" w:rsidRDefault="00E94E5D">
            <w:pPr>
              <w:spacing w:after="0"/>
            </w:pPr>
            <w:r>
              <w:rPr>
                <w:color w:val="203040"/>
                <w:sz w:val="16"/>
              </w:rPr>
              <w:t>Nicola Pedrocchi (CNR), Enrico Villagrossi (CNR), Giovanni Di Stefano (COMAU), Nicola Longo (COMAU), Damiano Morra (COMAU), Alfio Minissale (COMAU).</w:t>
            </w:r>
          </w:p>
        </w:tc>
      </w:tr>
    </w:tbl>
    <w:p w14:paraId="337B1A93" w14:textId="1E55B2BD" w:rsidR="00807506" w:rsidRDefault="00E94E5D">
      <w:pPr>
        <w:pStyle w:val="Heading1"/>
      </w:pPr>
      <w:r>
        <w:t xml:space="preserve">2. Project Status </w:t>
      </w:r>
    </w:p>
    <w:p w14:paraId="14B73CD7" w14:textId="77777777" w:rsidR="00807506" w:rsidRDefault="00E94E5D">
      <w:pPr>
        <w:pStyle w:val="Heading2"/>
      </w:pPr>
      <w:r>
        <w:t>Activity 1 – Scientific, Technical, and Project Management</w:t>
      </w:r>
    </w:p>
    <w:p w14:paraId="54A5C9DD" w14:textId="1800764D" w:rsidR="00807506" w:rsidRDefault="00E94E5D">
      <w:r>
        <w:t xml:space="preserve">The virtual kick-off introduced the project as a whole and the COMAU and CNR teams. </w:t>
      </w:r>
      <w:r>
        <w:t>The participants appointed</w:t>
      </w:r>
      <w:r>
        <w:t xml:space="preserve"> Damiano Morra (COMAU) as Project Manager and Nicola Longo (COMAU) as Control Lead Officer. The appointment of the Activity Leaders was postponed until completion of two Technical Scoping Meetings.</w:t>
      </w:r>
    </w:p>
    <w:p w14:paraId="773E013E" w14:textId="77777777" w:rsidR="00807506" w:rsidRDefault="00E94E5D">
      <w:r>
        <w:t>The consortium scheduled the First Technical Scoping Meeting for 24 February 2026, the Second Technical Scoping Meeting for 10 March 2026, and the in-person kick-off at COMAU premises for 19 March 2026. A bi-weekly project-management and technical-update meeting was also planned to begin after the in-person kick-off.</w:t>
      </w:r>
    </w:p>
    <w:p w14:paraId="20C29F30" w14:textId="77777777" w:rsidR="00807506" w:rsidRDefault="00E94E5D">
      <w:r>
        <w:t>The agreed start-up actions were: review of the project, analysis of budget remodulation, analysis of the co-financing plan, assignment of responsibilities, and preparation of a Project Handbook and deliverable templates. The global project presentation is referenced as Annex B_1.</w:t>
      </w:r>
    </w:p>
    <w:p w14:paraId="6561AB0F" w14:textId="77777777" w:rsidR="00807506" w:rsidRDefault="00E94E5D">
      <w:r>
        <w:t>During the First Technical Scoping Meeting, no co-funding issue was raised. CNR explained that project activities would initially be co-funded through researcher staffing arrangements until project positions could be opened. The source reports that central procedures for “Contratti di Ricerca” and “Incarichi di Ricerca” were expected by May 2026, with calls in June and contract starts in September 2026.</w:t>
      </w:r>
    </w:p>
    <w:p w14:paraId="6EEC483F" w14:textId="77777777" w:rsidR="00807506" w:rsidRDefault="00E94E5D">
      <w:pPr>
        <w:spacing w:after="40"/>
      </w:pPr>
      <w:r>
        <w:rPr>
          <w:b/>
          <w:color w:val="203040"/>
        </w:rPr>
        <w:t>Decisions and follow-up actions</w:t>
      </w:r>
    </w:p>
    <w:p w14:paraId="799C8501" w14:textId="77777777" w:rsidR="00807506" w:rsidRDefault="00E94E5D">
      <w:pPr>
        <w:pStyle w:val="ListBullet"/>
        <w:spacing w:after="40"/>
        <w:ind w:left="340" w:hanging="170"/>
      </w:pPr>
      <w:r>
        <w:t>The PI will analyse first- and second-year effort allocation, because CNR is not expected to cover all planned work during the first part of the year.</w:t>
      </w:r>
    </w:p>
    <w:p w14:paraId="04A77BC4" w14:textId="77777777" w:rsidR="00807506" w:rsidRDefault="00E94E5D">
      <w:pPr>
        <w:pStyle w:val="ListBullet"/>
        <w:spacing w:after="40"/>
        <w:ind w:left="340" w:hanging="170"/>
      </w:pPr>
      <w:r>
        <w:t>Some activities may need to shift to the second part of 2026 and the first part of 2027.</w:t>
      </w:r>
    </w:p>
    <w:p w14:paraId="2843C02F" w14:textId="77777777" w:rsidR="00807506" w:rsidRDefault="00E94E5D">
      <w:pPr>
        <w:pStyle w:val="ListBullet"/>
        <w:spacing w:after="40"/>
        <w:ind w:left="340" w:hanging="170"/>
      </w:pPr>
      <w:r>
        <w:t>The PI will prepare an updated Gantt chart for the Second Technical Scoping Meeting.</w:t>
      </w:r>
    </w:p>
    <w:p w14:paraId="4256CEAE" w14:textId="77777777" w:rsidR="00807506" w:rsidRDefault="00E94E5D">
      <w:pPr>
        <w:pStyle w:val="Heading2"/>
      </w:pPr>
      <w:r>
        <w:t>Activity 2 – Low-code programming exploiting generative and deliberative AI</w:t>
      </w:r>
    </w:p>
    <w:p w14:paraId="1743AFF2" w14:textId="77777777" w:rsidR="00807506" w:rsidRDefault="00E94E5D">
      <w:r>
        <w:t>The source records the formal start of Activity 2, without a separate technical discussion for this month.</w:t>
      </w:r>
    </w:p>
    <w:p w14:paraId="1098D0F7" w14:textId="77777777" w:rsidR="00807506" w:rsidRDefault="00E94E5D">
      <w:pPr>
        <w:pStyle w:val="Heading2"/>
      </w:pPr>
      <w:r>
        <w:t>Activity 3 – Sensing for Context Awareness</w:t>
      </w:r>
    </w:p>
    <w:p w14:paraId="51954F26" w14:textId="77777777" w:rsidR="00807506" w:rsidRDefault="00E94E5D">
      <w:r>
        <w:t>The source records the formal start of Activity 3, without a separate technical discussion for this month.</w:t>
      </w:r>
    </w:p>
    <w:p w14:paraId="6C4E6EE5" w14:textId="77777777" w:rsidR="00807506" w:rsidRDefault="00E94E5D">
      <w:pPr>
        <w:pStyle w:val="Heading2"/>
      </w:pPr>
      <w:r>
        <w:t>Activity 4 – Local and Global Autonomous Motion Planning</w:t>
      </w:r>
    </w:p>
    <w:p w14:paraId="18013D22" w14:textId="77777777" w:rsidR="00807506" w:rsidRDefault="00E94E5D">
      <w:r>
        <w:t>The source records the formal start of Activity 4, without a separate technical discussion for this month.</w:t>
      </w:r>
    </w:p>
    <w:p w14:paraId="5A3D40E5" w14:textId="77777777" w:rsidR="00807506" w:rsidRDefault="00E94E5D">
      <w:pPr>
        <w:pStyle w:val="Heading2"/>
      </w:pPr>
      <w:r>
        <w:t>Activity 5 – Neural Robust Motion Control</w:t>
      </w:r>
    </w:p>
    <w:p w14:paraId="7AEF7093" w14:textId="77777777" w:rsidR="00807506" w:rsidRDefault="00E94E5D">
      <w:r>
        <w:t>The source records the formal start of Activity 5, without a separate technical discussion for this month.</w:t>
      </w:r>
    </w:p>
    <w:p w14:paraId="04999271" w14:textId="77777777" w:rsidR="00807506" w:rsidRDefault="00E94E5D">
      <w:pPr>
        <w:pStyle w:val="Heading2"/>
      </w:pPr>
      <w:r>
        <w:t>Activity 6 – Human-Robot Trustiness Evaluation and Assessment</w:t>
      </w:r>
    </w:p>
    <w:p w14:paraId="12939E12" w14:textId="77777777" w:rsidR="00807506" w:rsidRDefault="00E94E5D">
      <w:r>
        <w:t>The source records the formal start of Activity 6, without a separate technical discussion for this month.</w:t>
      </w:r>
    </w:p>
    <w:p w14:paraId="2AC9D8F9" w14:textId="77777777" w:rsidR="00807506" w:rsidRDefault="00E94E5D">
      <w:pPr>
        <w:pStyle w:val="Heading2"/>
      </w:pPr>
      <w:r>
        <w:lastRenderedPageBreak/>
        <w:t>Activity 7 – Targeted Demonstrator</w:t>
      </w:r>
    </w:p>
    <w:p w14:paraId="1C959B1B" w14:textId="77777777" w:rsidR="00807506" w:rsidRDefault="00E94E5D">
      <w:r>
        <w:t>COMAU identified AI integration at all levels of the new robot controller as a primary focus. COMAU also noted that its controller architecture was evolving to support complex robotic systems, including humanoids and quadrupeds, rather than only robotic arms. The PI was asked to assess whether and how the Plan4ARI activities and platform should be adapted to this development direction.</w:t>
      </w:r>
    </w:p>
    <w:p w14:paraId="63EAB39E" w14:textId="77777777" w:rsidR="00807506" w:rsidRDefault="00E94E5D">
      <w:pPr>
        <w:pStyle w:val="Heading1"/>
      </w:pPr>
      <w:r>
        <w:t>3. Monthly Highlights and Status Summary</w:t>
      </w:r>
    </w:p>
    <w:p w14:paraId="3DF99F52" w14:textId="77777777" w:rsidR="00807506" w:rsidRDefault="00E94E5D">
      <w:pPr>
        <w:spacing w:after="40"/>
      </w:pPr>
      <w:r>
        <w:rPr>
          <w:b/>
          <w:color w:val="203040"/>
          <w:sz w:val="20"/>
        </w:rPr>
        <w:t>Most important events</w:t>
      </w:r>
    </w:p>
    <w:p w14:paraId="2C61EE59" w14:textId="77777777" w:rsidR="00807506" w:rsidRDefault="00E94E5D">
      <w:pPr>
        <w:pStyle w:val="ListBullet"/>
        <w:spacing w:after="40"/>
        <w:ind w:left="340" w:hanging="170"/>
      </w:pPr>
      <w:r>
        <w:t>Project governance and start-up roles were established.</w:t>
      </w:r>
    </w:p>
    <w:p w14:paraId="440192D7" w14:textId="77777777" w:rsidR="00807506" w:rsidRDefault="00E94E5D">
      <w:pPr>
        <w:pStyle w:val="ListBullet"/>
        <w:spacing w:after="40"/>
        <w:ind w:left="340" w:hanging="170"/>
      </w:pPr>
      <w:r>
        <w:t>Technical scoping and recurring coordination meetings were scheduled.</w:t>
      </w:r>
    </w:p>
    <w:p w14:paraId="0B6B1907" w14:textId="77777777" w:rsidR="00807506" w:rsidRDefault="00E94E5D">
      <w:pPr>
        <w:pStyle w:val="ListBullet"/>
        <w:spacing w:after="40"/>
        <w:ind w:left="340" w:hanging="170"/>
      </w:pPr>
      <w:r>
        <w:t>CNR staffing and effort-allocation constraints were identified and an updated Gantt chart was requested.</w:t>
      </w:r>
    </w:p>
    <w:p w14:paraId="26ABC9A2" w14:textId="77777777" w:rsidR="00807506" w:rsidRDefault="00E94E5D">
      <w:pPr>
        <w:pStyle w:val="ListBullet"/>
        <w:spacing w:after="40"/>
        <w:ind w:left="340" w:hanging="170"/>
      </w:pPr>
      <w:r>
        <w:t>Technical work formally started across Activities 2–6.</w:t>
      </w:r>
    </w:p>
    <w:p w14:paraId="27630626" w14:textId="77777777" w:rsidR="00807506" w:rsidRDefault="00E94E5D">
      <w:pPr>
        <w:pStyle w:val="ListBullet"/>
        <w:spacing w:after="40"/>
        <w:ind w:left="340" w:hanging="170"/>
      </w:pPr>
      <w:r>
        <w:t>COMAU requested an assessment of extending the project platform towards humanoid and quadruped robots.</w:t>
      </w:r>
    </w:p>
    <w:p w14:paraId="171CC194" w14:textId="77777777" w:rsidR="00154CC6" w:rsidRDefault="00154CC6" w:rsidP="00154CC6">
      <w:pPr>
        <w:pStyle w:val="ListBullet"/>
        <w:numPr>
          <w:ilvl w:val="0"/>
          <w:numId w:val="0"/>
        </w:numPr>
        <w:spacing w:after="40"/>
        <w:ind w:left="340"/>
      </w:pPr>
    </w:p>
    <w:tbl>
      <w:tblPr>
        <w:tblStyle w:val="TableGrid"/>
        <w:tblW w:w="0" w:type="auto"/>
        <w:jc w:val="center"/>
        <w:tblLayout w:type="fixed"/>
        <w:tblLook w:val="04A0" w:firstRow="1" w:lastRow="0" w:firstColumn="1" w:lastColumn="0" w:noHBand="0" w:noVBand="1"/>
      </w:tblPr>
      <w:tblGrid>
        <w:gridCol w:w="2438"/>
        <w:gridCol w:w="6690"/>
      </w:tblGrid>
      <w:tr w:rsidR="00807506" w14:paraId="00F25AB2" w14:textId="77777777">
        <w:trPr>
          <w:jc w:val="center"/>
        </w:trPr>
        <w:tc>
          <w:tcPr>
            <w:tcW w:w="2438" w:type="dxa"/>
            <w:shd w:val="clear" w:color="auto" w:fill="1F4E79"/>
            <w:tcMar>
              <w:top w:w="80" w:type="dxa"/>
              <w:left w:w="100" w:type="dxa"/>
              <w:bottom w:w="80" w:type="dxa"/>
              <w:right w:w="100" w:type="dxa"/>
            </w:tcMar>
          </w:tcPr>
          <w:p w14:paraId="1CEF9F6C" w14:textId="77777777" w:rsidR="00807506" w:rsidRDefault="00E94E5D">
            <w:pPr>
              <w:spacing w:after="0"/>
            </w:pPr>
            <w:r>
              <w:rPr>
                <w:b/>
                <w:color w:val="FFFFFF"/>
                <w:sz w:val="17"/>
              </w:rPr>
              <w:t>Overall status</w:t>
            </w:r>
          </w:p>
        </w:tc>
        <w:tc>
          <w:tcPr>
            <w:tcW w:w="6690" w:type="dxa"/>
            <w:shd w:val="clear" w:color="auto" w:fill="F7F9FB"/>
            <w:tcMar>
              <w:top w:w="80" w:type="dxa"/>
              <w:left w:w="100" w:type="dxa"/>
              <w:bottom w:w="80" w:type="dxa"/>
              <w:right w:w="100" w:type="dxa"/>
            </w:tcMar>
          </w:tcPr>
          <w:p w14:paraId="2FC3ADE1" w14:textId="77777777" w:rsidR="00807506" w:rsidRDefault="00E94E5D">
            <w:pPr>
              <w:spacing w:after="0"/>
            </w:pPr>
            <w:r>
              <w:rPr>
                <w:color w:val="203040"/>
                <w:sz w:val="17"/>
              </w:rPr>
              <w:t>The project start-up phase proceeded as planned. Internal processes were activated and the technical activities began. No project risk was formally raised, although CNR staffing constraints required schedule review.</w:t>
            </w:r>
          </w:p>
        </w:tc>
      </w:tr>
      <w:tr w:rsidR="00807506" w14:paraId="4AF6911E" w14:textId="77777777">
        <w:trPr>
          <w:jc w:val="center"/>
        </w:trPr>
        <w:tc>
          <w:tcPr>
            <w:tcW w:w="2438" w:type="dxa"/>
            <w:shd w:val="clear" w:color="auto" w:fill="203040"/>
            <w:tcMar>
              <w:top w:w="80" w:type="dxa"/>
              <w:left w:w="100" w:type="dxa"/>
              <w:bottom w:w="80" w:type="dxa"/>
              <w:right w:w="100" w:type="dxa"/>
            </w:tcMar>
          </w:tcPr>
          <w:p w14:paraId="6C8E1CDA" w14:textId="77777777" w:rsidR="00807506" w:rsidRDefault="00E94E5D">
            <w:pPr>
              <w:spacing w:after="0"/>
            </w:pPr>
            <w:r>
              <w:rPr>
                <w:b/>
                <w:color w:val="FFFFFF"/>
                <w:sz w:val="17"/>
              </w:rPr>
              <w:t>Issues / points requiring attention</w:t>
            </w:r>
          </w:p>
        </w:tc>
        <w:tc>
          <w:tcPr>
            <w:tcW w:w="6690" w:type="dxa"/>
            <w:shd w:val="clear" w:color="auto" w:fill="F7F9FB"/>
            <w:tcMar>
              <w:top w:w="80" w:type="dxa"/>
              <w:left w:w="100" w:type="dxa"/>
              <w:bottom w:w="80" w:type="dxa"/>
              <w:right w:w="100" w:type="dxa"/>
            </w:tcMar>
          </w:tcPr>
          <w:p w14:paraId="22F5CE42" w14:textId="77777777" w:rsidR="00807506" w:rsidRDefault="00E94E5D">
            <w:pPr>
              <w:spacing w:after="0"/>
            </w:pPr>
            <w:r>
              <w:rPr>
                <w:color w:val="203040"/>
                <w:sz w:val="17"/>
              </w:rPr>
              <w:t>Schedule pressure linked to the timing of CNR recruitment procedures; potential need to redistribute effort across 2026–2027.</w:t>
            </w:r>
          </w:p>
        </w:tc>
      </w:tr>
    </w:tbl>
    <w:p w14:paraId="702A0F40" w14:textId="77777777" w:rsidR="00807506" w:rsidRDefault="00807506"/>
    <w:sectPr w:rsidR="00807506" w:rsidSect="00034616">
      <w:pgSz w:w="12240" w:h="15840"/>
      <w:pgMar w:top="1020"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C63C1" w14:textId="77777777" w:rsidR="00E94E5D" w:rsidRDefault="00E94E5D">
      <w:pPr>
        <w:spacing w:after="0" w:line="240" w:lineRule="auto"/>
      </w:pPr>
      <w:r>
        <w:separator/>
      </w:r>
    </w:p>
  </w:endnote>
  <w:endnote w:type="continuationSeparator" w:id="0">
    <w:p w14:paraId="6C8D1A23" w14:textId="77777777" w:rsidR="00E94E5D" w:rsidRDefault="00E94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F67D4" w14:textId="77777777" w:rsidR="00E94E5D" w:rsidRDefault="00E94E5D">
      <w:pPr>
        <w:spacing w:after="0" w:line="240" w:lineRule="auto"/>
      </w:pPr>
      <w:r>
        <w:separator/>
      </w:r>
    </w:p>
  </w:footnote>
  <w:footnote w:type="continuationSeparator" w:id="0">
    <w:p w14:paraId="6EEF67A7" w14:textId="77777777" w:rsidR="00E94E5D" w:rsidRDefault="00E94E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52196">
    <w:abstractNumId w:val="8"/>
  </w:num>
  <w:num w:numId="2" w16cid:durableId="1214268035">
    <w:abstractNumId w:val="6"/>
  </w:num>
  <w:num w:numId="3" w16cid:durableId="996617739">
    <w:abstractNumId w:val="5"/>
  </w:num>
  <w:num w:numId="4" w16cid:durableId="1969235746">
    <w:abstractNumId w:val="4"/>
  </w:num>
  <w:num w:numId="5" w16cid:durableId="1354569562">
    <w:abstractNumId w:val="7"/>
  </w:num>
  <w:num w:numId="6" w16cid:durableId="2092772038">
    <w:abstractNumId w:val="3"/>
  </w:num>
  <w:num w:numId="7" w16cid:durableId="1404253833">
    <w:abstractNumId w:val="2"/>
  </w:num>
  <w:num w:numId="8" w16cid:durableId="1943412990">
    <w:abstractNumId w:val="1"/>
  </w:num>
  <w:num w:numId="9" w16cid:durableId="331029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F0A"/>
    <w:rsid w:val="0006063C"/>
    <w:rsid w:val="0015074B"/>
    <w:rsid w:val="00154CC6"/>
    <w:rsid w:val="0029639D"/>
    <w:rsid w:val="002A3232"/>
    <w:rsid w:val="00326F90"/>
    <w:rsid w:val="00374809"/>
    <w:rsid w:val="00807506"/>
    <w:rsid w:val="00A24E10"/>
    <w:rsid w:val="00A53AE2"/>
    <w:rsid w:val="00AA1D8D"/>
    <w:rsid w:val="00B47730"/>
    <w:rsid w:val="00CB0664"/>
    <w:rsid w:val="00CC4CB3"/>
    <w:rsid w:val="00E94E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A5698D91-DD5D-4289-AAA6-44A0D7A80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0304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rossReferenceNote">
    <w:name w:val="Cross Reference Note"/>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Props1.xml><?xml version="1.0" encoding="utf-8"?>
<ds:datastoreItem xmlns:ds="http://schemas.openxmlformats.org/officeDocument/2006/customXml" ds:itemID="{30BCC516-BE94-434A-A8D8-D58D589D286B}">
  <ds:schemaRefs>
    <ds:schemaRef ds:uri="http://schemas.openxmlformats.org/officeDocument/2006/bibliography"/>
  </ds:schemaRefs>
</ds:datastoreItem>
</file>

<file path=customXml/itemProps2.xml><?xml version="1.0" encoding="utf-8"?>
<ds:datastoreItem xmlns:ds="http://schemas.openxmlformats.org/officeDocument/2006/customXml" ds:itemID="{9F310382-E377-4BDD-B9DC-BA053ED9D7C4}"/>
</file>

<file path=customXml/itemProps3.xml><?xml version="1.0" encoding="utf-8"?>
<ds:datastoreItem xmlns:ds="http://schemas.openxmlformats.org/officeDocument/2006/customXml" ds:itemID="{A58E0101-1DFD-43EA-943F-E54F49ECF2E9}"/>
</file>

<file path=customXml/itemProps4.xml><?xml version="1.0" encoding="utf-8"?>
<ds:datastoreItem xmlns:ds="http://schemas.openxmlformats.org/officeDocument/2006/customXml" ds:itemID="{499B92F6-0040-4691-996B-2A12389B38F6}"/>
</file>

<file path=docProps/app.xml><?xml version="1.0" encoding="utf-8"?>
<Properties xmlns="http://schemas.openxmlformats.org/officeDocument/2006/extended-properties" xmlns:vt="http://schemas.openxmlformats.org/officeDocument/2006/docPropsVTypes">
  <Template>Normal</Template>
  <TotalTime>2</TotalTime>
  <Pages>3</Pages>
  <Words>709</Words>
  <Characters>4042</Characters>
  <Application>Microsoft Office Word</Application>
  <DocSecurity>0</DocSecurity>
  <Lines>33</Lines>
  <Paragraphs>9</Paragraphs>
  <ScaleCrop>false</ScaleCrop>
  <Manager/>
  <Company/>
  <LinksUpToDate>false</LinksUpToDate>
  <CharactersWithSpaces>4742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NICOLA PEDROCCHI</cp:lastModifiedBy>
  <cp:revision>4</cp:revision>
  <dcterms:created xsi:type="dcterms:W3CDTF">2026-07-22T22:21:00Z</dcterms:created>
  <dcterms:modified xsi:type="dcterms:W3CDTF">2026-07-22T22:24:00Z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0x01010093319B0B20B3DE41BEF41CFACEAC753C</vt:lpwstr>
  </property>
</Properties>
</file>