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FEB82" w14:textId="77777777" w:rsidR="00E667B1" w:rsidRDefault="007F11FA">
      <w:pPr>
        <w:spacing w:after="20"/>
        <w:jc w:val="center"/>
      </w:pPr>
      <w:r>
        <w:rPr>
          <w:rFonts w:ascii="Aptos Display" w:eastAsia="Aptos Display" w:hAnsi="Aptos Display"/>
          <w:b/>
          <w:color w:val="203040"/>
          <w:sz w:val="28"/>
        </w:rPr>
        <w:t>PLAN4ARI</w:t>
      </w:r>
    </w:p>
    <w:p w14:paraId="722AC1C6" w14:textId="77777777" w:rsidR="00E667B1" w:rsidRDefault="007F11FA">
      <w:pPr>
        <w:pStyle w:val="Title"/>
        <w:spacing w:after="40"/>
        <w:jc w:val="center"/>
      </w:pPr>
      <w:r>
        <w:t>Monthly Status Report</w:t>
      </w:r>
    </w:p>
    <w:p w14:paraId="6D58CA2E" w14:textId="77777777" w:rsidR="00E667B1" w:rsidRDefault="007F11FA">
      <w:pPr>
        <w:spacing w:after="280"/>
        <w:jc w:val="center"/>
      </w:pPr>
      <w:r>
        <w:rPr>
          <w:rFonts w:ascii="Aptos Display" w:eastAsia="Aptos Display" w:hAnsi="Aptos Display"/>
          <w:b/>
          <w:color w:val="203040"/>
          <w:sz w:val="36"/>
        </w:rPr>
        <w:t>April 2026</w:t>
      </w:r>
    </w:p>
    <w:tbl>
      <w:tblPr>
        <w:tblW w:w="0" w:type="auto"/>
        <w:jc w:val="center"/>
        <w:tblLayout w:type="fixed"/>
        <w:tblLook w:val="04A0" w:firstRow="1" w:lastRow="0" w:firstColumn="1" w:lastColumn="0" w:noHBand="0" w:noVBand="1"/>
      </w:tblPr>
      <w:tblGrid>
        <w:gridCol w:w="2381"/>
        <w:gridCol w:w="6520"/>
      </w:tblGrid>
      <w:tr w:rsidR="00E667B1" w14:paraId="518765DE" w14:textId="77777777">
        <w:trPr>
          <w:jc w:val="center"/>
        </w:trPr>
        <w:tc>
          <w:tcPr>
            <w:tcW w:w="2381" w:type="dxa"/>
            <w:shd w:val="clear" w:color="auto" w:fill="1F4E79"/>
            <w:tcMar>
              <w:top w:w="80" w:type="dxa"/>
              <w:left w:w="100" w:type="dxa"/>
              <w:bottom w:w="80" w:type="dxa"/>
              <w:right w:w="100" w:type="dxa"/>
            </w:tcMar>
            <w:vAlign w:val="center"/>
          </w:tcPr>
          <w:p w14:paraId="02512D4B" w14:textId="77777777" w:rsidR="00E667B1" w:rsidRDefault="007F11FA">
            <w:pPr>
              <w:spacing w:after="0"/>
            </w:pPr>
            <w:r>
              <w:rPr>
                <w:b/>
                <w:color w:val="FFFFFF"/>
                <w:sz w:val="18"/>
              </w:rPr>
              <w:t>Project</w:t>
            </w:r>
          </w:p>
        </w:tc>
        <w:tc>
          <w:tcPr>
            <w:tcW w:w="6520" w:type="dxa"/>
            <w:shd w:val="clear" w:color="auto" w:fill="F7F9FB"/>
            <w:tcMar>
              <w:top w:w="80" w:type="dxa"/>
              <w:left w:w="100" w:type="dxa"/>
              <w:bottom w:w="80" w:type="dxa"/>
              <w:right w:w="100" w:type="dxa"/>
            </w:tcMar>
            <w:vAlign w:val="center"/>
          </w:tcPr>
          <w:p w14:paraId="7F433CFB" w14:textId="77777777" w:rsidR="00E667B1" w:rsidRDefault="007F11FA">
            <w:pPr>
              <w:spacing w:after="0"/>
            </w:pPr>
            <w:r>
              <w:rPr>
                <w:color w:val="203040"/>
                <w:sz w:val="18"/>
              </w:rPr>
              <w:t>Planning for Artificial Robotic Intelligence and Beyond</w:t>
            </w:r>
          </w:p>
        </w:tc>
      </w:tr>
      <w:tr w:rsidR="00E667B1" w14:paraId="4A754F54" w14:textId="77777777">
        <w:trPr>
          <w:jc w:val="center"/>
        </w:trPr>
        <w:tc>
          <w:tcPr>
            <w:tcW w:w="2381" w:type="dxa"/>
            <w:shd w:val="clear" w:color="auto" w:fill="1F4E79"/>
            <w:tcMar>
              <w:top w:w="80" w:type="dxa"/>
              <w:left w:w="100" w:type="dxa"/>
              <w:bottom w:w="80" w:type="dxa"/>
              <w:right w:w="100" w:type="dxa"/>
            </w:tcMar>
            <w:vAlign w:val="center"/>
          </w:tcPr>
          <w:p w14:paraId="525BC9CB" w14:textId="77777777" w:rsidR="00E667B1" w:rsidRDefault="007F11FA">
            <w:pPr>
              <w:spacing w:after="0"/>
            </w:pPr>
            <w:r>
              <w:rPr>
                <w:b/>
                <w:color w:val="FFFFFF"/>
                <w:sz w:val="18"/>
              </w:rPr>
              <w:t>Deliverable</w:t>
            </w:r>
          </w:p>
        </w:tc>
        <w:tc>
          <w:tcPr>
            <w:tcW w:w="6520" w:type="dxa"/>
            <w:shd w:val="clear" w:color="auto" w:fill="FFFFFF"/>
            <w:tcMar>
              <w:top w:w="80" w:type="dxa"/>
              <w:left w:w="100" w:type="dxa"/>
              <w:bottom w:w="80" w:type="dxa"/>
              <w:right w:w="100" w:type="dxa"/>
            </w:tcMar>
            <w:vAlign w:val="center"/>
          </w:tcPr>
          <w:p w14:paraId="265949EA" w14:textId="77777777" w:rsidR="00E667B1" w:rsidRDefault="007F11FA">
            <w:pPr>
              <w:spacing w:after="0"/>
            </w:pPr>
            <w:r>
              <w:rPr>
                <w:color w:val="203040"/>
                <w:sz w:val="18"/>
              </w:rPr>
              <w:t>D1.1 – Project Management, Quality, and Coordination</w:t>
            </w:r>
          </w:p>
        </w:tc>
      </w:tr>
      <w:tr w:rsidR="00E667B1" w14:paraId="4E54FAD6" w14:textId="77777777">
        <w:trPr>
          <w:jc w:val="center"/>
        </w:trPr>
        <w:tc>
          <w:tcPr>
            <w:tcW w:w="2381" w:type="dxa"/>
            <w:shd w:val="clear" w:color="auto" w:fill="1F4E79"/>
            <w:tcMar>
              <w:top w:w="80" w:type="dxa"/>
              <w:left w:w="100" w:type="dxa"/>
              <w:bottom w:w="80" w:type="dxa"/>
              <w:right w:w="100" w:type="dxa"/>
            </w:tcMar>
            <w:vAlign w:val="center"/>
          </w:tcPr>
          <w:p w14:paraId="117121A2" w14:textId="77777777" w:rsidR="00E667B1" w:rsidRDefault="007F11FA">
            <w:pPr>
              <w:spacing w:after="0"/>
            </w:pPr>
            <w:r>
              <w:rPr>
                <w:b/>
                <w:color w:val="FFFFFF"/>
                <w:sz w:val="18"/>
              </w:rPr>
              <w:t>Reporting period</w:t>
            </w:r>
          </w:p>
        </w:tc>
        <w:tc>
          <w:tcPr>
            <w:tcW w:w="6520" w:type="dxa"/>
            <w:shd w:val="clear" w:color="auto" w:fill="F7F9FB"/>
            <w:tcMar>
              <w:top w:w="80" w:type="dxa"/>
              <w:left w:w="100" w:type="dxa"/>
              <w:bottom w:w="80" w:type="dxa"/>
              <w:right w:w="100" w:type="dxa"/>
            </w:tcMar>
            <w:vAlign w:val="center"/>
          </w:tcPr>
          <w:p w14:paraId="3C240EB5" w14:textId="77777777" w:rsidR="00E667B1" w:rsidRDefault="007F11FA">
            <w:pPr>
              <w:spacing w:after="0"/>
            </w:pPr>
            <w:r>
              <w:rPr>
                <w:color w:val="203040"/>
                <w:sz w:val="18"/>
              </w:rPr>
              <w:t>April 2026 (M3)</w:t>
            </w:r>
          </w:p>
        </w:tc>
      </w:tr>
      <w:tr w:rsidR="00E667B1" w14:paraId="3ABA8167" w14:textId="77777777">
        <w:trPr>
          <w:jc w:val="center"/>
        </w:trPr>
        <w:tc>
          <w:tcPr>
            <w:tcW w:w="2381" w:type="dxa"/>
            <w:shd w:val="clear" w:color="auto" w:fill="1F4E79"/>
            <w:tcMar>
              <w:top w:w="80" w:type="dxa"/>
              <w:left w:w="100" w:type="dxa"/>
              <w:bottom w:w="80" w:type="dxa"/>
              <w:right w:w="100" w:type="dxa"/>
            </w:tcMar>
            <w:vAlign w:val="center"/>
          </w:tcPr>
          <w:p w14:paraId="2D27CFB7" w14:textId="77777777" w:rsidR="00E667B1" w:rsidRDefault="007F11FA">
            <w:pPr>
              <w:spacing w:after="0"/>
            </w:pPr>
            <w:r>
              <w:rPr>
                <w:b/>
                <w:color w:val="FFFFFF"/>
                <w:sz w:val="18"/>
              </w:rPr>
              <w:t>Lead beneficiary</w:t>
            </w:r>
          </w:p>
        </w:tc>
        <w:tc>
          <w:tcPr>
            <w:tcW w:w="6520" w:type="dxa"/>
            <w:shd w:val="clear" w:color="auto" w:fill="FFFFFF"/>
            <w:tcMar>
              <w:top w:w="80" w:type="dxa"/>
              <w:left w:w="100" w:type="dxa"/>
              <w:bottom w:w="80" w:type="dxa"/>
              <w:right w:w="100" w:type="dxa"/>
            </w:tcMar>
            <w:vAlign w:val="center"/>
          </w:tcPr>
          <w:p w14:paraId="6B586F80" w14:textId="77777777" w:rsidR="00E667B1" w:rsidRDefault="007F11FA">
            <w:pPr>
              <w:spacing w:after="0"/>
            </w:pPr>
            <w:r>
              <w:rPr>
                <w:color w:val="203040"/>
                <w:sz w:val="18"/>
              </w:rPr>
              <w:t>CNR</w:t>
            </w:r>
          </w:p>
        </w:tc>
      </w:tr>
      <w:tr w:rsidR="00E667B1" w14:paraId="69978D31" w14:textId="77777777">
        <w:trPr>
          <w:jc w:val="center"/>
        </w:trPr>
        <w:tc>
          <w:tcPr>
            <w:tcW w:w="2381" w:type="dxa"/>
            <w:shd w:val="clear" w:color="auto" w:fill="1F4E79"/>
            <w:tcMar>
              <w:top w:w="80" w:type="dxa"/>
              <w:left w:w="100" w:type="dxa"/>
              <w:bottom w:w="80" w:type="dxa"/>
              <w:right w:w="100" w:type="dxa"/>
            </w:tcMar>
            <w:vAlign w:val="center"/>
          </w:tcPr>
          <w:p w14:paraId="200328A8" w14:textId="77777777" w:rsidR="00E667B1" w:rsidRDefault="007F11FA">
            <w:pPr>
              <w:spacing w:after="0"/>
            </w:pPr>
            <w:r>
              <w:rPr>
                <w:b/>
                <w:color w:val="FFFFFF"/>
                <w:sz w:val="18"/>
              </w:rPr>
              <w:t>Dissemination level</w:t>
            </w:r>
          </w:p>
        </w:tc>
        <w:tc>
          <w:tcPr>
            <w:tcW w:w="6520" w:type="dxa"/>
            <w:shd w:val="clear" w:color="auto" w:fill="F7F9FB"/>
            <w:tcMar>
              <w:top w:w="80" w:type="dxa"/>
              <w:left w:w="100" w:type="dxa"/>
              <w:bottom w:w="80" w:type="dxa"/>
              <w:right w:w="100" w:type="dxa"/>
            </w:tcMar>
            <w:vAlign w:val="center"/>
          </w:tcPr>
          <w:p w14:paraId="343B7F83" w14:textId="77777777" w:rsidR="00E667B1" w:rsidRDefault="007F11FA">
            <w:pPr>
              <w:spacing w:after="0"/>
            </w:pPr>
            <w:r>
              <w:rPr>
                <w:color w:val="203040"/>
                <w:sz w:val="18"/>
              </w:rPr>
              <w:t>Restricted</w:t>
            </w:r>
          </w:p>
        </w:tc>
      </w:tr>
    </w:tbl>
    <w:p w14:paraId="361C4994" w14:textId="77777777" w:rsidR="00E667B1" w:rsidRDefault="00E667B1"/>
    <w:p w14:paraId="006EF78F" w14:textId="77777777" w:rsidR="00E667B1" w:rsidRDefault="007F11FA">
      <w:r>
        <w:br w:type="page"/>
      </w:r>
    </w:p>
    <w:p w14:paraId="3C1BE9C3" w14:textId="77777777" w:rsidR="00E667B1" w:rsidRDefault="007F11FA">
      <w:pPr>
        <w:pStyle w:val="Heading1"/>
      </w:pPr>
      <w:r>
        <w:lastRenderedPageBreak/>
        <w:t>1. Meetings Performed</w:t>
      </w:r>
    </w:p>
    <w:tbl>
      <w:tblPr>
        <w:tblStyle w:val="TableGrid"/>
        <w:tblW w:w="0" w:type="auto"/>
        <w:jc w:val="center"/>
        <w:tblLayout w:type="fixed"/>
        <w:tblLook w:val="04A0" w:firstRow="1" w:lastRow="0" w:firstColumn="1" w:lastColumn="0" w:noHBand="0" w:noVBand="1"/>
      </w:tblPr>
      <w:tblGrid>
        <w:gridCol w:w="1757"/>
        <w:gridCol w:w="3402"/>
        <w:gridCol w:w="3969"/>
      </w:tblGrid>
      <w:tr w:rsidR="00E667B1" w14:paraId="68CE27A3" w14:textId="77777777">
        <w:trPr>
          <w:tblHeader/>
          <w:jc w:val="center"/>
        </w:trPr>
        <w:tc>
          <w:tcPr>
            <w:tcW w:w="1757" w:type="dxa"/>
            <w:shd w:val="clear" w:color="auto" w:fill="1F4E79"/>
            <w:tcMar>
              <w:top w:w="70" w:type="dxa"/>
              <w:left w:w="100" w:type="dxa"/>
              <w:bottom w:w="70" w:type="dxa"/>
              <w:right w:w="100" w:type="dxa"/>
            </w:tcMar>
          </w:tcPr>
          <w:p w14:paraId="15E3BC41" w14:textId="77777777" w:rsidR="00E667B1" w:rsidRDefault="007F11FA">
            <w:pPr>
              <w:spacing w:after="0"/>
            </w:pPr>
            <w:r>
              <w:rPr>
                <w:b/>
                <w:color w:val="FFFFFF"/>
                <w:sz w:val="17"/>
              </w:rPr>
              <w:t>Date</w:t>
            </w:r>
          </w:p>
        </w:tc>
        <w:tc>
          <w:tcPr>
            <w:tcW w:w="3402" w:type="dxa"/>
            <w:shd w:val="clear" w:color="auto" w:fill="1F4E79"/>
            <w:tcMar>
              <w:top w:w="70" w:type="dxa"/>
              <w:left w:w="100" w:type="dxa"/>
              <w:bottom w:w="70" w:type="dxa"/>
              <w:right w:w="100" w:type="dxa"/>
            </w:tcMar>
          </w:tcPr>
          <w:p w14:paraId="5CB9C375" w14:textId="77777777" w:rsidR="00E667B1" w:rsidRDefault="007F11FA">
            <w:pPr>
              <w:spacing w:after="0"/>
            </w:pPr>
            <w:r>
              <w:rPr>
                <w:b/>
                <w:color w:val="FFFFFF"/>
                <w:sz w:val="17"/>
              </w:rPr>
              <w:t>Meeting and purpose</w:t>
            </w:r>
          </w:p>
        </w:tc>
        <w:tc>
          <w:tcPr>
            <w:tcW w:w="3969" w:type="dxa"/>
            <w:shd w:val="clear" w:color="auto" w:fill="1F4E79"/>
            <w:tcMar>
              <w:top w:w="70" w:type="dxa"/>
              <w:left w:w="100" w:type="dxa"/>
              <w:bottom w:w="70" w:type="dxa"/>
              <w:right w:w="100" w:type="dxa"/>
            </w:tcMar>
          </w:tcPr>
          <w:p w14:paraId="5D8C4208" w14:textId="77777777" w:rsidR="00E667B1" w:rsidRDefault="007F11FA">
            <w:pPr>
              <w:spacing w:after="0"/>
            </w:pPr>
            <w:r>
              <w:rPr>
                <w:b/>
                <w:color w:val="FFFFFF"/>
                <w:sz w:val="17"/>
              </w:rPr>
              <w:t>Participants</w:t>
            </w:r>
          </w:p>
        </w:tc>
      </w:tr>
      <w:tr w:rsidR="00E667B1" w14:paraId="126FFCA0" w14:textId="77777777">
        <w:trPr>
          <w:jc w:val="center"/>
        </w:trPr>
        <w:tc>
          <w:tcPr>
            <w:tcW w:w="1757" w:type="dxa"/>
            <w:shd w:val="clear" w:color="auto" w:fill="F7F9FB"/>
            <w:tcMar>
              <w:top w:w="65" w:type="dxa"/>
              <w:left w:w="100" w:type="dxa"/>
              <w:bottom w:w="65" w:type="dxa"/>
              <w:right w:w="100" w:type="dxa"/>
            </w:tcMar>
          </w:tcPr>
          <w:p w14:paraId="47D38649" w14:textId="77777777" w:rsidR="00E667B1" w:rsidRDefault="007F11FA">
            <w:pPr>
              <w:spacing w:after="0"/>
            </w:pPr>
            <w:r>
              <w:rPr>
                <w:color w:val="203040"/>
                <w:sz w:val="16"/>
              </w:rPr>
              <w:t>15 April 2026</w:t>
            </w:r>
          </w:p>
        </w:tc>
        <w:tc>
          <w:tcPr>
            <w:tcW w:w="3402" w:type="dxa"/>
            <w:shd w:val="clear" w:color="auto" w:fill="F7F9FB"/>
            <w:tcMar>
              <w:top w:w="65" w:type="dxa"/>
              <w:left w:w="100" w:type="dxa"/>
              <w:bottom w:w="65" w:type="dxa"/>
              <w:right w:w="100" w:type="dxa"/>
            </w:tcMar>
          </w:tcPr>
          <w:p w14:paraId="18D371D8" w14:textId="77777777" w:rsidR="00E667B1" w:rsidRDefault="007F11FA">
            <w:pPr>
              <w:spacing w:after="0"/>
            </w:pPr>
            <w:r>
              <w:rPr>
                <w:b/>
                <w:color w:val="203040"/>
                <w:sz w:val="16"/>
              </w:rPr>
              <w:t>Technical Meeting on Activities A2–A6</w:t>
            </w:r>
            <w:r>
              <w:rPr>
                <w:color w:val="203040"/>
                <w:sz w:val="16"/>
              </w:rPr>
              <w:br/>
              <w:t>Technical progress review; presentation of COMAU’s updated technical requirements; initial discussion of Activity 6 revision.</w:t>
            </w:r>
          </w:p>
        </w:tc>
        <w:tc>
          <w:tcPr>
            <w:tcW w:w="3969" w:type="dxa"/>
            <w:shd w:val="clear" w:color="auto" w:fill="F7F9FB"/>
            <w:tcMar>
              <w:top w:w="65" w:type="dxa"/>
              <w:left w:w="100" w:type="dxa"/>
              <w:bottom w:w="65" w:type="dxa"/>
              <w:right w:w="100" w:type="dxa"/>
            </w:tcMar>
          </w:tcPr>
          <w:p w14:paraId="02C31E59" w14:textId="77777777" w:rsidR="00E667B1" w:rsidRDefault="007F11FA">
            <w:pPr>
              <w:spacing w:after="0"/>
            </w:pPr>
            <w:r>
              <w:rPr>
                <w:color w:val="203040"/>
                <w:sz w:val="16"/>
              </w:rPr>
              <w:t>Nicola Pedrocchi (CNR), Enrico Villagrossi (CNR), Adriano Scibilia (CNR), Marco Caimmi (CNR), Stefano Mottura (CNR), Gian Mauro Fontanta (CNR), Samuele Sandrini (CNR), Roberto Faust (CNR), Michele Ferrari (CNR), Damiano Morra (COMAU)</w:t>
            </w:r>
          </w:p>
        </w:tc>
      </w:tr>
      <w:tr w:rsidR="00E667B1" w14:paraId="2C771819" w14:textId="77777777">
        <w:trPr>
          <w:jc w:val="center"/>
        </w:trPr>
        <w:tc>
          <w:tcPr>
            <w:tcW w:w="1757" w:type="dxa"/>
            <w:tcMar>
              <w:top w:w="65" w:type="dxa"/>
              <w:left w:w="100" w:type="dxa"/>
              <w:bottom w:w="65" w:type="dxa"/>
              <w:right w:w="100" w:type="dxa"/>
            </w:tcMar>
          </w:tcPr>
          <w:p w14:paraId="6D3B33C2" w14:textId="77777777" w:rsidR="00E667B1" w:rsidRDefault="007F11FA">
            <w:pPr>
              <w:spacing w:after="0"/>
            </w:pPr>
            <w:r>
              <w:rPr>
                <w:color w:val="203040"/>
                <w:sz w:val="16"/>
              </w:rPr>
              <w:t>15 April 2026</w:t>
            </w:r>
          </w:p>
        </w:tc>
        <w:tc>
          <w:tcPr>
            <w:tcW w:w="3402" w:type="dxa"/>
            <w:tcMar>
              <w:top w:w="65" w:type="dxa"/>
              <w:left w:w="100" w:type="dxa"/>
              <w:bottom w:w="65" w:type="dxa"/>
              <w:right w:w="100" w:type="dxa"/>
            </w:tcMar>
          </w:tcPr>
          <w:p w14:paraId="133D7BB6" w14:textId="77777777" w:rsidR="00E667B1" w:rsidRDefault="007F11FA">
            <w:pPr>
              <w:spacing w:after="0"/>
            </w:pPr>
            <w:r>
              <w:rPr>
                <w:b/>
                <w:color w:val="203040"/>
                <w:sz w:val="16"/>
              </w:rPr>
              <w:t>Administrative Meeting on Reporting Procedures</w:t>
            </w:r>
            <w:r>
              <w:rPr>
                <w:color w:val="203040"/>
                <w:sz w:val="16"/>
              </w:rPr>
              <w:br/>
              <w:t>Reporting rules, access to the reporting platform, internal cost-allocation procedures and funding rules.</w:t>
            </w:r>
          </w:p>
        </w:tc>
        <w:tc>
          <w:tcPr>
            <w:tcW w:w="3969" w:type="dxa"/>
            <w:tcMar>
              <w:top w:w="65" w:type="dxa"/>
              <w:left w:w="100" w:type="dxa"/>
              <w:bottom w:w="65" w:type="dxa"/>
              <w:right w:w="100" w:type="dxa"/>
            </w:tcMar>
          </w:tcPr>
          <w:p w14:paraId="38BFADB0" w14:textId="77777777" w:rsidR="00E667B1" w:rsidRDefault="007F11FA">
            <w:pPr>
              <w:spacing w:after="0"/>
            </w:pPr>
            <w:r>
              <w:rPr>
                <w:color w:val="203040"/>
                <w:sz w:val="16"/>
              </w:rPr>
              <w:t>Michele Putero (COMAU), Pier Raffaele Spena (CNR), Nicola Pedrocchi (CNR).</w:t>
            </w:r>
          </w:p>
        </w:tc>
      </w:tr>
      <w:tr w:rsidR="00E667B1" w14:paraId="11146F5D" w14:textId="77777777">
        <w:trPr>
          <w:jc w:val="center"/>
        </w:trPr>
        <w:tc>
          <w:tcPr>
            <w:tcW w:w="1757" w:type="dxa"/>
            <w:shd w:val="clear" w:color="auto" w:fill="F7F9FB"/>
            <w:tcMar>
              <w:top w:w="65" w:type="dxa"/>
              <w:left w:w="100" w:type="dxa"/>
              <w:bottom w:w="65" w:type="dxa"/>
              <w:right w:w="100" w:type="dxa"/>
            </w:tcMar>
          </w:tcPr>
          <w:p w14:paraId="6FE444C8" w14:textId="77777777" w:rsidR="00E667B1" w:rsidRDefault="007F11FA">
            <w:pPr>
              <w:spacing w:after="0"/>
            </w:pPr>
            <w:r>
              <w:rPr>
                <w:color w:val="203040"/>
                <w:sz w:val="16"/>
              </w:rPr>
              <w:t>28 April 2026</w:t>
            </w:r>
          </w:p>
        </w:tc>
        <w:tc>
          <w:tcPr>
            <w:tcW w:w="3402" w:type="dxa"/>
            <w:shd w:val="clear" w:color="auto" w:fill="F7F9FB"/>
            <w:tcMar>
              <w:top w:w="65" w:type="dxa"/>
              <w:left w:w="100" w:type="dxa"/>
              <w:bottom w:w="65" w:type="dxa"/>
              <w:right w:w="100" w:type="dxa"/>
            </w:tcMar>
          </w:tcPr>
          <w:p w14:paraId="232F945C" w14:textId="77777777" w:rsidR="00E667B1" w:rsidRDefault="007F11FA">
            <w:pPr>
              <w:spacing w:after="0"/>
            </w:pPr>
            <w:r>
              <w:rPr>
                <w:b/>
                <w:color w:val="203040"/>
                <w:sz w:val="16"/>
              </w:rPr>
              <w:t>Bi-weekly Technical Meeting</w:t>
            </w:r>
            <w:r>
              <w:rPr>
                <w:color w:val="203040"/>
                <w:sz w:val="16"/>
              </w:rPr>
              <w:br/>
              <w:t>Technical progress review; COMAU roadmap for AI integration into the new controller architecture; Gantt revision requests for Activities 3 and 6.</w:t>
            </w:r>
          </w:p>
        </w:tc>
        <w:tc>
          <w:tcPr>
            <w:tcW w:w="3969" w:type="dxa"/>
            <w:shd w:val="clear" w:color="auto" w:fill="F7F9FB"/>
            <w:tcMar>
              <w:top w:w="65" w:type="dxa"/>
              <w:left w:w="100" w:type="dxa"/>
              <w:bottom w:w="65" w:type="dxa"/>
              <w:right w:w="100" w:type="dxa"/>
            </w:tcMar>
          </w:tcPr>
          <w:p w14:paraId="735B4FE1" w14:textId="77777777" w:rsidR="00E667B1" w:rsidRDefault="007F11FA">
            <w:pPr>
              <w:spacing w:after="0"/>
            </w:pPr>
            <w:r>
              <w:rPr>
                <w:color w:val="203040"/>
                <w:sz w:val="16"/>
              </w:rPr>
              <w:t>Nicola Pedrocchi (CNR), Enrico Villagrossi (CNR), Adriano Scibilia (CNR), Marco Caimmi (CNR), Stefano Mottura (CNR), Gian Mauro Fontanta (CNR), Samuele Sandrini (CNR), Roberto Faust (CNR), Michele Ferrari (CNR), Damiano Morra (COMAU)</w:t>
            </w:r>
          </w:p>
        </w:tc>
      </w:tr>
    </w:tbl>
    <w:p w14:paraId="580109BE" w14:textId="7387E4B7" w:rsidR="00E667B1" w:rsidRDefault="007F11FA">
      <w:pPr>
        <w:pStyle w:val="Heading1"/>
      </w:pPr>
      <w:r>
        <w:t>2. Project Status</w:t>
      </w:r>
    </w:p>
    <w:p w14:paraId="3ADF9863" w14:textId="77777777" w:rsidR="00E667B1" w:rsidRDefault="007F11FA">
      <w:pPr>
        <w:pStyle w:val="Heading2"/>
      </w:pPr>
      <w:r>
        <w:t>Activity 1 – Scientific, Technical, and Project Management</w:t>
      </w:r>
    </w:p>
    <w:p w14:paraId="2EE5EA0E" w14:textId="77777777" w:rsidR="00E667B1" w:rsidRDefault="007F11FA">
      <w:r>
        <w:t>The administrative teams agreed on internal procedures for assigning and allocating costs on the reporting platform and reviewed the applicable funding rules.</w:t>
      </w:r>
    </w:p>
    <w:p w14:paraId="4550D7A1" w14:textId="77777777" w:rsidR="00E667B1" w:rsidRDefault="007F11FA">
      <w:r>
        <w:t>COMAU presented its updated technical requirements, referenced as Annex B_5. CNR requested approval of Gantt revisions for Activities 3 and 6; the decision was postponed to the first meeting in June.</w:t>
      </w:r>
    </w:p>
    <w:p w14:paraId="5E615AD3" w14:textId="03CC978C" w:rsidR="008948B7" w:rsidRDefault="008948B7">
      <w:r>
        <w:t>The Consortium approved the Project Handbook.</w:t>
      </w:r>
    </w:p>
    <w:p w14:paraId="496D0C56" w14:textId="68975986" w:rsidR="00E667B1" w:rsidRDefault="007F11FA">
      <w:pPr>
        <w:shd w:val="clear" w:color="auto" w:fill="D9EAF7"/>
        <w:spacing w:before="60"/>
        <w:ind w:left="283" w:right="170"/>
      </w:pPr>
      <w:r>
        <w:rPr>
          <w:b/>
          <w:color w:val="1F4E79"/>
          <w:sz w:val="17"/>
        </w:rPr>
        <w:t xml:space="preserve">Related monthly report: </w:t>
      </w:r>
      <w:r>
        <w:rPr>
          <w:i/>
          <w:color w:val="203040"/>
          <w:sz w:val="17"/>
        </w:rPr>
        <w:t>See the March 2026 report, Activity 1, for the earlier Gantt revision process</w:t>
      </w:r>
    </w:p>
    <w:p w14:paraId="777F18B4" w14:textId="77777777" w:rsidR="00E667B1" w:rsidRDefault="007F11FA">
      <w:pPr>
        <w:pStyle w:val="Heading2"/>
      </w:pPr>
      <w:r>
        <w:t>Activity 2 – Low-code programming exploiting generative and deliberative AI</w:t>
      </w:r>
    </w:p>
    <w:p w14:paraId="61E3ACF2" w14:textId="77777777" w:rsidR="00E667B1" w:rsidRDefault="007F11FA">
      <w:r>
        <w:t>The Activity 2 Leader, Samuele Sandrini (CNR), highlighted limitations in the original Plan4ARI approach in light of the first state-of-the-art analysis. The source records a comparison between GPT-4.1, associated with the project-submission period, and GPT-5.4 for planning a simple task. A roadmap was presented to complete the scientific-plan update by the end of July 2026 (M6), in line with the Gantt chart.</w:t>
      </w:r>
    </w:p>
    <w:p w14:paraId="0F156FDF" w14:textId="77777777" w:rsidR="00E667B1" w:rsidRDefault="007F11FA">
      <w:pPr>
        <w:pStyle w:val="Heading2"/>
      </w:pPr>
      <w:r>
        <w:t>Activity 3 – Sensing for Context Awareness</w:t>
      </w:r>
    </w:p>
    <w:p w14:paraId="447170E3" w14:textId="77777777" w:rsidR="00E667B1" w:rsidRDefault="007F11FA">
      <w:r>
        <w:t>Task A3.1 continued to report radar sensing performance substantially below expectations. Velocity information remained unavailable despite the data-sheet specification. A detailed study of the radar firmware remained planned.</w:t>
      </w:r>
    </w:p>
    <w:p w14:paraId="4F049B1E" w14:textId="0AF95025" w:rsidR="00E667B1" w:rsidRDefault="007F11FA">
      <w:pPr>
        <w:shd w:val="clear" w:color="auto" w:fill="D9EAF7"/>
        <w:spacing w:before="60"/>
        <w:ind w:left="283" w:right="170"/>
      </w:pPr>
      <w:r>
        <w:rPr>
          <w:b/>
          <w:color w:val="1F4E79"/>
          <w:sz w:val="17"/>
        </w:rPr>
        <w:t xml:space="preserve">Related monthly report: </w:t>
      </w:r>
      <w:r>
        <w:rPr>
          <w:i/>
          <w:color w:val="203040"/>
          <w:sz w:val="17"/>
        </w:rPr>
        <w:t xml:space="preserve">See the March 2026 report, Activity 3, for the initial issue </w:t>
      </w:r>
    </w:p>
    <w:p w14:paraId="7EBFA1E4" w14:textId="77777777" w:rsidR="00E667B1" w:rsidRDefault="007F11FA">
      <w:pPr>
        <w:pStyle w:val="Heading2"/>
      </w:pPr>
      <w:r>
        <w:t>Activity 4 – Local and Global Autonomous Motion Planning</w:t>
      </w:r>
    </w:p>
    <w:p w14:paraId="18B2996C" w14:textId="77777777" w:rsidR="00E667B1" w:rsidRDefault="007F11FA">
      <w:r>
        <w:t>Michele Ferrari (CNR) reported that the proposal should be updated to address two state-of-the-art developments: vision-language-action approaches, which were not mature for industrial application at the time of submission, and vectorised motion planners. A roadmap was presented to complete the scientific-plan update by the end of July 2026 (M6).</w:t>
      </w:r>
    </w:p>
    <w:p w14:paraId="16B485CD" w14:textId="77777777" w:rsidR="00E667B1" w:rsidRDefault="007F11FA">
      <w:r>
        <w:t>In parallel, CNR reported development of simple algorithms intended to support certifiable safety for online replanning through Control Barrier Functions (CBFs). This work anticipates Task A4.2. The consortium agreed that development should continue because the approach could provide a general safety layer for motion planners.</w:t>
      </w:r>
    </w:p>
    <w:p w14:paraId="4067AC38" w14:textId="77777777" w:rsidR="00E667B1" w:rsidRDefault="007F11FA">
      <w:pPr>
        <w:pStyle w:val="Heading2"/>
      </w:pPr>
      <w:r>
        <w:t>Activity 5 – Neural Robust Motion Control</w:t>
      </w:r>
    </w:p>
    <w:p w14:paraId="6446A846" w14:textId="77777777" w:rsidR="00E667B1" w:rsidRDefault="007F11FA">
      <w:r>
        <w:t xml:space="preserve">Roberto Fausi (CNR) and Adriano Scibilia (CNR) reported limitations in the original Activity 5 approach. They noted that Prescribed Performance Controllers (PPCs), proposed as a bridge between model-based and neural control, appeared </w:t>
      </w:r>
      <w:r>
        <w:lastRenderedPageBreak/>
        <w:t>less effective than barrier-function-based control approaches. They also noted that the proposal did not adequately describe calibration and registration procedures needed for well-tuned models.</w:t>
      </w:r>
    </w:p>
    <w:p w14:paraId="292592E9" w14:textId="08A2BAAF" w:rsidR="00E667B1" w:rsidRDefault="007F11FA" w:rsidP="00546759">
      <w:r>
        <w:t>Enrico Villagrossi, CNR lead for Activity 5, presented a roadmap to complete the scientific-plan update by the end of July 2026 (M6).</w:t>
      </w:r>
    </w:p>
    <w:p w14:paraId="2181B60F" w14:textId="77777777" w:rsidR="00E667B1" w:rsidRDefault="007F11FA">
      <w:pPr>
        <w:pStyle w:val="Heading2"/>
      </w:pPr>
      <w:r>
        <w:t>Activity 6 – Human-Robot Trustiness Evaluation and Assessment</w:t>
      </w:r>
    </w:p>
    <w:p w14:paraId="083226E2" w14:textId="77777777" w:rsidR="00E667B1" w:rsidRDefault="007F11FA">
      <w:r>
        <w:t>Stefano Mottura (CNR), Activity 6 Leader, reported the need to update the Activity 6 content in response to the state-of-the-art review. A roadmap was presented to complete the scientific-plan update by the end of July 2026 (M6).</w:t>
      </w:r>
    </w:p>
    <w:p w14:paraId="340D01EC" w14:textId="77777777" w:rsidR="00E667B1" w:rsidRDefault="007F11FA">
      <w:pPr>
        <w:pStyle w:val="Heading2"/>
      </w:pPr>
      <w:r>
        <w:t>Activity 7 – Targeted Demonstrator</w:t>
      </w:r>
    </w:p>
    <w:p w14:paraId="720F83A3" w14:textId="77777777" w:rsidR="00E667B1" w:rsidRDefault="007F11FA">
      <w:r>
        <w:t>COMAU continued to promote challenging demonstrators based on non-standard robotic solutions. Technical-feasibility analysis remained in progress.</w:t>
      </w:r>
    </w:p>
    <w:p w14:paraId="5839FA4D" w14:textId="4BB2A5E5" w:rsidR="00E667B1" w:rsidRDefault="007F11FA">
      <w:pPr>
        <w:shd w:val="clear" w:color="auto" w:fill="D9EAF7"/>
        <w:spacing w:before="60"/>
        <w:ind w:left="283" w:right="170"/>
      </w:pPr>
      <w:r>
        <w:rPr>
          <w:b/>
          <w:color w:val="1F4E79"/>
          <w:sz w:val="17"/>
        </w:rPr>
        <w:t xml:space="preserve">Related monthly report: </w:t>
      </w:r>
      <w:r>
        <w:rPr>
          <w:i/>
          <w:color w:val="203040"/>
          <w:sz w:val="17"/>
        </w:rPr>
        <w:t xml:space="preserve">See the March 2026 report, Activity 7, for the demonstrator-selection roadmap </w:t>
      </w:r>
    </w:p>
    <w:p w14:paraId="43444001" w14:textId="77777777" w:rsidR="00E667B1" w:rsidRDefault="007F11FA">
      <w:pPr>
        <w:pStyle w:val="Heading2"/>
      </w:pPr>
      <w:r>
        <w:t>Activity 8 – Communication and Dissemination</w:t>
      </w:r>
    </w:p>
    <w:p w14:paraId="2C582CA6" w14:textId="77777777" w:rsidR="00E667B1" w:rsidRDefault="007F11FA">
      <w:r>
        <w:t>Nicola Pedrocchi (CNR) and Damiano Morra (COMAU) agreed to escalate the need to start dissemination activities to COMAU leadership.</w:t>
      </w:r>
    </w:p>
    <w:p w14:paraId="4B87643D" w14:textId="77777777" w:rsidR="00E667B1" w:rsidRDefault="007F11FA">
      <w:pPr>
        <w:pStyle w:val="Heading1"/>
      </w:pPr>
      <w:r>
        <w:t>3. Monthly Highlights and Status Summary</w:t>
      </w:r>
    </w:p>
    <w:p w14:paraId="241D57B2" w14:textId="77777777" w:rsidR="00E667B1" w:rsidRDefault="007F11FA">
      <w:pPr>
        <w:spacing w:after="40"/>
      </w:pPr>
      <w:r>
        <w:rPr>
          <w:b/>
          <w:color w:val="203040"/>
          <w:sz w:val="20"/>
        </w:rPr>
        <w:t>Most important events</w:t>
      </w:r>
    </w:p>
    <w:p w14:paraId="14BA11D9" w14:textId="77777777" w:rsidR="00E667B1" w:rsidRDefault="007F11FA">
      <w:pPr>
        <w:pStyle w:val="ListBullet"/>
        <w:spacing w:after="40"/>
        <w:ind w:left="340" w:hanging="170"/>
      </w:pPr>
      <w:r>
        <w:t>Administrative reporting and cost-allocation procedures were agreed.</w:t>
      </w:r>
    </w:p>
    <w:p w14:paraId="3BB026F3" w14:textId="4AFE2B2B" w:rsidR="000B006E" w:rsidRDefault="000B006E">
      <w:pPr>
        <w:pStyle w:val="ListBullet"/>
        <w:spacing w:after="40"/>
        <w:ind w:left="340" w:hanging="170"/>
      </w:pPr>
      <w:r>
        <w:t xml:space="preserve">The project Handbook </w:t>
      </w:r>
      <w:r w:rsidR="003C258D">
        <w:t>has</w:t>
      </w:r>
      <w:r>
        <w:t xml:space="preserve"> been approved</w:t>
      </w:r>
    </w:p>
    <w:p w14:paraId="414B5E91" w14:textId="77777777" w:rsidR="00E667B1" w:rsidRDefault="007F11FA">
      <w:pPr>
        <w:pStyle w:val="ListBullet"/>
        <w:spacing w:after="40"/>
        <w:ind w:left="340" w:hanging="170"/>
      </w:pPr>
      <w:r>
        <w:t>COMAU issued updated technical requirements and its AI-integration roadmap.</w:t>
      </w:r>
    </w:p>
    <w:p w14:paraId="0377A504" w14:textId="77777777" w:rsidR="00E667B1" w:rsidRDefault="007F11FA">
      <w:pPr>
        <w:pStyle w:val="ListBullet"/>
        <w:spacing w:after="40"/>
        <w:ind w:left="340" w:hanging="170"/>
      </w:pPr>
      <w:r>
        <w:t>Activities 2, 4, 5 and 6 initiated substantial scientific-plan revisions based on updated state-of-the-art reviews.</w:t>
      </w:r>
    </w:p>
    <w:p w14:paraId="200230BE" w14:textId="6DE20F89" w:rsidR="00E667B1" w:rsidRDefault="007F11FA">
      <w:pPr>
        <w:pStyle w:val="ListBullet"/>
        <w:spacing w:after="40"/>
        <w:ind w:left="340" w:hanging="170"/>
      </w:pPr>
      <w:r>
        <w:t>Activity 4</w:t>
      </w:r>
      <w:r w:rsidR="003C258D">
        <w:t>.2</w:t>
      </w:r>
      <w:r>
        <w:t xml:space="preserve"> began an early CBF-based safety layer for online replanning.</w:t>
      </w:r>
    </w:p>
    <w:p w14:paraId="0F14BBE6" w14:textId="77777777" w:rsidR="00E667B1" w:rsidRDefault="007F11FA">
      <w:pPr>
        <w:pStyle w:val="ListBullet"/>
        <w:spacing w:after="40"/>
        <w:ind w:left="340" w:hanging="170"/>
      </w:pPr>
      <w:r>
        <w:t>The Activity 3 radar issue remained unresolved.</w:t>
      </w:r>
    </w:p>
    <w:p w14:paraId="297915FC" w14:textId="51672F86" w:rsidR="00E667B1" w:rsidRDefault="007F11FA">
      <w:pPr>
        <w:pStyle w:val="ListBullet"/>
        <w:spacing w:after="40"/>
        <w:ind w:left="340" w:hanging="170"/>
      </w:pPr>
      <w:r>
        <w:t xml:space="preserve">Dissemination activity </w:t>
      </w:r>
      <w:r w:rsidR="00127BE1">
        <w:t>requires</w:t>
      </w:r>
      <w:r>
        <w:t xml:space="preserve"> escalation.</w:t>
      </w:r>
    </w:p>
    <w:p w14:paraId="331A8E4D" w14:textId="77777777" w:rsidR="00546759" w:rsidRDefault="00546759" w:rsidP="00546759">
      <w:pPr>
        <w:pStyle w:val="ListBullet"/>
        <w:numPr>
          <w:ilvl w:val="0"/>
          <w:numId w:val="0"/>
        </w:numPr>
        <w:spacing w:after="40"/>
        <w:ind w:left="340"/>
      </w:pPr>
    </w:p>
    <w:tbl>
      <w:tblPr>
        <w:tblStyle w:val="TableGrid"/>
        <w:tblW w:w="0" w:type="auto"/>
        <w:jc w:val="center"/>
        <w:tblLayout w:type="fixed"/>
        <w:tblLook w:val="04A0" w:firstRow="1" w:lastRow="0" w:firstColumn="1" w:lastColumn="0" w:noHBand="0" w:noVBand="1"/>
      </w:tblPr>
      <w:tblGrid>
        <w:gridCol w:w="2438"/>
        <w:gridCol w:w="6690"/>
      </w:tblGrid>
      <w:tr w:rsidR="00E667B1" w14:paraId="646012CE" w14:textId="77777777">
        <w:trPr>
          <w:jc w:val="center"/>
        </w:trPr>
        <w:tc>
          <w:tcPr>
            <w:tcW w:w="2438" w:type="dxa"/>
            <w:shd w:val="clear" w:color="auto" w:fill="1F4E79"/>
            <w:tcMar>
              <w:top w:w="80" w:type="dxa"/>
              <w:left w:w="100" w:type="dxa"/>
              <w:bottom w:w="80" w:type="dxa"/>
              <w:right w:w="100" w:type="dxa"/>
            </w:tcMar>
          </w:tcPr>
          <w:p w14:paraId="254D3D90" w14:textId="77777777" w:rsidR="00E667B1" w:rsidRDefault="007F11FA">
            <w:pPr>
              <w:spacing w:after="0"/>
            </w:pPr>
            <w:r>
              <w:rPr>
                <w:b/>
                <w:color w:val="FFFFFF"/>
                <w:sz w:val="17"/>
              </w:rPr>
              <w:t>Overall status</w:t>
            </w:r>
          </w:p>
        </w:tc>
        <w:tc>
          <w:tcPr>
            <w:tcW w:w="6690" w:type="dxa"/>
            <w:shd w:val="clear" w:color="auto" w:fill="F7F9FB"/>
            <w:tcMar>
              <w:top w:w="80" w:type="dxa"/>
              <w:left w:w="100" w:type="dxa"/>
              <w:bottom w:w="80" w:type="dxa"/>
              <w:right w:w="100" w:type="dxa"/>
            </w:tcMar>
          </w:tcPr>
          <w:p w14:paraId="1F3F8F10" w14:textId="77777777" w:rsidR="00E667B1" w:rsidRDefault="007F11FA">
            <w:pPr>
              <w:spacing w:after="0"/>
            </w:pPr>
            <w:r>
              <w:rPr>
                <w:color w:val="203040"/>
                <w:sz w:val="17"/>
              </w:rPr>
              <w:t>The third project month proceeded broadly as expected. No project-level risk was raised, while several scientific-plan updates and a limited number of technical issues required follow-up.</w:t>
            </w:r>
          </w:p>
        </w:tc>
      </w:tr>
      <w:tr w:rsidR="00E667B1" w14:paraId="0D948AB1" w14:textId="77777777">
        <w:trPr>
          <w:jc w:val="center"/>
        </w:trPr>
        <w:tc>
          <w:tcPr>
            <w:tcW w:w="2438" w:type="dxa"/>
            <w:shd w:val="clear" w:color="auto" w:fill="203040"/>
            <w:tcMar>
              <w:top w:w="80" w:type="dxa"/>
              <w:left w:w="100" w:type="dxa"/>
              <w:bottom w:w="80" w:type="dxa"/>
              <w:right w:w="100" w:type="dxa"/>
            </w:tcMar>
          </w:tcPr>
          <w:p w14:paraId="54BE594D" w14:textId="77777777" w:rsidR="00E667B1" w:rsidRDefault="007F11FA">
            <w:pPr>
              <w:spacing w:after="0"/>
            </w:pPr>
            <w:r>
              <w:rPr>
                <w:b/>
                <w:color w:val="FFFFFF"/>
                <w:sz w:val="17"/>
              </w:rPr>
              <w:t>Issues / points requiring attention</w:t>
            </w:r>
          </w:p>
        </w:tc>
        <w:tc>
          <w:tcPr>
            <w:tcW w:w="6690" w:type="dxa"/>
            <w:shd w:val="clear" w:color="auto" w:fill="F7F9FB"/>
            <w:tcMar>
              <w:top w:w="80" w:type="dxa"/>
              <w:left w:w="100" w:type="dxa"/>
              <w:bottom w:w="80" w:type="dxa"/>
              <w:right w:w="100" w:type="dxa"/>
            </w:tcMar>
          </w:tcPr>
          <w:p w14:paraId="2574D177" w14:textId="77777777" w:rsidR="00E667B1" w:rsidRDefault="007F11FA">
            <w:pPr>
              <w:spacing w:after="0"/>
            </w:pPr>
            <w:r>
              <w:rPr>
                <w:color w:val="203040"/>
                <w:sz w:val="17"/>
              </w:rPr>
              <w:t>Persistent radar limitations in Task A3.1; pending approval of Gantt revisions for Activities 3 and 6; need to accelerate dissemination.</w:t>
            </w:r>
          </w:p>
        </w:tc>
      </w:tr>
    </w:tbl>
    <w:p w14:paraId="16994E38" w14:textId="77777777" w:rsidR="00E667B1" w:rsidRDefault="00E667B1"/>
    <w:sectPr w:rsidR="00E667B1" w:rsidSect="00034616">
      <w:pgSz w:w="12240" w:h="15840"/>
      <w:pgMar w:top="1020" w:right="1134" w:bottom="964"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178B4" w14:textId="77777777" w:rsidR="000145F4" w:rsidRDefault="000145F4">
      <w:pPr>
        <w:spacing w:after="0" w:line="240" w:lineRule="auto"/>
      </w:pPr>
      <w:r>
        <w:separator/>
      </w:r>
    </w:p>
  </w:endnote>
  <w:endnote w:type="continuationSeparator" w:id="0">
    <w:p w14:paraId="51140BC8" w14:textId="77777777" w:rsidR="000145F4" w:rsidRDefault="000145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EF941" w14:textId="77777777" w:rsidR="000145F4" w:rsidRDefault="000145F4">
      <w:pPr>
        <w:spacing w:after="0" w:line="240" w:lineRule="auto"/>
      </w:pPr>
      <w:r>
        <w:separator/>
      </w:r>
    </w:p>
  </w:footnote>
  <w:footnote w:type="continuationSeparator" w:id="0">
    <w:p w14:paraId="279B91F1" w14:textId="77777777" w:rsidR="000145F4" w:rsidRDefault="000145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6158365">
    <w:abstractNumId w:val="8"/>
  </w:num>
  <w:num w:numId="2" w16cid:durableId="660937445">
    <w:abstractNumId w:val="6"/>
  </w:num>
  <w:num w:numId="3" w16cid:durableId="1773626727">
    <w:abstractNumId w:val="5"/>
  </w:num>
  <w:num w:numId="4" w16cid:durableId="894896781">
    <w:abstractNumId w:val="4"/>
  </w:num>
  <w:num w:numId="5" w16cid:durableId="1446466022">
    <w:abstractNumId w:val="7"/>
  </w:num>
  <w:num w:numId="6" w16cid:durableId="723798998">
    <w:abstractNumId w:val="3"/>
  </w:num>
  <w:num w:numId="7" w16cid:durableId="1744911620">
    <w:abstractNumId w:val="2"/>
  </w:num>
  <w:num w:numId="8" w16cid:durableId="1470440223">
    <w:abstractNumId w:val="1"/>
  </w:num>
  <w:num w:numId="9" w16cid:durableId="1347514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5F4"/>
    <w:rsid w:val="00034616"/>
    <w:rsid w:val="0006063C"/>
    <w:rsid w:val="000B006E"/>
    <w:rsid w:val="00127BE1"/>
    <w:rsid w:val="0015074B"/>
    <w:rsid w:val="00232C5E"/>
    <w:rsid w:val="00233ED3"/>
    <w:rsid w:val="0029639D"/>
    <w:rsid w:val="003232D8"/>
    <w:rsid w:val="00326F90"/>
    <w:rsid w:val="003C258D"/>
    <w:rsid w:val="00546759"/>
    <w:rsid w:val="007F11FA"/>
    <w:rsid w:val="008948B7"/>
    <w:rsid w:val="00A240BF"/>
    <w:rsid w:val="00AA1D8D"/>
    <w:rsid w:val="00B47730"/>
    <w:rsid w:val="00BE09F7"/>
    <w:rsid w:val="00CA5502"/>
    <w:rsid w:val="00CB0664"/>
    <w:rsid w:val="00DF64BA"/>
    <w:rsid w:val="00E667B1"/>
    <w:rsid w:val="00F66D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30"/>
  <w15:docId w15:val="{621A54C1-69A9-4162-B59F-AA8FF63EC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03040"/>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rossReferenceNote">
    <w:name w:val="Cross Reference Note"/>
    <w:rPr>
      <w:rFonts w:ascii="Aptos" w:hAnsi="Aptos"/>
      <w:i/>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319B0B20B3DE41BEF41CFACEAC753C" ma:contentTypeVersion="10" ma:contentTypeDescription="Create a new document." ma:contentTypeScope="" ma:versionID="9f20efac135d8cfdd2fa348af50dfbde">
  <xsd:schema xmlns:xsd="http://www.w3.org/2001/XMLSchema" xmlns:xs="http://www.w3.org/2001/XMLSchema" xmlns:p="http://schemas.microsoft.com/office/2006/metadata/properties" xmlns:ns2="1def4e5e-247f-4a89-b7e5-1968c509544b" xmlns:ns3="d533452b-9663-4522-a270-ae8d05891bde" targetNamespace="http://schemas.microsoft.com/office/2006/metadata/properties" ma:root="true" ma:fieldsID="79fea841e550a97224ba8a6d213143fe" ns2:_="" ns3:_="">
    <xsd:import namespace="1def4e5e-247f-4a89-b7e5-1968c509544b"/>
    <xsd:import namespace="d533452b-9663-4522-a270-ae8d05891b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f4e5e-247f-4a89-b7e5-1968c5095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3452b-9663-4522-a270-ae8d05891b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ffd63e-dad7-4922-9072-1c4c28cd6dac}" ma:internalName="TaxCatchAll" ma:showField="CatchAllData" ma:web="d533452b-9663-4522-a270-ae8d05891b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533452b-9663-4522-a270-ae8d05891bde" xsi:nil="true"/>
    <lcf76f155ced4ddcb4097134ff3c332f xmlns="1def4e5e-247f-4a89-b7e5-1968c509544b">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6B9149-1FA0-43F2-AA3D-01D03FF1E8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ef4e5e-247f-4a89-b7e5-1968c509544b"/>
    <ds:schemaRef ds:uri="d533452b-9663-4522-a270-ae8d05891b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31A2A3-5DDB-4580-926E-7E48A69E3C63}">
  <ds:schemaRefs>
    <ds:schemaRef ds:uri="http://schemas.microsoft.com/office/2006/metadata/properties"/>
    <ds:schemaRef ds:uri="http://schemas.microsoft.com/office/infopath/2007/PartnerControls"/>
    <ds:schemaRef ds:uri="d533452b-9663-4522-a270-ae8d05891bde"/>
    <ds:schemaRef ds:uri="1def4e5e-247f-4a89-b7e5-1968c509544b"/>
  </ds:schemaRefs>
</ds:datastoreItem>
</file>

<file path=customXml/itemProps3.xml><?xml version="1.0" encoding="utf-8"?>
<ds:datastoreItem xmlns:ds="http://schemas.openxmlformats.org/officeDocument/2006/customXml" ds:itemID="{4F6FDF27-71EF-4FA2-962C-7D1EFB52E4B1}">
  <ds:schemaRefs>
    <ds:schemaRef ds:uri="http://schemas.openxmlformats.org/officeDocument/2006/bibliography"/>
  </ds:schemaRefs>
</ds:datastoreItem>
</file>

<file path=customXml/itemProps4.xml><?xml version="1.0" encoding="utf-8"?>
<ds:datastoreItem xmlns:ds="http://schemas.openxmlformats.org/officeDocument/2006/customXml" ds:itemID="{05A49BE1-5FCF-40E6-9539-04A7B6DC46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871</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NICOLA PEDROCCHI</cp:lastModifiedBy>
  <cp:revision>9</cp:revision>
  <dcterms:created xsi:type="dcterms:W3CDTF">2026-07-22T22:28:00Z</dcterms:created>
  <dcterms:modified xsi:type="dcterms:W3CDTF">2026-07-22T22:41:00Z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0x01010093319B0B20B3DE41BEF41CFACEAC753C</vt:lpwstr>
  </property>
</Properties>
</file>