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eastAsia="Aptos Display"/>
          <w:b/>
          <w:color w:val="203040"/>
          <w:sz w:val="28"/>
        </w:rPr>
        <w:t>PLAN4ARI</w:t>
      </w:r>
    </w:p>
    <w:p>
      <w:pPr>
        <w:pStyle w:val="Title"/>
        <w:spacing w:after="40"/>
        <w:jc w:val="center"/>
      </w:pPr>
      <w:r>
        <w:t>Monthly Status Report</w:t>
      </w:r>
    </w:p>
    <w:p>
      <w:pPr>
        <w:spacing w:after="280"/>
        <w:jc w:val="center"/>
      </w:pPr>
      <w:r>
        <w:rPr>
          <w:rFonts w:ascii="Aptos Display" w:hAnsi="Aptos Display" w:eastAsia="Aptos Display"/>
          <w:b/>
          <w:color w:val="203040"/>
          <w:sz w:val="36"/>
        </w:rPr>
        <w:t>August 2026</w:t>
      </w:r>
    </w:p>
    <w:tbl>
      <w:tblPr>
        <w:tblW w:type="auto" w:w="0"/>
        <w:jc w:val="center"/>
        <w:tblLayout w:type="fixed"/>
        <w:tblLook w:firstColumn="1" w:firstRow="1" w:lastColumn="0" w:lastRow="0" w:noHBand="0" w:noVBand="1" w:val="04A0"/>
      </w:tblPr>
      <w:tblGrid>
        <w:gridCol w:w="4986"/>
        <w:gridCol w:w="4986"/>
      </w:tblGrid>
      <w:tr>
        <w:tc>
          <w:tcPr>
            <w:tcW w:type="dxa" w:w="2381"/>
            <w:shd w:fill="1F4E79"/>
            <w:tcMar>
              <w:top w:w="80" w:type="dxa"/>
              <w:start w:w="100" w:type="dxa"/>
              <w:bottom w:w="80" w:type="dxa"/>
              <w:end w:w="100" w:type="dxa"/>
            </w:tcMar>
            <w:vAlign w:val="center"/>
          </w:tcPr>
          <w:p>
            <w:pPr>
              <w:spacing w:after="0"/>
            </w:pPr>
            <w:r>
              <w:rPr>
                <w:rFonts w:ascii="Aptos" w:hAnsi="Aptos" w:eastAsia="Aptos"/>
                <w:b/>
                <w:color w:val="FFFFFF"/>
                <w:sz w:val="18"/>
              </w:rPr>
              <w:t>Project</w:t>
            </w:r>
          </w:p>
        </w:tc>
        <w:tc>
          <w:tcPr>
            <w:tcW w:type="dxa" w:w="6520"/>
            <w:shd w:fill="F7F9FB"/>
            <w:tcMar>
              <w:top w:w="80" w:type="dxa"/>
              <w:start w:w="100" w:type="dxa"/>
              <w:bottom w:w="80" w:type="dxa"/>
              <w:end w:w="100" w:type="dxa"/>
            </w:tcMar>
            <w:vAlign w:val="center"/>
          </w:tcPr>
          <w:p>
            <w:pPr>
              <w:spacing w:after="0"/>
            </w:pPr>
            <w:r>
              <w:rPr>
                <w:rFonts w:ascii="Aptos" w:hAnsi="Aptos" w:eastAsia="Aptos"/>
                <w:color w:val="203040"/>
                <w:sz w:val="18"/>
              </w:rPr>
              <w:t>Planning for Artificial Robotic Intelligence and Beyond</w:t>
            </w:r>
          </w:p>
        </w:tc>
      </w:tr>
      <w:tr>
        <w:tc>
          <w:tcPr>
            <w:tcW w:type="dxa" w:w="2381"/>
            <w:shd w:fill="1F4E79"/>
            <w:tcMar>
              <w:top w:w="80" w:type="dxa"/>
              <w:start w:w="100" w:type="dxa"/>
              <w:bottom w:w="80" w:type="dxa"/>
              <w:end w:w="100" w:type="dxa"/>
            </w:tcMar>
            <w:vAlign w:val="center"/>
          </w:tcPr>
          <w:p>
            <w:pPr>
              <w:spacing w:after="0"/>
            </w:pPr>
            <w:r>
              <w:rPr>
                <w:rFonts w:ascii="Aptos" w:hAnsi="Aptos" w:eastAsia="Aptos"/>
                <w:b/>
                <w:color w:val="FFFFFF"/>
                <w:sz w:val="18"/>
              </w:rPr>
              <w:t>Deliverable</w:t>
            </w:r>
          </w:p>
        </w:tc>
        <w:tc>
          <w:tcPr>
            <w:tcW w:type="dxa" w:w="6520"/>
            <w:shd w:fill="FFFFFF"/>
            <w:tcMar>
              <w:top w:w="80" w:type="dxa"/>
              <w:start w:w="100" w:type="dxa"/>
              <w:bottom w:w="80" w:type="dxa"/>
              <w:end w:w="100" w:type="dxa"/>
            </w:tcMar>
            <w:vAlign w:val="center"/>
          </w:tcPr>
          <w:p>
            <w:pPr>
              <w:spacing w:after="0"/>
            </w:pPr>
            <w:r>
              <w:rPr>
                <w:rFonts w:ascii="Aptos" w:hAnsi="Aptos" w:eastAsia="Aptos"/>
                <w:color w:val="203040"/>
                <w:sz w:val="18"/>
              </w:rPr>
              <w:t>D1.1 – Project Management, Quality, and Coordination</w:t>
            </w:r>
          </w:p>
        </w:tc>
      </w:tr>
      <w:tr>
        <w:tc>
          <w:tcPr>
            <w:tcW w:type="dxa" w:w="2381"/>
            <w:shd w:fill="1F4E79"/>
            <w:tcMar>
              <w:top w:w="80" w:type="dxa"/>
              <w:start w:w="100" w:type="dxa"/>
              <w:bottom w:w="80" w:type="dxa"/>
              <w:end w:w="100" w:type="dxa"/>
            </w:tcMar>
            <w:vAlign w:val="center"/>
          </w:tcPr>
          <w:p>
            <w:pPr>
              <w:spacing w:after="0"/>
            </w:pPr>
            <w:r>
              <w:rPr>
                <w:rFonts w:ascii="Aptos" w:hAnsi="Aptos" w:eastAsia="Aptos"/>
                <w:b/>
                <w:color w:val="FFFFFF"/>
                <w:sz w:val="18"/>
              </w:rPr>
              <w:t>Reporting period</w:t>
            </w:r>
          </w:p>
        </w:tc>
        <w:tc>
          <w:tcPr>
            <w:tcW w:type="dxa" w:w="6520"/>
            <w:shd w:fill="F7F9FB"/>
            <w:tcMar>
              <w:top w:w="80" w:type="dxa"/>
              <w:start w:w="100" w:type="dxa"/>
              <w:bottom w:w="80" w:type="dxa"/>
              <w:end w:w="100" w:type="dxa"/>
            </w:tcMar>
            <w:vAlign w:val="center"/>
          </w:tcPr>
          <w:p>
            <w:pPr>
              <w:spacing w:after="0"/>
            </w:pPr>
            <w:r>
              <w:rPr>
                <w:rFonts w:ascii="Aptos" w:hAnsi="Aptos" w:eastAsia="Aptos"/>
                <w:color w:val="203040"/>
                <w:sz w:val="18"/>
              </w:rPr>
              <w:t>August 2026 (M7)</w:t>
            </w:r>
          </w:p>
        </w:tc>
      </w:tr>
      <w:tr>
        <w:tc>
          <w:tcPr>
            <w:tcW w:type="dxa" w:w="2381"/>
            <w:shd w:fill="1F4E79"/>
            <w:tcMar>
              <w:top w:w="80" w:type="dxa"/>
              <w:start w:w="100" w:type="dxa"/>
              <w:bottom w:w="80" w:type="dxa"/>
              <w:end w:w="100" w:type="dxa"/>
            </w:tcMar>
            <w:vAlign w:val="center"/>
          </w:tcPr>
          <w:p>
            <w:pPr>
              <w:spacing w:after="0"/>
            </w:pPr>
            <w:r>
              <w:rPr>
                <w:rFonts w:ascii="Aptos" w:hAnsi="Aptos" w:eastAsia="Aptos"/>
                <w:b/>
                <w:color w:val="FFFFFF"/>
                <w:sz w:val="18"/>
              </w:rPr>
              <w:t>Lead beneficiary</w:t>
            </w:r>
          </w:p>
        </w:tc>
        <w:tc>
          <w:tcPr>
            <w:tcW w:type="dxa" w:w="6520"/>
            <w:shd w:fill="FFFFFF"/>
            <w:tcMar>
              <w:top w:w="80" w:type="dxa"/>
              <w:start w:w="100" w:type="dxa"/>
              <w:bottom w:w="80" w:type="dxa"/>
              <w:end w:w="100" w:type="dxa"/>
            </w:tcMar>
            <w:vAlign w:val="center"/>
          </w:tcPr>
          <w:p>
            <w:pPr>
              <w:spacing w:after="0"/>
            </w:pPr>
            <w:r>
              <w:rPr>
                <w:rFonts w:ascii="Aptos" w:hAnsi="Aptos" w:eastAsia="Aptos"/>
                <w:color w:val="203040"/>
                <w:sz w:val="18"/>
              </w:rPr>
              <w:t>CNR</w:t>
            </w:r>
          </w:p>
        </w:tc>
      </w:tr>
      <w:tr>
        <w:tc>
          <w:tcPr>
            <w:tcW w:type="dxa" w:w="2381"/>
            <w:shd w:fill="1F4E79"/>
            <w:tcMar>
              <w:top w:w="80" w:type="dxa"/>
              <w:start w:w="100" w:type="dxa"/>
              <w:bottom w:w="80" w:type="dxa"/>
              <w:end w:w="100" w:type="dxa"/>
            </w:tcMar>
            <w:vAlign w:val="center"/>
          </w:tcPr>
          <w:p>
            <w:pPr>
              <w:spacing w:after="0"/>
            </w:pPr>
            <w:r>
              <w:rPr>
                <w:rFonts w:ascii="Aptos" w:hAnsi="Aptos" w:eastAsia="Aptos"/>
                <w:b/>
                <w:color w:val="FFFFFF"/>
                <w:sz w:val="18"/>
              </w:rPr>
              <w:t>Dissemination level</w:t>
            </w:r>
          </w:p>
        </w:tc>
        <w:tc>
          <w:tcPr>
            <w:tcW w:type="dxa" w:w="6520"/>
            <w:shd w:fill="F7F9FB"/>
            <w:tcMar>
              <w:top w:w="80" w:type="dxa"/>
              <w:start w:w="100" w:type="dxa"/>
              <w:bottom w:w="80" w:type="dxa"/>
              <w:end w:w="100" w:type="dxa"/>
            </w:tcMar>
            <w:vAlign w:val="center"/>
          </w:tcPr>
          <w:p>
            <w:pPr>
              <w:spacing w:after="0"/>
            </w:pPr>
            <w:r>
              <w:rPr>
                <w:rFonts w:ascii="Aptos" w:hAnsi="Aptos" w:eastAsia="Aptos"/>
                <w:color w:val="203040"/>
                <w:sz w:val="18"/>
              </w:rPr>
              <w:t>Restricted</w:t>
            </w:r>
          </w:p>
        </w:tc>
      </w:tr>
      <w:tr>
        <w:tc>
          <w:tcPr>
            <w:tcW w:type="dxa" w:w="2381"/>
            <w:shd w:fill="1F4E79"/>
            <w:tcMar>
              <w:top w:w="80" w:type="dxa"/>
              <w:start w:w="100" w:type="dxa"/>
              <w:bottom w:w="80" w:type="dxa"/>
              <w:end w:w="100" w:type="dxa"/>
            </w:tcMar>
            <w:vAlign w:val="center"/>
          </w:tcPr>
          <w:p>
            <w:pPr>
              <w:spacing w:after="0"/>
            </w:pPr>
            <w:r>
              <w:rPr>
                <w:rFonts w:ascii="Aptos" w:hAnsi="Aptos" w:eastAsia="Aptos"/>
                <w:b/>
                <w:color w:val="FFFFFF"/>
                <w:sz w:val="18"/>
              </w:rPr>
              <w:t>WBS basis</w:t>
            </w:r>
          </w:p>
        </w:tc>
        <w:tc>
          <w:tcPr>
            <w:tcW w:type="dxa" w:w="6520"/>
            <w:shd w:fill="FFFFFF"/>
            <w:tcMar>
              <w:top w:w="80" w:type="dxa"/>
              <w:start w:w="100" w:type="dxa"/>
              <w:bottom w:w="80" w:type="dxa"/>
              <w:end w:w="100" w:type="dxa"/>
            </w:tcMar>
            <w:vAlign w:val="center"/>
          </w:tcPr>
          <w:p>
            <w:pPr>
              <w:spacing w:after="0"/>
            </w:pPr>
            <w:r>
              <w:rPr>
                <w:rFonts w:ascii="Aptos" w:hAnsi="Aptos" w:eastAsia="Aptos"/>
                <w:color w:val="203040"/>
                <w:sz w:val="18"/>
              </w:rPr>
              <w:t>Official Activity structure in Plan4ARI_v3_capittolato_definitivo</w:t>
            </w:r>
          </w:p>
        </w:tc>
      </w:tr>
    </w:tbl>
    <w:p/>
    <w:p>
      <w:pPr>
        <w:spacing w:before="40" w:after="0"/>
        <w:ind w:left="567" w:right="567"/>
      </w:pPr>
      <w:r>
        <w:rPr>
          <w:rFonts w:ascii="Aptos" w:hAnsi="Aptos" w:eastAsia="Aptos"/>
          <w:i/>
          <w:color w:val="666666"/>
          <w:sz w:val="17"/>
        </w:rPr>
        <w:t>Editorial approach: the source content has been reorganised by Work Breakdown Structure Activity and rewritten in clear English. No technical conclusion has been added. Incomplete or inconsistent source entries are explicitly identified.</w:t>
      </w:r>
    </w:p>
    <w:p>
      <w:r>
        <w:br w:type="page"/>
      </w:r>
    </w:p>
    <w:p>
      <w:pPr>
        <w:pStyle w:val="Heading1"/>
      </w:pPr>
      <w:r>
        <w:t>1. Meetings Performed</w:t>
      </w:r>
    </w:p>
    <w:p>
      <w:pPr>
        <w:spacing w:after="140"/>
      </w:pPr>
      <w:r>
        <w:t>No relevant meetings were recorded because most team members were on seasonal leave.</w:t>
      </w:r>
    </w:p>
    <w:p>
      <w:pPr>
        <w:pStyle w:val="Heading1"/>
      </w:pPr>
      <w:r>
        <w:t>2. Project Status by WBS Activity</w:t>
      </w:r>
    </w:p>
    <w:p>
      <w:pPr>
        <w:pStyle w:val="Heading2"/>
      </w:pPr>
      <w:r>
        <w:t>Activity 5 – Neural Robust Motion Control</w:t>
      </w:r>
    </w:p>
    <w:p>
      <w:pPr>
        <w:keepLines w:val="0"/>
      </w:pPr>
      <w:r>
        <w:t>A technical update was recorded on the neural control architecture, led by Enrico Villagrossi.</w:t>
      </w:r>
    </w:p>
    <w:p>
      <w:pPr>
        <w:keepLines w:val="0"/>
      </w:pPr>
      <w:r>
        <w:t>The source also records a second item concerning “the evaluation of the statistics in the adoption of different …”, led by Enrico Villagrossi, but the sentence is incomplete. No missing technical detail has been inferred or added.</w:t>
      </w:r>
    </w:p>
    <w:p>
      <w:pPr>
        <w:spacing w:before="60" w:after="100"/>
        <w:ind w:left="283" w:right="170"/>
        <w:shd w:fill="D9EAF7"/>
      </w:pPr>
      <w:r>
        <w:rPr>
          <w:rFonts w:ascii="Aptos" w:hAnsi="Aptos" w:eastAsia="Aptos"/>
          <w:b/>
          <w:color w:val="1F4E79"/>
          <w:sz w:val="17"/>
        </w:rPr>
        <w:t xml:space="preserve">Related monthly report: </w:t>
      </w:r>
      <w:r>
        <w:rPr>
          <w:rFonts w:ascii="Aptos" w:hAnsi="Aptos" w:eastAsia="Aptos"/>
          <w:i/>
          <w:color w:val="203040"/>
          <w:sz w:val="17"/>
        </w:rPr>
        <w:t>See the April 2026 report, Activity 5, for the last complete technical discussion and the July 2026 report, Activity 5, for the D5.1 progress status.</w:t>
      </w:r>
    </w:p>
    <w:p>
      <w:pPr>
        <w:spacing w:before="100"/>
      </w:pPr>
      <w:r>
        <w:rPr>
          <w:rFonts w:ascii="Aptos" w:hAnsi="Aptos" w:eastAsia="Aptos"/>
          <w:b/>
          <w:color w:val="666666"/>
          <w:sz w:val="17"/>
        </w:rPr>
        <w:t xml:space="preserve">Activities without a specific source entry this month: </w:t>
      </w:r>
      <w:r>
        <w:rPr>
          <w:rFonts w:ascii="Aptos" w:hAnsi="Aptos" w:eastAsia="Aptos"/>
          <w:color w:val="666666"/>
          <w:sz w:val="17"/>
        </w:rPr>
        <w:t>Activity 1, Activity 2, Activity 3, Activity 4, Activity 6, Activity 7, Activity 8.</w:t>
      </w:r>
    </w:p>
    <w:p>
      <w:pPr>
        <w:pStyle w:val="Heading1"/>
      </w:pPr>
      <w:r>
        <w:t>3. Monthly Highlights and Status Summary</w:t>
      </w:r>
    </w:p>
    <w:p>
      <w:pPr>
        <w:spacing w:after="40"/>
      </w:pPr>
      <w:r>
        <w:rPr>
          <w:rFonts w:ascii="Aptos" w:hAnsi="Aptos" w:eastAsia="Aptos"/>
          <w:b/>
          <w:color w:val="203040"/>
          <w:sz w:val="20"/>
        </w:rPr>
        <w:t>Most important events</w:t>
      </w:r>
    </w:p>
    <w:p>
      <w:pPr>
        <w:pStyle w:val="ListBullet"/>
        <w:spacing w:after="40"/>
        <w:ind w:left="340" w:hanging="170"/>
      </w:pPr>
      <w:r>
        <w:rPr>
          <w:rFonts w:ascii="Aptos" w:hAnsi="Aptos" w:eastAsia="Aptos"/>
          <w:sz w:val="19"/>
        </w:rPr>
        <w:t>No relevant meetings were recorded because of seasonal leave.</w:t>
      </w:r>
    </w:p>
    <w:p>
      <w:pPr>
        <w:pStyle w:val="ListBullet"/>
        <w:spacing w:after="40"/>
        <w:ind w:left="340" w:hanging="170"/>
      </w:pPr>
      <w:r>
        <w:rPr>
          <w:rFonts w:ascii="Aptos" w:hAnsi="Aptos" w:eastAsia="Aptos"/>
          <w:sz w:val="19"/>
        </w:rPr>
        <w:t>Work continued on the neural control architecture.</w:t>
      </w:r>
    </w:p>
    <w:p>
      <w:pPr>
        <w:pStyle w:val="ListBullet"/>
        <w:spacing w:after="40"/>
        <w:ind w:left="340" w:hanging="170"/>
      </w:pPr>
      <w:r>
        <w:rPr>
          <w:rFonts w:ascii="Aptos" w:hAnsi="Aptos" w:eastAsia="Aptos"/>
          <w:sz w:val="19"/>
        </w:rPr>
        <w:t>One source entry concerning statistical evaluation was incomplete and could not be further re-elaborated without changing the content.</w:t>
      </w:r>
    </w:p>
    <w:tbl>
      <w:tblPr>
        <w:tblStyle w:val="TableGrid"/>
        <w:tblW w:type="auto" w:w="0"/>
        <w:jc w:val="center"/>
        <w:tblLayout w:type="fixed"/>
        <w:tblLook w:firstColumn="1" w:firstRow="1" w:lastColumn="0" w:lastRow="0" w:noHBand="0" w:noVBand="1" w:val="04A0"/>
      </w:tblPr>
      <w:tblGrid>
        <w:gridCol w:w="4986"/>
        <w:gridCol w:w="4986"/>
      </w:tblGrid>
      <w:tr>
        <w:tc>
          <w:tcPr>
            <w:tcW w:type="dxa" w:w="2438"/>
            <w:shd w:fill="1F4E79"/>
            <w:tcMar>
              <w:top w:w="80" w:type="dxa"/>
              <w:start w:w="100" w:type="dxa"/>
              <w:bottom w:w="80" w:type="dxa"/>
              <w:end w:w="100" w:type="dxa"/>
            </w:tcMar>
          </w:tcPr>
          <w:p>
            <w:pPr>
              <w:spacing w:after="0"/>
            </w:pPr>
            <w:r>
              <w:rPr>
                <w:rFonts w:ascii="Aptos" w:hAnsi="Aptos" w:eastAsia="Aptos"/>
                <w:b/>
                <w:color w:val="FFFFFF"/>
                <w:sz w:val="17"/>
              </w:rPr>
              <w:t>Overall status</w:t>
            </w:r>
          </w:p>
        </w:tc>
        <w:tc>
          <w:tcPr>
            <w:tcW w:type="dxa" w:w="6690"/>
            <w:shd w:fill="F7F9FB"/>
            <w:tcMar>
              <w:top w:w="80" w:type="dxa"/>
              <w:start w:w="100" w:type="dxa"/>
              <w:bottom w:w="80" w:type="dxa"/>
              <w:end w:w="100" w:type="dxa"/>
            </w:tcMar>
          </w:tcPr>
          <w:p>
            <w:pPr>
              <w:spacing w:after="0"/>
            </w:pPr>
            <w:r>
              <w:rPr>
                <w:rFonts w:ascii="Aptos" w:hAnsi="Aptos" w:eastAsia="Aptos"/>
                <w:color w:val="203040"/>
                <w:sz w:val="17"/>
              </w:rPr>
              <w:t>The source records limited activity during August because most team members were on seasonal leave.</w:t>
            </w:r>
          </w:p>
        </w:tc>
      </w:tr>
      <w:tr>
        <w:tc>
          <w:tcPr>
            <w:tcW w:type="dxa" w:w="2438"/>
            <w:shd w:fill="203040"/>
            <w:tcMar>
              <w:top w:w="80" w:type="dxa"/>
              <w:start w:w="100" w:type="dxa"/>
              <w:bottom w:w="80" w:type="dxa"/>
              <w:end w:w="100" w:type="dxa"/>
            </w:tcMar>
          </w:tcPr>
          <w:p>
            <w:pPr>
              <w:spacing w:after="0"/>
            </w:pPr>
            <w:r>
              <w:rPr>
                <w:rFonts w:ascii="Aptos" w:hAnsi="Aptos" w:eastAsia="Aptos"/>
                <w:b/>
                <w:color w:val="FFFFFF"/>
                <w:sz w:val="17"/>
              </w:rPr>
              <w:t>Issues / points requiring attention</w:t>
            </w:r>
          </w:p>
        </w:tc>
        <w:tc>
          <w:tcPr>
            <w:tcW w:type="dxa" w:w="6690"/>
            <w:shd w:fill="F7F9FB"/>
            <w:tcMar>
              <w:top w:w="80" w:type="dxa"/>
              <w:start w:w="100" w:type="dxa"/>
              <w:bottom w:w="80" w:type="dxa"/>
              <w:end w:w="100" w:type="dxa"/>
            </w:tcMar>
          </w:tcPr>
          <w:p>
            <w:pPr>
              <w:spacing w:after="0"/>
            </w:pPr>
            <w:r>
              <w:rPr>
                <w:rFonts w:ascii="Aptos" w:hAnsi="Aptos" w:eastAsia="Aptos"/>
                <w:color w:val="203040"/>
                <w:sz w:val="17"/>
              </w:rPr>
              <w:t>The second technical entry in the source is incomplete.</w:t>
            </w:r>
          </w:p>
        </w:tc>
      </w:tr>
    </w:tbl>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r>
      <w:rPr>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1" w:color="B7C9D6"/>
      </w:pBdr>
    </w:pPr>
    <w:r>
      <w:rPr>
        <w:rFonts w:ascii="Aptos" w:hAnsi="Aptos" w:eastAsia="Aptos"/>
        <w:b/>
        <w:color w:val="1F4E79"/>
        <w:sz w:val="16"/>
      </w:rPr>
      <w:t>PLAN4ARI  |  D1.1 Monthly Status Report  |  August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203040"/>
      <w:sz w:val="23"/>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Display" w:hAnsi="Aptos Display" w:eastAsia="Aptos Display"/>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rossReferenceNote">
    <w:name w:val="Cross Reference Note"/>
    <w:rPr>
      <w:rFonts w:ascii="Aptos" w:hAnsi="Aptos"/>
      <w:i/>
      <w:color w:val="66666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3319B0B20B3DE41BEF41CFACEAC753C" ma:contentTypeVersion="10" ma:contentTypeDescription="Create a new document." ma:contentTypeScope="" ma:versionID="9f20efac135d8cfdd2fa348af50dfbde">
  <xsd:schema xmlns:xsd="http://www.w3.org/2001/XMLSchema" xmlns:xs="http://www.w3.org/2001/XMLSchema" xmlns:p="http://schemas.microsoft.com/office/2006/metadata/properties" xmlns:ns2="1def4e5e-247f-4a89-b7e5-1968c509544b" xmlns:ns3="d533452b-9663-4522-a270-ae8d05891bde" targetNamespace="http://schemas.microsoft.com/office/2006/metadata/properties" ma:root="true" ma:fieldsID="79fea841e550a97224ba8a6d213143fe" ns2:_="" ns3:_="">
    <xsd:import namespace="1def4e5e-247f-4a89-b7e5-1968c509544b"/>
    <xsd:import namespace="d533452b-9663-4522-a270-ae8d05891b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ef4e5e-247f-4a89-b7e5-1968c50954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5505f8f-da62-40e5-a116-f08e7003152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533452b-9663-4522-a270-ae8d05891bd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2ffd63e-dad7-4922-9072-1c4c28cd6dac}" ma:internalName="TaxCatchAll" ma:showField="CatchAllData" ma:web="d533452b-9663-4522-a270-ae8d05891b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ef4e5e-247f-4a89-b7e5-1968c509544b">
      <Terms xmlns="http://schemas.microsoft.com/office/infopath/2007/PartnerControls"/>
    </lcf76f155ced4ddcb4097134ff3c332f>
    <TaxCatchAll xmlns="d533452b-9663-4522-a270-ae8d05891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ED3374F-CB95-4F2F-9EAE-CA6DE13E6A6D}"/>
</file>

<file path=customXml/itemProps3.xml><?xml version="1.0" encoding="utf-8"?>
<ds:datastoreItem xmlns:ds="http://schemas.openxmlformats.org/officeDocument/2006/customXml" ds:itemID="{C12B0402-08E5-46F0-98D4-A6A069D93983}"/>
</file>

<file path=customXml/itemProps4.xml><?xml version="1.0" encoding="utf-8"?>
<ds:datastoreItem xmlns:ds="http://schemas.openxmlformats.org/officeDocument/2006/customXml" ds:itemID="{B686FDC0-8E1D-46EF-8647-4FAE42928C90}"/>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Plan4ARI D1.1 Monthly Status Report – August 2026</dc:title>
  <dc:subject>Restructured monthly status report organised by official WBS Activity</dc:subject>
  <dc:creator>Plan4ARI Consortium</dc:creator>
  <cp:keywords>Plan4ARI; D1.1; monthly status report; project management</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0x01010093319B0B20B3DE41BEF41CFACEAC753C</vt:lpwstr>
  </property>
</Properties>
</file>