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Liberation Sans" w:hAnsi="Liberation Sans"/>
          <w:b/>
          <w:color w:val="1F4E78"/>
          <w:sz w:val="36"/>
        </w:rPr>
        <w:t>PLAN4ARI</w:t>
      </w:r>
    </w:p>
    <w:p>
      <w:pPr>
        <w:pStyle w:val="Title"/>
        <w:jc w:val="center"/>
        <w:keepNext/>
        <w:keepLines/>
      </w:pPr>
      <w:r>
        <w:t>Deliverable D3.1</w:t>
        <w:br/>
      </w:r>
      <w:r>
        <w:rPr>
          <w:sz w:val="40"/>
        </w:rPr>
        <w:t>Updated Scientific Plan for Sensing and Context Awareness</w:t>
      </w:r>
    </w:p>
    <w:p>
      <w:pPr>
        <w:jc w:val="center"/>
      </w:pPr>
      <w:r>
        <w:rPr>
          <w:rFonts w:ascii="Liberation Sans" w:hAnsi="Liberation Sans"/>
          <w:b/>
          <w:color w:val="243746"/>
          <w:sz w:val="26"/>
        </w:rPr>
        <w:t>DRAFT OUTLINE</w:t>
      </w:r>
    </w:p>
    <w:p>
      <w:pPr>
        <w:jc w:val="center"/>
      </w:pPr>
      <w:r>
        <w:rPr>
          <w:rFonts w:ascii="Liberation Sans" w:hAnsi="Liberation Sans"/>
          <w:i/>
          <w:sz w:val="22"/>
        </w:rPr>
        <w:t>Planning for Artificial Robotic Intelligence and Beyond</w:t>
      </w:r>
    </w:p>
    <w:p/>
    <w:tbl>
      <w:tblPr>
        <w:tblW w:type="auto" w:w="0"/>
        <w:jc w:val="center"/>
        <w:tblLayout w:type="fixed"/>
        <w:tblLook w:firstColumn="1" w:firstRow="1" w:lastColumn="0" w:lastRow="0" w:noHBand="0" w:noVBand="1" w:val="04A0"/>
      </w:tblPr>
      <w:tblGrid>
        <w:gridCol w:w="2835"/>
        <w:gridCol w:w="6350"/>
      </w:tblGrid>
      <w:tr>
        <w:tc>
          <w:tcPr>
            <w:tcW w:type="dxa" w:w="2835"/>
            <w:shd w:fill="D9EAF7"/>
            <w:tcMar>
              <w:top w:w="90" w:type="dxa"/>
              <w:start w:w="110" w:type="dxa"/>
              <w:bottom w:w="90" w:type="dxa"/>
              <w:end w:w="110" w:type="dxa"/>
            </w:tcMar>
            <w:vAlign w:val="center"/>
          </w:tcPr>
          <w:p>
            <w:pPr>
              <w:spacing w:after="0"/>
            </w:pPr>
            <w:r>
              <w:rPr>
                <w:rFonts w:ascii="Liberation Sans" w:hAnsi="Liberation Sans"/>
                <w:b/>
                <w:sz w:val="18"/>
              </w:rPr>
              <w:t>Project acronym</w:t>
            </w:r>
          </w:p>
        </w:tc>
        <w:tc>
          <w:tcPr>
            <w:tcW w:type="dxa" w:w="6350"/>
            <w:shd w:fill="FFFFFF"/>
            <w:tcMar>
              <w:top w:w="90" w:type="dxa"/>
              <w:start w:w="110" w:type="dxa"/>
              <w:bottom w:w="90" w:type="dxa"/>
              <w:end w:w="110" w:type="dxa"/>
            </w:tcMar>
            <w:vAlign w:val="center"/>
          </w:tcPr>
          <w:p>
            <w:pPr>
              <w:spacing w:after="0"/>
            </w:pPr>
            <w:r>
              <w:rPr>
                <w:rFonts w:ascii="Liberation Sans" w:hAnsi="Liberation Sans"/>
                <w:sz w:val="18"/>
              </w:rPr>
              <w:t>Plan4ARI</w:t>
            </w:r>
          </w:p>
        </w:tc>
      </w:tr>
      <w:tr>
        <w:tc>
          <w:tcPr>
            <w:tcW w:type="dxa" w:w="2835"/>
            <w:shd w:fill="D9EAF7"/>
            <w:tcMar>
              <w:top w:w="90" w:type="dxa"/>
              <w:start w:w="110" w:type="dxa"/>
              <w:bottom w:w="90" w:type="dxa"/>
              <w:end w:w="110" w:type="dxa"/>
            </w:tcMar>
            <w:vAlign w:val="center"/>
          </w:tcPr>
          <w:p>
            <w:pPr>
              <w:spacing w:after="0"/>
            </w:pPr>
            <w:r>
              <w:rPr>
                <w:rFonts w:ascii="Liberation Sans" w:hAnsi="Liberation Sans"/>
                <w:b/>
                <w:sz w:val="18"/>
              </w:rPr>
              <w:t>Project duration</w:t>
            </w:r>
          </w:p>
        </w:tc>
        <w:tc>
          <w:tcPr>
            <w:tcW w:type="dxa" w:w="6350"/>
            <w:shd w:fill="F2F4F6"/>
            <w:tcMar>
              <w:top w:w="90" w:type="dxa"/>
              <w:start w:w="110" w:type="dxa"/>
              <w:bottom w:w="90" w:type="dxa"/>
              <w:end w:w="110" w:type="dxa"/>
            </w:tcMar>
            <w:vAlign w:val="center"/>
          </w:tcPr>
          <w:p>
            <w:pPr>
              <w:spacing w:after="0"/>
            </w:pPr>
            <w:r>
              <w:rPr>
                <w:rFonts w:ascii="Liberation Sans" w:hAnsi="Liberation Sans"/>
                <w:sz w:val="18"/>
              </w:rPr>
              <w:t>48 months</w:t>
            </w:r>
          </w:p>
        </w:tc>
      </w:tr>
      <w:tr>
        <w:tc>
          <w:tcPr>
            <w:tcW w:type="dxa" w:w="2835"/>
            <w:shd w:fill="D9EAF7"/>
            <w:tcMar>
              <w:top w:w="90" w:type="dxa"/>
              <w:start w:w="110" w:type="dxa"/>
              <w:bottom w:w="90" w:type="dxa"/>
              <w:end w:w="110" w:type="dxa"/>
            </w:tcMar>
            <w:vAlign w:val="center"/>
          </w:tcPr>
          <w:p>
            <w:pPr>
              <w:spacing w:after="0"/>
            </w:pPr>
            <w:r>
              <w:rPr>
                <w:rFonts w:ascii="Liberation Sans" w:hAnsi="Liberation Sans"/>
                <w:b/>
                <w:sz w:val="18"/>
              </w:rPr>
              <w:t>Work package / activity</w:t>
            </w:r>
          </w:p>
        </w:tc>
        <w:tc>
          <w:tcPr>
            <w:tcW w:type="dxa" w:w="6350"/>
            <w:shd w:fill="FFFFFF"/>
            <w:tcMar>
              <w:top w:w="90" w:type="dxa"/>
              <w:start w:w="110" w:type="dxa"/>
              <w:bottom w:w="90" w:type="dxa"/>
              <w:end w:w="110" w:type="dxa"/>
            </w:tcMar>
            <w:vAlign w:val="center"/>
          </w:tcPr>
          <w:p>
            <w:pPr>
              <w:spacing w:after="0"/>
            </w:pPr>
            <w:r>
              <w:rPr>
                <w:rFonts w:ascii="Liberation Sans" w:hAnsi="Liberation Sans"/>
                <w:sz w:val="18"/>
              </w:rPr>
              <w:t>Activity 3 - Sensing for Context Awareness</w:t>
            </w:r>
          </w:p>
        </w:tc>
      </w:tr>
      <w:tr>
        <w:tc>
          <w:tcPr>
            <w:tcW w:type="dxa" w:w="2835"/>
            <w:shd w:fill="D9EAF7"/>
            <w:tcMar>
              <w:top w:w="90" w:type="dxa"/>
              <w:start w:w="110" w:type="dxa"/>
              <w:bottom w:w="90" w:type="dxa"/>
              <w:end w:w="110" w:type="dxa"/>
            </w:tcMar>
            <w:vAlign w:val="center"/>
          </w:tcPr>
          <w:p>
            <w:pPr>
              <w:spacing w:after="0"/>
            </w:pPr>
            <w:r>
              <w:rPr>
                <w:rFonts w:ascii="Liberation Sans" w:hAnsi="Liberation Sans"/>
                <w:b/>
                <w:sz w:val="18"/>
              </w:rPr>
              <w:t>Task basis</w:t>
            </w:r>
          </w:p>
        </w:tc>
        <w:tc>
          <w:tcPr>
            <w:tcW w:type="dxa" w:w="6350"/>
            <w:shd w:fill="F2F4F6"/>
            <w:tcMar>
              <w:top w:w="90" w:type="dxa"/>
              <w:start w:w="110" w:type="dxa"/>
              <w:bottom w:w="90" w:type="dxa"/>
              <w:end w:w="110" w:type="dxa"/>
            </w:tcMar>
            <w:vAlign w:val="center"/>
          </w:tcPr>
          <w:p>
            <w:pPr>
              <w:spacing w:after="0"/>
            </w:pPr>
            <w:r>
              <w:rPr>
                <w:rFonts w:ascii="Liberation Sans" w:hAnsi="Liberation Sans"/>
                <w:sz w:val="18"/>
              </w:rPr>
              <w:t>Task 3.1 Update of the scientific plan with the latest state-of-the-art methodologies and tools</w:t>
            </w:r>
          </w:p>
        </w:tc>
      </w:tr>
      <w:tr>
        <w:tc>
          <w:tcPr>
            <w:tcW w:type="dxa" w:w="2835"/>
            <w:shd w:fill="D9EAF7"/>
            <w:tcMar>
              <w:top w:w="90" w:type="dxa"/>
              <w:start w:w="110" w:type="dxa"/>
              <w:bottom w:w="90" w:type="dxa"/>
              <w:end w:w="110" w:type="dxa"/>
            </w:tcMar>
            <w:vAlign w:val="center"/>
          </w:tcPr>
          <w:p>
            <w:pPr>
              <w:spacing w:after="0"/>
            </w:pPr>
            <w:r>
              <w:rPr>
                <w:rFonts w:ascii="Liberation Sans" w:hAnsi="Liberation Sans"/>
                <w:b/>
                <w:sz w:val="18"/>
              </w:rPr>
              <w:t>Activity period</w:t>
            </w:r>
          </w:p>
        </w:tc>
        <w:tc>
          <w:tcPr>
            <w:tcW w:type="dxa" w:w="6350"/>
            <w:shd w:fill="FFFFFF"/>
            <w:tcMar>
              <w:top w:w="90" w:type="dxa"/>
              <w:start w:w="110" w:type="dxa"/>
              <w:bottom w:w="90" w:type="dxa"/>
              <w:end w:w="110" w:type="dxa"/>
            </w:tcMar>
            <w:vAlign w:val="center"/>
          </w:tcPr>
          <w:p>
            <w:pPr>
              <w:spacing w:after="0"/>
            </w:pPr>
            <w:r>
              <w:rPr>
                <w:rFonts w:ascii="Liberation Sans" w:hAnsi="Liberation Sans"/>
                <w:sz w:val="18"/>
              </w:rPr>
              <w:t>M1-M6</w:t>
            </w:r>
          </w:p>
        </w:tc>
      </w:tr>
      <w:tr>
        <w:tc>
          <w:tcPr>
            <w:tcW w:type="dxa" w:w="2835"/>
            <w:shd w:fill="D9EAF7"/>
            <w:tcMar>
              <w:top w:w="90" w:type="dxa"/>
              <w:start w:w="110" w:type="dxa"/>
              <w:bottom w:w="90" w:type="dxa"/>
              <w:end w:w="110" w:type="dxa"/>
            </w:tcMar>
            <w:vAlign w:val="center"/>
          </w:tcPr>
          <w:p>
            <w:pPr>
              <w:spacing w:after="0"/>
            </w:pPr>
            <w:r>
              <w:rPr>
                <w:rFonts w:ascii="Liberation Sans" w:hAnsi="Liberation Sans"/>
                <w:b/>
                <w:sz w:val="18"/>
              </w:rPr>
              <w:t>Suggested delivery point</w:t>
            </w:r>
          </w:p>
        </w:tc>
        <w:tc>
          <w:tcPr>
            <w:tcW w:type="dxa" w:w="6350"/>
            <w:shd w:fill="F2F4F6"/>
            <w:tcMar>
              <w:top w:w="90" w:type="dxa"/>
              <w:start w:w="110" w:type="dxa"/>
              <w:bottom w:w="90" w:type="dxa"/>
              <w:end w:w="110" w:type="dxa"/>
            </w:tcMar>
            <w:vAlign w:val="center"/>
          </w:tcPr>
          <w:p>
            <w:pPr>
              <w:spacing w:after="0"/>
            </w:pPr>
            <w:r>
              <w:rPr>
                <w:rFonts w:ascii="Liberation Sans" w:hAnsi="Liberation Sans"/>
                <w:sz w:val="18"/>
              </w:rPr>
              <w:t>M6 (derived from Task 3.1 end month; confirm)</w:t>
            </w:r>
          </w:p>
        </w:tc>
      </w:tr>
      <w:tr>
        <w:tc>
          <w:tcPr>
            <w:tcW w:type="dxa" w:w="2835"/>
            <w:shd w:fill="D9EAF7"/>
            <w:tcMar>
              <w:top w:w="90" w:type="dxa"/>
              <w:start w:w="110" w:type="dxa"/>
              <w:bottom w:w="90" w:type="dxa"/>
              <w:end w:w="110" w:type="dxa"/>
            </w:tcMar>
            <w:vAlign w:val="center"/>
          </w:tcPr>
          <w:p>
            <w:pPr>
              <w:spacing w:after="0"/>
            </w:pPr>
            <w:r>
              <w:rPr>
                <w:rFonts w:ascii="Liberation Sans" w:hAnsi="Liberation Sans"/>
                <w:b/>
                <w:sz w:val="18"/>
              </w:rPr>
              <w:t>Document status</w:t>
            </w:r>
          </w:p>
        </w:tc>
        <w:tc>
          <w:tcPr>
            <w:tcW w:type="dxa" w:w="6350"/>
            <w:shd w:fill="FFFFFF"/>
            <w:tcMar>
              <w:top w:w="90" w:type="dxa"/>
              <w:start w:w="110" w:type="dxa"/>
              <w:bottom w:w="90" w:type="dxa"/>
              <w:end w:w="110" w:type="dxa"/>
            </w:tcMar>
            <w:vAlign w:val="center"/>
          </w:tcPr>
          <w:p>
            <w:pPr>
              <w:spacing w:after="0"/>
            </w:pPr>
            <w:r>
              <w:rPr>
                <w:rFonts w:ascii="Liberation Sans" w:hAnsi="Liberation Sans"/>
                <w:sz w:val="18"/>
              </w:rPr>
              <w:t>Proposed outline - Version 0.1</w:t>
            </w:r>
          </w:p>
        </w:tc>
      </w:tr>
      <w:tr>
        <w:tc>
          <w:tcPr>
            <w:tcW w:type="dxa" w:w="2835"/>
            <w:shd w:fill="D9EAF7"/>
            <w:tcMar>
              <w:top w:w="90" w:type="dxa"/>
              <w:start w:w="110" w:type="dxa"/>
              <w:bottom w:w="90" w:type="dxa"/>
              <w:end w:w="110" w:type="dxa"/>
            </w:tcMar>
            <w:vAlign w:val="center"/>
          </w:tcPr>
          <w:p>
            <w:pPr>
              <w:spacing w:after="0"/>
            </w:pPr>
            <w:r>
              <w:rPr>
                <w:rFonts w:ascii="Liberation Sans" w:hAnsi="Liberation Sans"/>
                <w:b/>
                <w:sz w:val="18"/>
              </w:rPr>
              <w:t>Lead beneficiary</w:t>
            </w:r>
          </w:p>
        </w:tc>
        <w:tc>
          <w:tcPr>
            <w:tcW w:type="dxa" w:w="6350"/>
            <w:shd w:fill="F2F4F6"/>
            <w:tcMar>
              <w:top w:w="90" w:type="dxa"/>
              <w:start w:w="110" w:type="dxa"/>
              <w:bottom w:w="90" w:type="dxa"/>
              <w:end w:w="110" w:type="dxa"/>
            </w:tcMar>
            <w:vAlign w:val="center"/>
          </w:tcPr>
          <w:p>
            <w:pPr>
              <w:spacing w:after="0"/>
            </w:pPr>
            <w:r>
              <w:rPr>
                <w:rFonts w:ascii="Liberation Sans" w:hAnsi="Liberation Sans"/>
                <w:sz w:val="18"/>
              </w:rPr>
              <w:t>To be confirmed</w:t>
            </w:r>
          </w:p>
        </w:tc>
      </w:tr>
      <w:tr>
        <w:tc>
          <w:tcPr>
            <w:tcW w:type="dxa" w:w="2835"/>
            <w:shd w:fill="D9EAF7"/>
            <w:tcMar>
              <w:top w:w="90" w:type="dxa"/>
              <w:start w:w="110" w:type="dxa"/>
              <w:bottom w:w="90" w:type="dxa"/>
              <w:end w:w="110" w:type="dxa"/>
            </w:tcMar>
            <w:vAlign w:val="center"/>
          </w:tcPr>
          <w:p>
            <w:pPr>
              <w:spacing w:after="0"/>
            </w:pPr>
            <w:r>
              <w:rPr>
                <w:rFonts w:ascii="Liberation Sans" w:hAnsi="Liberation Sans"/>
                <w:b/>
                <w:sz w:val="18"/>
              </w:rPr>
              <w:t>Dissemination level</w:t>
            </w:r>
          </w:p>
        </w:tc>
        <w:tc>
          <w:tcPr>
            <w:tcW w:type="dxa" w:w="6350"/>
            <w:shd w:fill="FFFFFF"/>
            <w:tcMar>
              <w:top w:w="90" w:type="dxa"/>
              <w:start w:w="110" w:type="dxa"/>
              <w:bottom w:w="90" w:type="dxa"/>
              <w:end w:w="110" w:type="dxa"/>
            </w:tcMar>
            <w:vAlign w:val="center"/>
          </w:tcPr>
          <w:p>
            <w:pPr>
              <w:spacing w:after="0"/>
            </w:pPr>
            <w:r>
              <w:rPr>
                <w:rFonts w:ascii="Liberation Sans" w:hAnsi="Liberation Sans"/>
                <w:sz w:val="18"/>
              </w:rPr>
              <w:t>To be confirmed</w:t>
            </w:r>
          </w:p>
        </w:tc>
      </w:tr>
    </w:tbl>
    <w:p/>
    <w:tbl>
      <w:tblPr>
        <w:tblW w:type="auto" w:w="0"/>
        <w:jc w:val="center"/>
        <w:tblLook w:firstColumn="1" w:firstRow="1" w:lastColumn="0" w:lastRow="0" w:noHBand="0" w:noVBand="1" w:val="04A0"/>
      </w:tblPr>
      <w:tblGrid>
        <w:gridCol w:w="9638"/>
      </w:tblGrid>
      <w:tr>
        <w:tc>
          <w:tcPr>
            <w:tcW w:type="dxa" w:w="9638"/>
            <w:shd w:fill="EEF5FA"/>
            <w:tcMar>
              <w:top w:w="130" w:type="dxa"/>
              <w:start w:w="150" w:type="dxa"/>
              <w:bottom w:w="130" w:type="dxa"/>
              <w:end w:w="150" w:type="dxa"/>
            </w:tcMar>
          </w:tcPr>
          <w:p>
            <w:r>
              <w:rPr>
                <w:b/>
                <w:color w:val="1F4E78"/>
              </w:rPr>
              <w:t xml:space="preserve">Working assumption. </w:t>
            </w:r>
            <w:r>
              <w:rPr>
                <w:sz w:val="18"/>
              </w:rPr>
              <w:t>This outline is inferred from the Plan4ARI Project Description. The official deliverable title, due date, lead beneficiary and dissemination level should be checked against the final Grant Agreement and consortium decisions.</w:t>
            </w:r>
          </w:p>
        </w:tc>
      </w:tr>
    </w:tbl>
    <w:p>
      <w:pPr>
        <w:spacing w:before="360"/>
        <w:jc w:val="center"/>
      </w:pPr>
      <w:r>
        <w:rPr>
          <w:rFonts w:ascii="Liberation Sans" w:hAnsi="Liberation Sans"/>
          <w:color w:val="667788"/>
          <w:sz w:val="16"/>
        </w:rPr>
        <w:t>Source basis: Plan4ARI Project Description, especially Section E.3 (pp. 38-48), with supporting technical sections A.3-A.6.</w:t>
      </w:r>
    </w:p>
    <w:p>
      <w:r>
        <w:br w:type="page"/>
      </w:r>
    </w:p>
    <w:p>
      <w:pPr>
        <w:pStyle w:val="Heading1"/>
        <w:keepNext/>
        <w:keepLines/>
      </w:pPr>
      <w:r>
        <w:t>Document control</w:t>
      </w:r>
    </w:p>
    <w:tbl>
      <w:tblPr>
        <w:tblW w:type="auto" w:w="0"/>
        <w:jc w:val="center"/>
        <w:tblLayout w:type="fixed"/>
        <w:tblLook w:firstColumn="1" w:firstRow="1" w:lastColumn="0" w:lastRow="0" w:noHBand="0" w:noVBand="1" w:val="04A0"/>
      </w:tblPr>
      <w:tblGrid>
        <w:gridCol w:w="1191"/>
        <w:gridCol w:w="1701"/>
        <w:gridCol w:w="3061"/>
        <w:gridCol w:w="3458"/>
      </w:tblGrid>
      <w:tr>
        <w:trPr>
          <w:tblHeader w:val="true"/>
        </w:trPr>
        <w:tc>
          <w:tcPr>
            <w:tcW w:type="dxa" w:w="2409"/>
            <w:shd w:fill="1F4E78"/>
            <w:tcMar>
              <w:top w:w="90" w:type="dxa"/>
              <w:start w:w="110" w:type="dxa"/>
              <w:bottom w:w="90" w:type="dxa"/>
              <w:end w:w="110" w:type="dxa"/>
            </w:tcMar>
          </w:tcPr>
          <w:p>
            <w:pPr>
              <w:spacing w:after="0"/>
            </w:pPr>
            <w:r>
              <w:rPr>
                <w:rFonts w:ascii="Liberation Sans" w:hAnsi="Liberation Sans"/>
                <w:b/>
                <w:color w:val="FFFFFF"/>
                <w:sz w:val="17"/>
              </w:rPr>
              <w:t>Version</w:t>
            </w:r>
          </w:p>
        </w:tc>
        <w:tc>
          <w:tcPr>
            <w:tcW w:type="dxa" w:w="2409"/>
            <w:shd w:fill="1F4E78"/>
            <w:tcMar>
              <w:top w:w="90" w:type="dxa"/>
              <w:start w:w="110" w:type="dxa"/>
              <w:bottom w:w="90" w:type="dxa"/>
              <w:end w:w="110" w:type="dxa"/>
            </w:tcMar>
          </w:tcPr>
          <w:p>
            <w:pPr>
              <w:spacing w:after="0"/>
            </w:pPr>
            <w:r>
              <w:rPr>
                <w:rFonts w:ascii="Liberation Sans" w:hAnsi="Liberation Sans"/>
                <w:b/>
                <w:color w:val="FFFFFF"/>
                <w:sz w:val="17"/>
              </w:rPr>
              <w:t>Date</w:t>
            </w:r>
          </w:p>
        </w:tc>
        <w:tc>
          <w:tcPr>
            <w:tcW w:type="dxa" w:w="2409"/>
            <w:shd w:fill="1F4E78"/>
            <w:tcMar>
              <w:top w:w="90" w:type="dxa"/>
              <w:start w:w="110" w:type="dxa"/>
              <w:bottom w:w="90" w:type="dxa"/>
              <w:end w:w="110" w:type="dxa"/>
            </w:tcMar>
          </w:tcPr>
          <w:p>
            <w:pPr>
              <w:spacing w:after="0"/>
            </w:pPr>
            <w:r>
              <w:rPr>
                <w:rFonts w:ascii="Liberation Sans" w:hAnsi="Liberation Sans"/>
                <w:b/>
                <w:color w:val="FFFFFF"/>
                <w:sz w:val="17"/>
              </w:rPr>
              <w:t>Author / reviewer</w:t>
            </w:r>
          </w:p>
        </w:tc>
        <w:tc>
          <w:tcPr>
            <w:tcW w:type="dxa" w:w="2409"/>
            <w:shd w:fill="1F4E78"/>
            <w:tcMar>
              <w:top w:w="90" w:type="dxa"/>
              <w:start w:w="110" w:type="dxa"/>
              <w:bottom w:w="90" w:type="dxa"/>
              <w:end w:w="110" w:type="dxa"/>
            </w:tcMar>
          </w:tcPr>
          <w:p>
            <w:pPr>
              <w:spacing w:after="0"/>
            </w:pPr>
            <w:r>
              <w:rPr>
                <w:rFonts w:ascii="Liberation Sans" w:hAnsi="Liberation Sans"/>
                <w:b/>
                <w:color w:val="FFFFFF"/>
                <w:sz w:val="17"/>
              </w:rPr>
              <w:t>Change description</w:t>
            </w:r>
          </w:p>
        </w:tc>
      </w:tr>
      <w:tr>
        <w:tc>
          <w:tcPr>
            <w:tcW w:type="dxa" w:w="1191"/>
            <w:shd w:fill="FFFFFF"/>
            <w:tcMar>
              <w:top w:w="90" w:type="dxa"/>
              <w:start w:w="110" w:type="dxa"/>
              <w:bottom w:w="90" w:type="dxa"/>
              <w:end w:w="110" w:type="dxa"/>
            </w:tcMar>
          </w:tcPr>
          <w:p>
            <w:pPr>
              <w:spacing w:after="0"/>
            </w:pPr>
            <w:r>
              <w:rPr>
                <w:rFonts w:ascii="Liberation Sans" w:hAnsi="Liberation Sans"/>
                <w:sz w:val="17"/>
              </w:rPr>
              <w:t>0.1</w:t>
            </w:r>
          </w:p>
        </w:tc>
        <w:tc>
          <w:tcPr>
            <w:tcW w:type="dxa" w:w="1701"/>
            <w:shd w:fill="FFFFFF"/>
            <w:tcMar>
              <w:top w:w="90" w:type="dxa"/>
              <w:start w:w="110" w:type="dxa"/>
              <w:bottom w:w="90" w:type="dxa"/>
              <w:end w:w="110" w:type="dxa"/>
            </w:tcMar>
          </w:tcPr>
          <w:p>
            <w:pPr>
              <w:spacing w:after="0"/>
            </w:pPr>
            <w:r>
              <w:rPr>
                <w:rFonts w:ascii="Liberation Sans" w:hAnsi="Liberation Sans"/>
                <w:sz w:val="17"/>
              </w:rPr>
              <w:t>20 July 2026</w:t>
            </w:r>
          </w:p>
        </w:tc>
        <w:tc>
          <w:tcPr>
            <w:tcW w:type="dxa" w:w="3061"/>
            <w:shd w:fill="FFFFFF"/>
            <w:tcMar>
              <w:top w:w="90" w:type="dxa"/>
              <w:start w:w="110" w:type="dxa"/>
              <w:bottom w:w="90" w:type="dxa"/>
              <w:end w:w="110" w:type="dxa"/>
            </w:tcMar>
          </w:tcPr>
          <w:p>
            <w:pPr>
              <w:spacing w:after="0"/>
            </w:pPr>
            <w:r>
              <w:rPr>
                <w:rFonts w:ascii="Liberation Sans" w:hAnsi="Liberation Sans"/>
                <w:sz w:val="17"/>
              </w:rPr>
              <w:t>TBC</w:t>
            </w:r>
          </w:p>
        </w:tc>
        <w:tc>
          <w:tcPr>
            <w:tcW w:type="dxa" w:w="3458"/>
            <w:shd w:fill="FFFFFF"/>
            <w:tcMar>
              <w:top w:w="90" w:type="dxa"/>
              <w:start w:w="110" w:type="dxa"/>
              <w:bottom w:w="90" w:type="dxa"/>
              <w:end w:w="110" w:type="dxa"/>
            </w:tcMar>
          </w:tcPr>
          <w:p>
            <w:pPr>
              <w:spacing w:after="0"/>
            </w:pPr>
            <w:r>
              <w:rPr>
                <w:rFonts w:ascii="Liberation Sans" w:hAnsi="Liberation Sans"/>
                <w:sz w:val="17"/>
              </w:rPr>
              <w:t>Initial draft outline</w:t>
            </w:r>
          </w:p>
        </w:tc>
      </w:tr>
      <w:tr>
        <w:tc>
          <w:tcPr>
            <w:tcW w:type="dxa" w:w="1191"/>
            <w:shd w:fill="F2F4F6"/>
            <w:tcMar>
              <w:top w:w="90" w:type="dxa"/>
              <w:start w:w="110" w:type="dxa"/>
              <w:bottom w:w="90" w:type="dxa"/>
              <w:end w:w="110" w:type="dxa"/>
            </w:tcMar>
          </w:tcPr>
          <w:p>
            <w:pPr>
              <w:spacing w:after="0"/>
            </w:pPr>
            <w:r>
              <w:rPr>
                <w:rFonts w:ascii="Liberation Sans" w:hAnsi="Liberation Sans"/>
                <w:sz w:val="17"/>
              </w:rPr>
              <w:t>1.0</w:t>
            </w:r>
          </w:p>
        </w:tc>
        <w:tc>
          <w:tcPr>
            <w:tcW w:type="dxa" w:w="1701"/>
            <w:shd w:fill="F2F4F6"/>
            <w:tcMar>
              <w:top w:w="90" w:type="dxa"/>
              <w:start w:w="110" w:type="dxa"/>
              <w:bottom w:w="90" w:type="dxa"/>
              <w:end w:w="110" w:type="dxa"/>
            </w:tcMar>
          </w:tcPr>
          <w:p>
            <w:pPr>
              <w:spacing w:after="0"/>
            </w:pPr>
            <w:r>
              <w:rPr>
                <w:rFonts w:ascii="Liberation Sans" w:hAnsi="Liberation Sans"/>
                <w:sz w:val="17"/>
              </w:rPr>
              <w:t>TBC</w:t>
            </w:r>
          </w:p>
        </w:tc>
        <w:tc>
          <w:tcPr>
            <w:tcW w:type="dxa" w:w="3061"/>
            <w:shd w:fill="F2F4F6"/>
            <w:tcMar>
              <w:top w:w="90" w:type="dxa"/>
              <w:start w:w="110" w:type="dxa"/>
              <w:bottom w:w="90" w:type="dxa"/>
              <w:end w:w="110" w:type="dxa"/>
            </w:tcMar>
          </w:tcPr>
          <w:p>
            <w:pPr>
              <w:spacing w:after="0"/>
            </w:pPr>
            <w:r>
              <w:rPr>
                <w:rFonts w:ascii="Liberation Sans" w:hAnsi="Liberation Sans"/>
                <w:sz w:val="17"/>
              </w:rPr>
              <w:t>TBC</w:t>
            </w:r>
          </w:p>
        </w:tc>
        <w:tc>
          <w:tcPr>
            <w:tcW w:type="dxa" w:w="3458"/>
            <w:shd w:fill="F2F4F6"/>
            <w:tcMar>
              <w:top w:w="90" w:type="dxa"/>
              <w:start w:w="110" w:type="dxa"/>
              <w:bottom w:w="90" w:type="dxa"/>
              <w:end w:w="110" w:type="dxa"/>
            </w:tcMar>
          </w:tcPr>
          <w:p>
            <w:pPr>
              <w:spacing w:after="0"/>
            </w:pPr>
            <w:r>
              <w:rPr>
                <w:rFonts w:ascii="Liberation Sans" w:hAnsi="Liberation Sans"/>
                <w:sz w:val="17"/>
              </w:rPr>
              <w:t>Approved deliverable</w:t>
            </w:r>
          </w:p>
        </w:tc>
      </w:tr>
    </w:tbl>
    <w:p>
      <w:pPr>
        <w:pStyle w:val="Heading1"/>
        <w:keepNext/>
        <w:keepLines/>
      </w:pPr>
      <w:r>
        <w:t>Purpose of this outline</w:t>
      </w:r>
    </w:p>
    <w:p>
      <w:pPr>
        <w:spacing w:after="120"/>
      </w:pPr>
      <w:r>
        <w:t>The following structure is intended as a writing blueprint for the final deliverable. Each numbered heading may be retained in the final report, while the bullets describe the minimum content, evidence and decisions expected.</w:t>
      </w:r>
    </w:p>
    <w:p>
      <w:pPr>
        <w:pStyle w:val="Heading1"/>
        <w:keepNext/>
        <w:keepLines/>
      </w:pPr>
      <w:r>
        <w:t>Proposed table of contents at a glance</w:t>
      </w:r>
    </w:p>
    <w:tbl>
      <w:tblPr>
        <w:tblW w:type="auto" w:w="0"/>
        <w:jc w:val="center"/>
        <w:tblLayout w:type="fixed"/>
        <w:tblLook w:firstColumn="1" w:firstRow="1" w:lastColumn="0" w:lastRow="0" w:noHBand="0" w:noVBand="1" w:val="04A0"/>
      </w:tblPr>
      <w:tblGrid>
        <w:gridCol w:w="1814"/>
        <w:gridCol w:w="7370"/>
      </w:tblGrid>
      <w:tr>
        <w:trPr>
          <w:tblHeader w:val="true"/>
        </w:trPr>
        <w:tc>
          <w:tcPr>
            <w:tcW w:type="dxa" w:w="4819"/>
            <w:shd w:fill="1F4E78"/>
          </w:tcPr>
          <w:p>
            <w:r>
              <w:rPr>
                <w:b/>
                <w:color w:val="FFFFFF"/>
                <w:sz w:val="18"/>
              </w:rPr>
              <w:t>Section</w:t>
            </w:r>
          </w:p>
        </w:tc>
        <w:tc>
          <w:tcPr>
            <w:tcW w:type="dxa" w:w="4819"/>
            <w:shd w:fill="1F4E78"/>
          </w:tcPr>
          <w:p>
            <w:r>
              <w:rPr>
                <w:b/>
                <w:color w:val="FFFFFF"/>
                <w:sz w:val="18"/>
              </w:rPr>
              <w:t>Purpose</w:t>
            </w:r>
          </w:p>
        </w:tc>
      </w:tr>
      <w:tr>
        <w:tc>
          <w:tcPr>
            <w:tcW w:type="dxa" w:w="1814"/>
            <w:shd w:fill="FFFFFF"/>
            <w:tcMar>
              <w:top w:w="90" w:type="dxa"/>
              <w:start w:w="110" w:type="dxa"/>
              <w:bottom w:w="90" w:type="dxa"/>
              <w:end w:w="110" w:type="dxa"/>
            </w:tcMar>
          </w:tcPr>
          <w:p>
            <w:pPr>
              <w:spacing w:after="0"/>
            </w:pPr>
            <w:r>
              <w:rPr>
                <w:rFonts w:ascii="Liberation Sans" w:hAnsi="Liberation Sans"/>
                <w:sz w:val="17"/>
              </w:rPr>
              <w:t>1. Executive summary</w:t>
            </w:r>
          </w:p>
        </w:tc>
        <w:tc>
          <w:tcPr>
            <w:tcW w:type="dxa" w:w="7370"/>
            <w:shd w:fill="FFFFFF"/>
            <w:tcMar>
              <w:top w:w="90" w:type="dxa"/>
              <w:start w:w="110" w:type="dxa"/>
              <w:bottom w:w="90" w:type="dxa"/>
              <w:end w:w="110" w:type="dxa"/>
            </w:tcMar>
          </w:tcPr>
          <w:p>
            <w:pPr>
              <w:spacing w:after="0"/>
            </w:pPr>
            <w:r>
              <w:rPr>
                <w:rFonts w:ascii="Liberation Sans" w:hAnsi="Liberation Sans"/>
                <w:sz w:val="17"/>
              </w:rPr>
              <w:t>Present the sensing technologies and algorithms selected for the Plan4ARI context-awareness stack.</w:t>
            </w:r>
          </w:p>
        </w:tc>
      </w:tr>
      <w:tr>
        <w:tc>
          <w:tcPr>
            <w:tcW w:type="dxa" w:w="1814"/>
            <w:shd w:fill="F2F4F6"/>
            <w:tcMar>
              <w:top w:w="90" w:type="dxa"/>
              <w:start w:w="110" w:type="dxa"/>
              <w:bottom w:w="90" w:type="dxa"/>
              <w:end w:w="110" w:type="dxa"/>
            </w:tcMar>
          </w:tcPr>
          <w:p>
            <w:pPr>
              <w:spacing w:after="0"/>
            </w:pPr>
            <w:r>
              <w:rPr>
                <w:rFonts w:ascii="Liberation Sans" w:hAnsi="Liberation Sans"/>
                <w:sz w:val="17"/>
              </w:rPr>
              <w:t>2. Objectives, use cases and original baseline</w:t>
            </w:r>
          </w:p>
        </w:tc>
        <w:tc>
          <w:tcPr>
            <w:tcW w:type="dxa" w:w="7370"/>
            <w:shd w:fill="F2F4F6"/>
            <w:tcMar>
              <w:top w:w="90" w:type="dxa"/>
              <w:start w:w="110" w:type="dxa"/>
              <w:bottom w:w="90" w:type="dxa"/>
              <w:end w:w="110" w:type="dxa"/>
            </w:tcMar>
          </w:tcPr>
          <w:p>
            <w:pPr>
              <w:spacing w:after="0"/>
            </w:pPr>
            <w:r>
              <w:rPr>
                <w:rFonts w:ascii="Liberation Sans" w:hAnsi="Liberation Sans"/>
                <w:sz w:val="17"/>
              </w:rPr>
              <w:t>Link the review to the project need for robust, high-frequency scene awareness.</w:t>
            </w:r>
          </w:p>
        </w:tc>
      </w:tr>
      <w:tr>
        <w:tc>
          <w:tcPr>
            <w:tcW w:type="dxa" w:w="1814"/>
            <w:shd w:fill="FFFFFF"/>
            <w:tcMar>
              <w:top w:w="90" w:type="dxa"/>
              <w:start w:w="110" w:type="dxa"/>
              <w:bottom w:w="90" w:type="dxa"/>
              <w:end w:w="110" w:type="dxa"/>
            </w:tcMar>
          </w:tcPr>
          <w:p>
            <w:pPr>
              <w:spacing w:after="0"/>
            </w:pPr>
            <w:r>
              <w:rPr>
                <w:rFonts w:ascii="Liberation Sans" w:hAnsi="Liberation Sans"/>
                <w:sz w:val="17"/>
              </w:rPr>
              <w:t>3. Review methodology and evaluation framework</w:t>
            </w:r>
          </w:p>
        </w:tc>
        <w:tc>
          <w:tcPr>
            <w:tcW w:type="dxa" w:w="7370"/>
            <w:shd w:fill="FFFFFF"/>
            <w:tcMar>
              <w:top w:w="90" w:type="dxa"/>
              <w:start w:w="110" w:type="dxa"/>
              <w:bottom w:w="90" w:type="dxa"/>
              <w:end w:w="110" w:type="dxa"/>
            </w:tcMar>
          </w:tcPr>
          <w:p>
            <w:pPr>
              <w:spacing w:after="0"/>
            </w:pPr>
            <w:r>
              <w:rPr>
                <w:rFonts w:ascii="Liberation Sans" w:hAnsi="Liberation Sans"/>
                <w:sz w:val="17"/>
              </w:rPr>
              <w:t>Define how sensors and algorithms are compared.</w:t>
            </w:r>
          </w:p>
        </w:tc>
      </w:tr>
      <w:tr>
        <w:tc>
          <w:tcPr>
            <w:tcW w:type="dxa" w:w="1814"/>
            <w:shd w:fill="F2F4F6"/>
            <w:tcMar>
              <w:top w:w="90" w:type="dxa"/>
              <w:start w:w="110" w:type="dxa"/>
              <w:bottom w:w="90" w:type="dxa"/>
              <w:end w:w="110" w:type="dxa"/>
            </w:tcMar>
          </w:tcPr>
          <w:p>
            <w:pPr>
              <w:spacing w:after="0"/>
            </w:pPr>
            <w:r>
              <w:rPr>
                <w:rFonts w:ascii="Liberation Sans" w:hAnsi="Liberation Sans"/>
                <w:sz w:val="17"/>
              </w:rPr>
              <w:t>4. Radar-sensor market and technology review</w:t>
            </w:r>
          </w:p>
        </w:tc>
        <w:tc>
          <w:tcPr>
            <w:tcW w:type="dxa" w:w="7370"/>
            <w:shd w:fill="F2F4F6"/>
            <w:tcMar>
              <w:top w:w="90" w:type="dxa"/>
              <w:start w:w="110" w:type="dxa"/>
              <w:bottom w:w="90" w:type="dxa"/>
              <w:end w:w="110" w:type="dxa"/>
            </w:tcMar>
          </w:tcPr>
          <w:p>
            <w:pPr>
              <w:spacing w:after="0"/>
            </w:pPr>
            <w:r>
              <w:rPr>
                <w:rFonts w:ascii="Liberation Sans" w:hAnsi="Liberation Sans"/>
                <w:sz w:val="17"/>
              </w:rPr>
              <w:t>Identify radar devices suitable for industrial 3D scene monitoring and human tracking.</w:t>
            </w:r>
          </w:p>
        </w:tc>
      </w:tr>
      <w:tr>
        <w:tc>
          <w:tcPr>
            <w:tcW w:type="dxa" w:w="1814"/>
            <w:shd w:fill="FFFFFF"/>
            <w:tcMar>
              <w:top w:w="90" w:type="dxa"/>
              <w:start w:w="110" w:type="dxa"/>
              <w:bottom w:w="90" w:type="dxa"/>
              <w:end w:w="110" w:type="dxa"/>
            </w:tcMar>
          </w:tcPr>
          <w:p>
            <w:pPr>
              <w:spacing w:after="0"/>
            </w:pPr>
            <w:r>
              <w:rPr>
                <w:rFonts w:ascii="Liberation Sans" w:hAnsi="Liberation Sans"/>
                <w:sz w:val="17"/>
              </w:rPr>
              <w:t>5. 3D vision and scene-understanding review</w:t>
            </w:r>
          </w:p>
        </w:tc>
        <w:tc>
          <w:tcPr>
            <w:tcW w:type="dxa" w:w="7370"/>
            <w:shd w:fill="FFFFFF"/>
            <w:tcMar>
              <w:top w:w="90" w:type="dxa"/>
              <w:start w:w="110" w:type="dxa"/>
              <w:bottom w:w="90" w:type="dxa"/>
              <w:end w:w="110" w:type="dxa"/>
            </w:tcMar>
          </w:tcPr>
          <w:p>
            <w:pPr>
              <w:spacing w:after="0"/>
            </w:pPr>
            <w:r>
              <w:rPr>
                <w:rFonts w:ascii="Liberation Sans" w:hAnsi="Liberation Sans"/>
                <w:sz w:val="17"/>
              </w:rPr>
              <w:t>Update the camera, registration and perception baseline.</w:t>
            </w:r>
          </w:p>
        </w:tc>
      </w:tr>
      <w:tr>
        <w:tc>
          <w:tcPr>
            <w:tcW w:type="dxa" w:w="1814"/>
            <w:shd w:fill="F2F4F6"/>
            <w:tcMar>
              <w:top w:w="90" w:type="dxa"/>
              <w:start w:w="110" w:type="dxa"/>
              <w:bottom w:w="90" w:type="dxa"/>
              <w:end w:w="110" w:type="dxa"/>
            </w:tcMar>
          </w:tcPr>
          <w:p>
            <w:pPr>
              <w:spacing w:after="0"/>
            </w:pPr>
            <w:r>
              <w:rPr>
                <w:rFonts w:ascii="Liberation Sans" w:hAnsi="Liberation Sans"/>
                <w:sz w:val="17"/>
              </w:rPr>
              <w:t>6. Multi-sensor fusion and tracking state of the art</w:t>
            </w:r>
          </w:p>
        </w:tc>
        <w:tc>
          <w:tcPr>
            <w:tcW w:type="dxa" w:w="7370"/>
            <w:shd w:fill="F2F4F6"/>
            <w:tcMar>
              <w:top w:w="90" w:type="dxa"/>
              <w:start w:w="110" w:type="dxa"/>
              <w:bottom w:w="90" w:type="dxa"/>
              <w:end w:w="110" w:type="dxa"/>
            </w:tcMar>
          </w:tcPr>
          <w:p>
            <w:pPr>
              <w:spacing w:after="0"/>
            </w:pPr>
            <w:r>
              <w:rPr>
                <w:rFonts w:ascii="Liberation Sans" w:hAnsi="Liberation Sans"/>
                <w:sz w:val="17"/>
              </w:rPr>
              <w:t>Select approaches for asynchronous radar-camera fusion and dynamic-object tracking.</w:t>
            </w:r>
          </w:p>
        </w:tc>
      </w:tr>
      <w:tr>
        <w:tc>
          <w:tcPr>
            <w:tcW w:type="dxa" w:w="1814"/>
            <w:shd w:fill="FFFFFF"/>
            <w:tcMar>
              <w:top w:w="90" w:type="dxa"/>
              <w:start w:w="110" w:type="dxa"/>
              <w:bottom w:w="90" w:type="dxa"/>
              <w:end w:w="110" w:type="dxa"/>
            </w:tcMar>
          </w:tcPr>
          <w:p>
            <w:pPr>
              <w:spacing w:after="0"/>
            </w:pPr>
            <w:r>
              <w:rPr>
                <w:rFonts w:ascii="Liberation Sans" w:hAnsi="Liberation Sans"/>
                <w:sz w:val="17"/>
              </w:rPr>
              <w:t>7. Semantic segmentation and 6D pose estimation state of the art</w:t>
            </w:r>
          </w:p>
        </w:tc>
        <w:tc>
          <w:tcPr>
            <w:tcW w:type="dxa" w:w="7370"/>
            <w:shd w:fill="FFFFFF"/>
            <w:tcMar>
              <w:top w:w="90" w:type="dxa"/>
              <w:start w:w="110" w:type="dxa"/>
              <w:bottom w:w="90" w:type="dxa"/>
              <w:end w:w="110" w:type="dxa"/>
            </w:tcMar>
          </w:tcPr>
          <w:p>
            <w:pPr>
              <w:spacing w:after="0"/>
            </w:pPr>
            <w:r>
              <w:rPr>
                <w:rFonts w:ascii="Liberation Sans" w:hAnsi="Liberation Sans"/>
                <w:sz w:val="17"/>
              </w:rPr>
              <w:t>Update candidate methods for object identity, geometry and pose.</w:t>
            </w:r>
          </w:p>
        </w:tc>
      </w:tr>
      <w:tr>
        <w:tc>
          <w:tcPr>
            <w:tcW w:type="dxa" w:w="1814"/>
            <w:shd w:fill="F2F4F6"/>
            <w:tcMar>
              <w:top w:w="90" w:type="dxa"/>
              <w:start w:w="110" w:type="dxa"/>
              <w:bottom w:w="90" w:type="dxa"/>
              <w:end w:w="110" w:type="dxa"/>
            </w:tcMar>
          </w:tcPr>
          <w:p>
            <w:pPr>
              <w:spacing w:after="0"/>
            </w:pPr>
            <w:r>
              <w:rPr>
                <w:rFonts w:ascii="Liberation Sans" w:hAnsi="Liberation Sans"/>
                <w:sz w:val="17"/>
              </w:rPr>
              <w:t>8. Gap analysis and updated technical architecture</w:t>
            </w:r>
          </w:p>
        </w:tc>
        <w:tc>
          <w:tcPr>
            <w:tcW w:type="dxa" w:w="7370"/>
            <w:shd w:fill="F2F4F6"/>
            <w:tcMar>
              <w:top w:w="90" w:type="dxa"/>
              <w:start w:w="110" w:type="dxa"/>
              <w:bottom w:w="90" w:type="dxa"/>
              <w:end w:w="110" w:type="dxa"/>
            </w:tcMar>
          </w:tcPr>
          <w:p>
            <w:pPr>
              <w:spacing w:after="0"/>
            </w:pPr>
            <w:r>
              <w:rPr>
                <w:rFonts w:ascii="Liberation Sans" w:hAnsi="Liberation Sans"/>
                <w:sz w:val="17"/>
              </w:rPr>
              <w:t>Turn the evidence into a revised sensing-stack design.</w:t>
            </w:r>
          </w:p>
        </w:tc>
      </w:tr>
      <w:tr>
        <w:tc>
          <w:tcPr>
            <w:tcW w:type="dxa" w:w="1814"/>
            <w:shd w:fill="FFFFFF"/>
            <w:tcMar>
              <w:top w:w="90" w:type="dxa"/>
              <w:start w:w="110" w:type="dxa"/>
              <w:bottom w:w="90" w:type="dxa"/>
              <w:end w:w="110" w:type="dxa"/>
            </w:tcMar>
          </w:tcPr>
          <w:p>
            <w:pPr>
              <w:spacing w:after="0"/>
            </w:pPr>
            <w:r>
              <w:rPr>
                <w:rFonts w:ascii="Liberation Sans" w:hAnsi="Liberation Sans"/>
                <w:sz w:val="17"/>
              </w:rPr>
              <w:t>9. Method and sensor selection</w:t>
            </w:r>
          </w:p>
        </w:tc>
        <w:tc>
          <w:tcPr>
            <w:tcW w:type="dxa" w:w="7370"/>
            <w:shd w:fill="FFFFFF"/>
            <w:tcMar>
              <w:top w:w="90" w:type="dxa"/>
              <w:start w:w="110" w:type="dxa"/>
              <w:bottom w:w="90" w:type="dxa"/>
              <w:end w:w="110" w:type="dxa"/>
            </w:tcMar>
          </w:tcPr>
          <w:p>
            <w:pPr>
              <w:spacing w:after="0"/>
            </w:pPr>
            <w:r>
              <w:rPr>
                <w:rFonts w:ascii="Liberation Sans" w:hAnsi="Liberation Sans"/>
                <w:sz w:val="17"/>
              </w:rPr>
              <w:t>Record preferred and fallback choices for implementation.</w:t>
            </w:r>
          </w:p>
        </w:tc>
      </w:tr>
      <w:tr>
        <w:tc>
          <w:tcPr>
            <w:tcW w:type="dxa" w:w="1814"/>
            <w:shd w:fill="F2F4F6"/>
            <w:tcMar>
              <w:top w:w="90" w:type="dxa"/>
              <w:start w:w="110" w:type="dxa"/>
              <w:bottom w:w="90" w:type="dxa"/>
              <w:end w:w="110" w:type="dxa"/>
            </w:tcMar>
          </w:tcPr>
          <w:p>
            <w:pPr>
              <w:spacing w:after="0"/>
            </w:pPr>
            <w:r>
              <w:rPr>
                <w:rFonts w:ascii="Liberation Sans" w:hAnsi="Liberation Sans"/>
                <w:sz w:val="17"/>
              </w:rPr>
              <w:t>10. Benchmarking and validation plan</w:t>
            </w:r>
          </w:p>
        </w:tc>
        <w:tc>
          <w:tcPr>
            <w:tcW w:type="dxa" w:w="7370"/>
            <w:shd w:fill="F2F4F6"/>
            <w:tcMar>
              <w:top w:w="90" w:type="dxa"/>
              <w:start w:w="110" w:type="dxa"/>
              <w:bottom w:w="90" w:type="dxa"/>
              <w:end w:w="110" w:type="dxa"/>
            </w:tcMar>
          </w:tcPr>
          <w:p>
            <w:pPr>
              <w:spacing w:after="0"/>
            </w:pPr>
            <w:r>
              <w:rPr>
                <w:rFonts w:ascii="Liberation Sans" w:hAnsi="Liberation Sans"/>
                <w:sz w:val="17"/>
              </w:rPr>
              <w:t>Define test scenes, datasets, metrics and baselines.</w:t>
            </w:r>
          </w:p>
        </w:tc>
      </w:tr>
      <w:tr>
        <w:tc>
          <w:tcPr>
            <w:tcW w:type="dxa" w:w="1814"/>
            <w:shd w:fill="FFFFFF"/>
            <w:tcMar>
              <w:top w:w="90" w:type="dxa"/>
              <w:start w:w="110" w:type="dxa"/>
              <w:bottom w:w="90" w:type="dxa"/>
              <w:end w:w="110" w:type="dxa"/>
            </w:tcMar>
          </w:tcPr>
          <w:p>
            <w:pPr>
              <w:spacing w:after="0"/>
            </w:pPr>
            <w:r>
              <w:rPr>
                <w:rFonts w:ascii="Liberation Sans" w:hAnsi="Liberation Sans"/>
                <w:sz w:val="17"/>
              </w:rPr>
              <w:t>11. Data, safety, ethics and cybersecurity</w:t>
            </w:r>
          </w:p>
        </w:tc>
        <w:tc>
          <w:tcPr>
            <w:tcW w:type="dxa" w:w="7370"/>
            <w:shd w:fill="FFFFFF"/>
            <w:tcMar>
              <w:top w:w="90" w:type="dxa"/>
              <w:start w:w="110" w:type="dxa"/>
              <w:bottom w:w="90" w:type="dxa"/>
              <w:end w:w="110" w:type="dxa"/>
            </w:tcMar>
          </w:tcPr>
          <w:p>
            <w:pPr>
              <w:spacing w:after="0"/>
            </w:pPr>
            <w:r>
              <w:rPr>
                <w:rFonts w:ascii="Liberation Sans" w:hAnsi="Liberation Sans"/>
                <w:sz w:val="17"/>
              </w:rPr>
              <w:t>Ensure the sensing plan is deployable in human-shared industrial spaces.</w:t>
            </w:r>
          </w:p>
        </w:tc>
      </w:tr>
      <w:tr>
        <w:tc>
          <w:tcPr>
            <w:tcW w:type="dxa" w:w="1814"/>
            <w:shd w:fill="F2F4F6"/>
            <w:tcMar>
              <w:top w:w="90" w:type="dxa"/>
              <w:start w:w="110" w:type="dxa"/>
              <w:bottom w:w="90" w:type="dxa"/>
              <w:end w:w="110" w:type="dxa"/>
            </w:tcMar>
          </w:tcPr>
          <w:p>
            <w:pPr>
              <w:spacing w:after="0"/>
            </w:pPr>
            <w:r>
              <w:rPr>
                <w:rFonts w:ascii="Liberation Sans" w:hAnsi="Liberation Sans"/>
                <w:sz w:val="17"/>
              </w:rPr>
              <w:t>12. Updated roadmap and conclusions</w:t>
            </w:r>
          </w:p>
        </w:tc>
        <w:tc>
          <w:tcPr>
            <w:tcW w:type="dxa" w:w="7370"/>
            <w:shd w:fill="F2F4F6"/>
            <w:tcMar>
              <w:top w:w="90" w:type="dxa"/>
              <w:start w:w="110" w:type="dxa"/>
              <w:bottom w:w="90" w:type="dxa"/>
              <w:end w:w="110" w:type="dxa"/>
            </w:tcMar>
          </w:tcPr>
          <w:p>
            <w:pPr>
              <w:spacing w:after="0"/>
            </w:pPr>
            <w:r>
              <w:rPr>
                <w:rFonts w:ascii="Liberation Sans" w:hAnsi="Liberation Sans"/>
                <w:sz w:val="17"/>
              </w:rPr>
              <w:t>Set the implementation sequence through M24 and identify open decisions.</w:t>
            </w:r>
          </w:p>
        </w:tc>
      </w:tr>
    </w:tbl>
    <w:p>
      <w:r>
        <w:br w:type="page"/>
      </w:r>
    </w:p>
    <w:p>
      <w:pPr>
        <w:pStyle w:val="Heading1"/>
        <w:keepNext/>
        <w:keepLines/>
      </w:pPr>
      <w:r>
        <w:t>Detailed writing outline</w:t>
      </w:r>
    </w:p>
    <w:p>
      <w:pPr>
        <w:pStyle w:val="Heading1"/>
        <w:keepNext/>
        <w:keepLines/>
      </w:pPr>
      <w:r>
        <w:t>1. Executive summary</w:t>
      </w:r>
    </w:p>
    <w:p>
      <w:pPr>
        <w:spacing w:after="80"/>
      </w:pPr>
      <w:r>
        <w:rPr>
          <w:b/>
          <w:color w:val="1F4E78"/>
        </w:rPr>
        <w:t xml:space="preserve">Section purpose: </w:t>
      </w:r>
      <w:r>
        <w:rPr>
          <w:i/>
          <w:sz w:val="19"/>
        </w:rPr>
        <w:t>Present the sensing technologies and algorithms selected for the Plan4ARI context-awareness stack.</w:t>
      </w:r>
    </w:p>
    <w:p>
      <w:pPr>
        <w:pStyle w:val="ListBullet"/>
      </w:pPr>
      <w:r>
        <w:t>Key market and scientific advances in radar, 3D vision, sensor fusion, tracking, segmentation and 6D pose estimation.</w:t>
      </w:r>
    </w:p>
    <w:p>
      <w:pPr>
        <w:pStyle w:val="ListBullet"/>
      </w:pPr>
      <w:r>
        <w:t>Changes to the original plan and their expected performance or integration impact.</w:t>
      </w:r>
    </w:p>
    <w:p>
      <w:pPr>
        <w:pStyle w:val="ListBullet"/>
      </w:pPr>
      <w:r>
        <w:t>Priority decisions for Tasks 3.2-3.4.</w:t>
      </w:r>
    </w:p>
    <w:p>
      <w:pPr>
        <w:pStyle w:val="Heading1"/>
        <w:keepNext/>
        <w:keepLines/>
      </w:pPr>
      <w:r>
        <w:t>2. Objectives, use cases and original baseline</w:t>
      </w:r>
    </w:p>
    <w:p>
      <w:pPr>
        <w:spacing w:after="80"/>
      </w:pPr>
      <w:r>
        <w:rPr>
          <w:b/>
          <w:color w:val="1F4E78"/>
        </w:rPr>
        <w:t xml:space="preserve">Section purpose: </w:t>
      </w:r>
      <w:r>
        <w:rPr>
          <w:i/>
          <w:sz w:val="19"/>
        </w:rPr>
        <w:t>Link the review to the project need for robust, high-frequency scene awareness.</w:t>
      </w:r>
    </w:p>
    <w:p>
      <w:pPr>
        <w:pStyle w:val="ListBullet"/>
      </w:pPr>
      <w:r>
        <w:t>Operational objectives: robot localisation, human/movable-object tracking, semantic segmentation and symbol-to-geometry conversion.</w:t>
      </w:r>
    </w:p>
    <w:p>
      <w:pPr>
        <w:pStyle w:val="ListBullet"/>
      </w:pPr>
      <w:r>
        <w:t>Original dual-layer concept: high-frequency radar plus lower-frequency, higher-accuracy 3D cameras.</w:t>
      </w:r>
    </w:p>
    <w:p>
      <w:pPr>
        <w:pStyle w:val="ListBullet"/>
      </w:pPr>
      <w:r>
        <w:t>Links to mobile manipulation, online replanning, safety monitoring and natural-language task specification.</w:t>
      </w:r>
    </w:p>
    <w:p>
      <w:pPr>
        <w:pStyle w:val="ListBullet"/>
      </w:pPr>
      <w:r>
        <w:t>Baseline KPI: improved registration accuracy, with the project expecting about 20% improvement over standard vision-only registration.</w:t>
      </w:r>
    </w:p>
    <w:p>
      <w:pPr>
        <w:pStyle w:val="Heading1"/>
        <w:keepNext/>
        <w:keepLines/>
      </w:pPr>
      <w:r>
        <w:t>3. Review methodology and evaluation framework</w:t>
      </w:r>
    </w:p>
    <w:p>
      <w:pPr>
        <w:spacing w:after="80"/>
      </w:pPr>
      <w:r>
        <w:rPr>
          <w:b/>
          <w:color w:val="1F4E78"/>
        </w:rPr>
        <w:t xml:space="preserve">Section purpose: </w:t>
      </w:r>
      <w:r>
        <w:rPr>
          <w:i/>
          <w:sz w:val="19"/>
        </w:rPr>
        <w:t>Define how sensors and algorithms are compared.</w:t>
      </w:r>
    </w:p>
    <w:p>
      <w:pPr>
        <w:pStyle w:val="ListBullet"/>
      </w:pPr>
      <w:r>
        <w:t>Search sources, vendor engagement, test data and recency cut-off.</w:t>
      </w:r>
    </w:p>
    <w:p>
      <w:pPr>
        <w:pStyle w:val="ListBullet"/>
      </w:pPr>
      <w:r>
        <w:t>Hardware criteria: range, field of view, point density, frequency, latency, accuracy, environmental robustness, synchronisation, safety status, price and availability.</w:t>
      </w:r>
    </w:p>
    <w:p>
      <w:pPr>
        <w:pStyle w:val="ListBullet"/>
      </w:pPr>
      <w:r>
        <w:t>Algorithm criteria: accuracy, robustness, compute footprint, training-data need, explainability, online capability, calibration sensitivity and integration maturity.</w:t>
      </w:r>
    </w:p>
    <w:p>
      <w:pPr>
        <w:pStyle w:val="ListBullet"/>
      </w:pPr>
      <w:r>
        <w:t>Common reference frames and ground-truth strategy.</w:t>
      </w:r>
    </w:p>
    <w:p>
      <w:pPr>
        <w:pStyle w:val="Heading1"/>
        <w:keepNext/>
        <w:keepLines/>
      </w:pPr>
      <w:r>
        <w:t>4. Radar-sensor market and technology review</w:t>
      </w:r>
    </w:p>
    <w:p>
      <w:pPr>
        <w:spacing w:after="80"/>
      </w:pPr>
      <w:r>
        <w:rPr>
          <w:b/>
          <w:color w:val="1F4E78"/>
        </w:rPr>
        <w:t xml:space="preserve">Section purpose: </w:t>
      </w:r>
      <w:r>
        <w:rPr>
          <w:i/>
          <w:sz w:val="19"/>
        </w:rPr>
        <w:t>Identify radar devices suitable for industrial 3D scene monitoring and human tracking.</w:t>
      </w:r>
    </w:p>
    <w:p>
      <w:pPr>
        <w:pStyle w:val="ListBullet"/>
      </w:pPr>
      <w:r>
        <w:t>Radar modalities and point-cloud capabilities relevant to indoor robotics.</w:t>
      </w:r>
    </w:p>
    <w:p>
      <w:pPr>
        <w:pStyle w:val="ListBullet"/>
      </w:pPr>
      <w:r>
        <w:t>Performance comparison across candidate sensors.</w:t>
      </w:r>
    </w:p>
    <w:p>
      <w:pPr>
        <w:pStyle w:val="ListBullet"/>
      </w:pPr>
      <w:r>
        <w:t>Interfaces, timestamping, calibration support and ROS2 compatibility.</w:t>
      </w:r>
    </w:p>
    <w:p>
      <w:pPr>
        <w:pStyle w:val="ListBullet"/>
      </w:pPr>
      <w:r>
        <w:t>Industrial availability, cost, support, certification status and procurement risk.</w:t>
      </w:r>
    </w:p>
    <w:p>
      <w:pPr>
        <w:pStyle w:val="ListBullet"/>
      </w:pPr>
      <w:r>
        <w:t>Shortlist and rationale for laboratory evaluation.</w:t>
      </w:r>
    </w:p>
    <w:p>
      <w:pPr>
        <w:spacing w:before="40"/>
      </w:pPr>
      <w:r>
        <w:rPr>
          <w:b/>
          <w:color w:val="243746"/>
        </w:rPr>
        <w:t>Recommended evidence / artefacts</w:t>
      </w:r>
    </w:p>
    <w:p>
      <w:pPr>
        <w:pStyle w:val="ListBullet2"/>
      </w:pPr>
      <w:r>
        <w:t>Radar shortlist with minimum and preferred specifications.</w:t>
      </w:r>
    </w:p>
    <w:p>
      <w:pPr>
        <w:pStyle w:val="Heading1"/>
        <w:keepNext/>
        <w:keepLines/>
      </w:pPr>
      <w:r>
        <w:t>5. 3D vision and scene-understanding review</w:t>
      </w:r>
    </w:p>
    <w:p>
      <w:pPr>
        <w:spacing w:after="80"/>
      </w:pPr>
      <w:r>
        <w:rPr>
          <w:b/>
          <w:color w:val="1F4E78"/>
        </w:rPr>
        <w:t xml:space="preserve">Section purpose: </w:t>
      </w:r>
      <w:r>
        <w:rPr>
          <w:i/>
          <w:sz w:val="19"/>
        </w:rPr>
        <w:t>Update the camera, registration and perception baseline.</w:t>
      </w:r>
    </w:p>
    <w:p>
      <w:pPr>
        <w:pStyle w:val="ListBullet"/>
      </w:pPr>
      <w:r>
        <w:t>3D camera modalities and suitability for cluttered industrial cells.</w:t>
      </w:r>
    </w:p>
    <w:p>
      <w:pPr>
        <w:pStyle w:val="ListBullet"/>
      </w:pPr>
      <w:r>
        <w:t>Robot/camera registration, hand-eye and eye-to-hand calibration, and online localisation.</w:t>
      </w:r>
    </w:p>
    <w:p>
      <w:pPr>
        <w:pStyle w:val="ListBullet"/>
      </w:pPr>
      <w:r>
        <w:t>Point-cloud preprocessing, denoising and scene updating.</w:t>
      </w:r>
    </w:p>
    <w:p>
      <w:pPr>
        <w:pStyle w:val="ListBullet"/>
      </w:pPr>
      <w:r>
        <w:t>Limitations under occlusion, reflective surfaces, lighting variation and fast human motion.</w:t>
      </w:r>
    </w:p>
    <w:p>
      <w:pPr>
        <w:pStyle w:val="Heading1"/>
        <w:keepNext/>
        <w:keepLines/>
      </w:pPr>
      <w:r>
        <w:t>6. Multi-sensor fusion and tracking state of the art</w:t>
      </w:r>
    </w:p>
    <w:p>
      <w:pPr>
        <w:spacing w:after="80"/>
      </w:pPr>
      <w:r>
        <w:rPr>
          <w:b/>
          <w:color w:val="1F4E78"/>
        </w:rPr>
        <w:t xml:space="preserve">Section purpose: </w:t>
      </w:r>
      <w:r>
        <w:rPr>
          <w:i/>
          <w:sz w:val="19"/>
        </w:rPr>
        <w:t>Select approaches for asynchronous radar-camera fusion and dynamic-object tracking.</w:t>
      </w:r>
    </w:p>
    <w:p>
      <w:pPr>
        <w:pStyle w:val="ListBullet"/>
      </w:pPr>
      <w:r>
        <w:t>Early, intermediate and late fusion architectures.</w:t>
      </w:r>
    </w:p>
    <w:p>
      <w:pPr>
        <w:pStyle w:val="ListBullet"/>
      </w:pPr>
      <w:r>
        <w:t>Temporal alignment, extrinsic calibration and uncertainty representation.</w:t>
      </w:r>
    </w:p>
    <w:p>
      <w:pPr>
        <w:pStyle w:val="ListBullet"/>
      </w:pPr>
      <w:r>
        <w:t>Multi-object detection and tracking, including probabilistic methods such as GM-PHD and modern learning-based alternatives.</w:t>
      </w:r>
    </w:p>
    <w:p>
      <w:pPr>
        <w:pStyle w:val="ListBullet"/>
      </w:pPr>
      <w:r>
        <w:t>Transformer- and graph-based fusion trends.</w:t>
      </w:r>
    </w:p>
    <w:p>
      <w:pPr>
        <w:pStyle w:val="ListBullet"/>
      </w:pPr>
      <w:r>
        <w:t>Failure detection, confidence estimation and graceful degradation.</w:t>
      </w:r>
    </w:p>
    <w:p>
      <w:pPr>
        <w:pStyle w:val="Heading1"/>
        <w:keepNext/>
        <w:keepLines/>
      </w:pPr>
      <w:r>
        <w:t>7. Semantic segmentation and 6D pose estimation state of the art</w:t>
      </w:r>
    </w:p>
    <w:p>
      <w:pPr>
        <w:spacing w:after="80"/>
      </w:pPr>
      <w:r>
        <w:rPr>
          <w:b/>
          <w:color w:val="1F4E78"/>
        </w:rPr>
        <w:t xml:space="preserve">Section purpose: </w:t>
      </w:r>
      <w:r>
        <w:rPr>
          <w:i/>
          <w:sz w:val="19"/>
        </w:rPr>
        <w:t>Update candidate methods for object identity, geometry and pose.</w:t>
      </w:r>
    </w:p>
    <w:p>
      <w:pPr>
        <w:pStyle w:val="ListBullet"/>
      </w:pPr>
      <w:r>
        <w:t>2D/3D semantic and instance segmentation: CNN, U-Net, DeepLab, Mask R-CNN and transformer families.</w:t>
      </w:r>
    </w:p>
    <w:p>
      <w:pPr>
        <w:pStyle w:val="ListBullet"/>
      </w:pPr>
      <w:r>
        <w:t>Keypoint-based and direct 6D pose methods, including PoseCNN-, PVNet-, PoseRBPF- and end-to-end approaches.</w:t>
      </w:r>
    </w:p>
    <w:p>
      <w:pPr>
        <w:pStyle w:val="ListBullet"/>
      </w:pPr>
      <w:r>
        <w:t>Open-vocabulary and foundation-model approaches relevant to natural-language object references.</w:t>
      </w:r>
    </w:p>
    <w:p>
      <w:pPr>
        <w:pStyle w:val="ListBullet"/>
      </w:pPr>
      <w:r>
        <w:t>Data requirements, synthetic-data options, domain adaptation and uncertainty.</w:t>
      </w:r>
    </w:p>
    <w:p>
      <w:pPr>
        <w:pStyle w:val="ListBullet"/>
      </w:pPr>
      <w:r>
        <w:t>Compatibility with MI.RA/Dexter object databases and symbolic planning.</w:t>
      </w:r>
    </w:p>
    <w:p>
      <w:pPr>
        <w:pStyle w:val="Heading1"/>
        <w:keepNext/>
        <w:keepLines/>
      </w:pPr>
      <w:r>
        <w:t>8. Gap analysis and updated technical architecture</w:t>
      </w:r>
    </w:p>
    <w:p>
      <w:pPr>
        <w:spacing w:after="80"/>
      </w:pPr>
      <w:r>
        <w:rPr>
          <w:b/>
          <w:color w:val="1F4E78"/>
        </w:rPr>
        <w:t xml:space="preserve">Section purpose: </w:t>
      </w:r>
      <w:r>
        <w:rPr>
          <w:i/>
          <w:sz w:val="19"/>
        </w:rPr>
        <w:t>Turn the evidence into a revised sensing-stack design.</w:t>
      </w:r>
    </w:p>
    <w:p>
      <w:pPr>
        <w:pStyle w:val="ListBullet"/>
      </w:pPr>
      <w:r>
        <w:t>Gap matrix comparing original assumptions with current tools.</w:t>
      </w:r>
    </w:p>
    <w:p>
      <w:pPr>
        <w:pStyle w:val="ListBullet"/>
      </w:pPr>
      <w:r>
        <w:t>Updated architecture for sensor acquisition, timestamping, fusion, tracking, segmentation, pose estimation and scene publication.</w:t>
      </w:r>
    </w:p>
    <w:p>
      <w:pPr>
        <w:pStyle w:val="ListBullet"/>
      </w:pPr>
      <w:r>
        <w:t>Data rates and computation allocation across devices and IPCs.</w:t>
      </w:r>
    </w:p>
    <w:p>
      <w:pPr>
        <w:pStyle w:val="ListBullet"/>
      </w:pPr>
      <w:r>
        <w:t>Interfaces with Activity 2 knowledge base, Activity 4 motion planning and Activity 5 control.</w:t>
      </w:r>
    </w:p>
    <w:p>
      <w:pPr>
        <w:pStyle w:val="ListBullet"/>
      </w:pPr>
      <w:r>
        <w:t>Fallback behaviour when a sensor or recognition method fails.</w:t>
      </w:r>
    </w:p>
    <w:p>
      <w:pPr>
        <w:pStyle w:val="Heading1"/>
        <w:keepNext/>
        <w:keepLines/>
      </w:pPr>
      <w:r>
        <w:t>9. Method and sensor selection</w:t>
      </w:r>
    </w:p>
    <w:p>
      <w:pPr>
        <w:spacing w:after="80"/>
      </w:pPr>
      <w:r>
        <w:rPr>
          <w:b/>
          <w:color w:val="1F4E78"/>
        </w:rPr>
        <w:t xml:space="preserve">Section purpose: </w:t>
      </w:r>
      <w:r>
        <w:rPr>
          <w:i/>
          <w:sz w:val="19"/>
        </w:rPr>
        <w:t>Record preferred and fallback choices for implementation.</w:t>
      </w:r>
    </w:p>
    <w:p>
      <w:pPr>
        <w:pStyle w:val="ListBullet"/>
      </w:pPr>
      <w:r>
        <w:t>Selected radar and camera classes or procurement shortlist.</w:t>
      </w:r>
    </w:p>
    <w:p>
      <w:pPr>
        <w:pStyle w:val="ListBullet"/>
      </w:pPr>
      <w:r>
        <w:t>Selected fusion, tracking, registration and segmentation approaches.</w:t>
      </w:r>
    </w:p>
    <w:p>
      <w:pPr>
        <w:pStyle w:val="ListBullet"/>
      </w:pPr>
      <w:r>
        <w:t>Calibration strategy and update frequency.</w:t>
      </w:r>
    </w:p>
    <w:p>
      <w:pPr>
        <w:pStyle w:val="ListBullet"/>
      </w:pPr>
      <w:r>
        <w:t>Hardware/software dependencies, licensing and cost implications.</w:t>
      </w:r>
    </w:p>
    <w:p>
      <w:pPr>
        <w:pStyle w:val="ListBullet"/>
      </w:pPr>
      <w:r>
        <w:t>Decision gates after initial sensor tests.</w:t>
      </w:r>
    </w:p>
    <w:p>
      <w:pPr>
        <w:pStyle w:val="Heading1"/>
        <w:keepNext/>
        <w:keepLines/>
      </w:pPr>
      <w:r>
        <w:t>10. Benchmarking and validation plan</w:t>
      </w:r>
    </w:p>
    <w:p>
      <w:pPr>
        <w:spacing w:after="80"/>
      </w:pPr>
      <w:r>
        <w:rPr>
          <w:b/>
          <w:color w:val="1F4E78"/>
        </w:rPr>
        <w:t xml:space="preserve">Section purpose: </w:t>
      </w:r>
      <w:r>
        <w:rPr>
          <w:i/>
          <w:sz w:val="19"/>
        </w:rPr>
        <w:t>Define test scenes, datasets, metrics and baselines.</w:t>
      </w:r>
    </w:p>
    <w:p>
      <w:pPr>
        <w:pStyle w:val="ListBullet"/>
      </w:pPr>
      <w:r>
        <w:t>At least 50 representative application scenarios and more than 100 evaluation contexts, aligned with the project plan.</w:t>
      </w:r>
    </w:p>
    <w:p>
      <w:pPr>
        <w:pStyle w:val="ListBullet"/>
      </w:pPr>
      <w:r>
        <w:t>Ground truth for object/human tracks, poses and robot localisation.</w:t>
      </w:r>
    </w:p>
    <w:p>
      <w:pPr>
        <w:pStyle w:val="ListBullet"/>
      </w:pPr>
      <w:r>
        <w:t>Metrics: update frequency, end-to-end latency, precision/recall, pose error, track continuity, registration accuracy, robustness and compute load.</w:t>
      </w:r>
    </w:p>
    <w:p>
      <w:pPr>
        <w:pStyle w:val="ListBullet"/>
      </w:pPr>
      <w:r>
        <w:t>Vision-only baseline and fusion ablations.</w:t>
      </w:r>
    </w:p>
    <w:p>
      <w:pPr>
        <w:pStyle w:val="ListBullet"/>
      </w:pPr>
      <w:r>
        <w:t>Environmental stress tests: clutter, occlusion, lighting, reflective objects and fast motion.</w:t>
      </w:r>
    </w:p>
    <w:p>
      <w:pPr>
        <w:pStyle w:val="ListBullet"/>
      </w:pPr>
      <w:r>
        <w:t>Acceptance thresholds and reporting format.</w:t>
      </w:r>
    </w:p>
    <w:p>
      <w:pPr>
        <w:pStyle w:val="Heading1"/>
        <w:keepNext/>
        <w:keepLines/>
      </w:pPr>
      <w:r>
        <w:t>11. Data, safety, ethics and cybersecurity</w:t>
      </w:r>
    </w:p>
    <w:p>
      <w:pPr>
        <w:spacing w:after="80"/>
      </w:pPr>
      <w:r>
        <w:rPr>
          <w:b/>
          <w:color w:val="1F4E78"/>
        </w:rPr>
        <w:t xml:space="preserve">Section purpose: </w:t>
      </w:r>
      <w:r>
        <w:rPr>
          <w:i/>
          <w:sz w:val="19"/>
        </w:rPr>
        <w:t>Ensure the sensing plan is deployable in human-shared industrial spaces.</w:t>
      </w:r>
    </w:p>
    <w:p>
      <w:pPr>
        <w:pStyle w:val="ListBullet"/>
      </w:pPr>
      <w:r>
        <w:t>Human-tracking data minimisation, anonymisation and retention.</w:t>
      </w:r>
    </w:p>
    <w:p>
      <w:pPr>
        <w:pStyle w:val="ListBullet"/>
      </w:pPr>
      <w:r>
        <w:t>Prohibition or restriction of emotion inference and alignment with the project AI Act/GDPR approach.</w:t>
      </w:r>
    </w:p>
    <w:p>
      <w:pPr>
        <w:pStyle w:val="ListBullet"/>
      </w:pPr>
      <w:r>
        <w:t>Sensor spoofing, network security and integrity checks.</w:t>
      </w:r>
    </w:p>
    <w:p>
      <w:pPr>
        <w:pStyle w:val="ListBullet"/>
      </w:pPr>
      <w:r>
        <w:t>Safety-role assumptions: research/perception data versus certified safety functions.</w:t>
      </w:r>
    </w:p>
    <w:p>
      <w:pPr>
        <w:pStyle w:val="ListBullet"/>
      </w:pPr>
      <w:r>
        <w:t>Dataset publication assessment and consent requirements.</w:t>
      </w:r>
    </w:p>
    <w:p>
      <w:pPr>
        <w:pStyle w:val="Heading1"/>
        <w:keepNext/>
        <w:keepLines/>
      </w:pPr>
      <w:r>
        <w:t>12. Updated roadmap and conclusions</w:t>
      </w:r>
    </w:p>
    <w:p>
      <w:pPr>
        <w:spacing w:after="80"/>
      </w:pPr>
      <w:r>
        <w:rPr>
          <w:b/>
          <w:color w:val="1F4E78"/>
        </w:rPr>
        <w:t xml:space="preserve">Section purpose: </w:t>
      </w:r>
      <w:r>
        <w:rPr>
          <w:i/>
          <w:sz w:val="19"/>
        </w:rPr>
        <w:t>Set the implementation sequence through M24 and identify open decisions.</w:t>
      </w:r>
    </w:p>
    <w:p>
      <w:pPr>
        <w:pStyle w:val="ListBullet"/>
      </w:pPr>
      <w:r>
        <w:t>Roadmap for radar integration, fusion and semantic segmentation.</w:t>
      </w:r>
    </w:p>
    <w:p>
      <w:pPr>
        <w:pStyle w:val="ListBullet"/>
      </w:pPr>
      <w:r>
        <w:t>Responsibility split and dependencies.</w:t>
      </w:r>
    </w:p>
    <w:p>
      <w:pPr>
        <w:pStyle w:val="ListBullet"/>
      </w:pPr>
      <w:r>
        <w:t>Prototype-to-platform integration steps.</w:t>
      </w:r>
    </w:p>
    <w:p>
      <w:pPr>
        <w:pStyle w:val="ListBullet"/>
      </w:pPr>
      <w:r>
        <w:t>Risk register and watch-list technologies.</w:t>
      </w:r>
    </w:p>
    <w:p>
      <w:pPr>
        <w:pStyle w:val="ListBullet"/>
      </w:pPr>
      <w:r>
        <w:t>Approved updates to the scientific plan.</w:t>
      </w:r>
    </w:p>
    <w:p>
      <w:pPr>
        <w:pStyle w:val="Heading1"/>
        <w:keepNext/>
        <w:keepLines/>
      </w:pPr>
      <w:r>
        <w:t>Completion checklist</w:t>
      </w:r>
    </w:p>
    <w:p>
      <w:pPr>
        <w:pStyle w:val="ListBullet"/>
      </w:pPr>
      <w:r>
        <w:t>[ ] The final title, due date, lead beneficiary and dissemination level are confirmed.</w:t>
      </w:r>
    </w:p>
    <w:p>
      <w:pPr>
        <w:pStyle w:val="ListBullet"/>
      </w:pPr>
      <w:r>
        <w:t>[ ] All claims are traceable to project records, scientific sources or test evidence.</w:t>
      </w:r>
    </w:p>
    <w:p>
      <w:pPr>
        <w:pStyle w:val="ListBullet"/>
      </w:pPr>
      <w:r>
        <w:t>[ ] Dependencies and contributions from other activities are explicitly acknowledged.</w:t>
      </w:r>
    </w:p>
    <w:p>
      <w:pPr>
        <w:pStyle w:val="ListBullet"/>
      </w:pPr>
      <w:r>
        <w:t>[ ] KPIs have definitions, baselines, measurement methods and responsible owners.</w:t>
      </w:r>
    </w:p>
    <w:p>
      <w:pPr>
        <w:pStyle w:val="ListBullet"/>
      </w:pPr>
      <w:r>
        <w:t>[ ] Ethics, GDPR, safety, security and IPR considerations are addressed where applicable.</w:t>
      </w:r>
    </w:p>
    <w:p>
      <w:pPr>
        <w:pStyle w:val="ListBullet"/>
      </w:pPr>
      <w:r>
        <w:t>[ ] The document has passed internal technical, quality and management review.</w:t>
      </w:r>
    </w:p>
    <w:p>
      <w:pPr>
        <w:pStyle w:val="Heading1"/>
        <w:keepNext/>
        <w:keepLines/>
      </w:pPr>
      <w:r>
        <w:t>Suggested annexes</w:t>
      </w:r>
    </w:p>
    <w:p>
      <w:pPr>
        <w:pStyle w:val="ListBullet"/>
      </w:pPr>
      <w:r>
        <w:t>Annex A - Sensor market and specification matrix.</w:t>
      </w:r>
    </w:p>
    <w:p>
      <w:pPr>
        <w:pStyle w:val="ListBullet"/>
      </w:pPr>
      <w:r>
        <w:t>Annex B - Scientific literature search log.</w:t>
      </w:r>
    </w:p>
    <w:p>
      <w:pPr>
        <w:pStyle w:val="ListBullet"/>
      </w:pPr>
      <w:r>
        <w:t>Annex C - Candidate datasets and licensing assessment.</w:t>
      </w:r>
    </w:p>
    <w:p>
      <w:pPr>
        <w:pStyle w:val="ListBullet"/>
      </w:pPr>
      <w:r>
        <w:t>Annex D - Calibration and coordinate-frame conventions.</w:t>
      </w:r>
    </w:p>
    <w:p>
      <w:pPr>
        <w:pStyle w:val="ListBullet"/>
      </w:pPr>
      <w:r>
        <w:t>Annex E - Benchmark scene catalogue and test protocol.</w:t>
      </w:r>
    </w:p>
    <w:p>
      <w:pPr>
        <w:pStyle w:val="ListBullet"/>
      </w:pPr>
      <w:r>
        <w:t>Annex F - Updated sensing architecture and ROS2/MI.RA-Dexter interfaces.</w:t>
      </w:r>
    </w:p>
    <w:p>
      <w:pPr>
        <w:pStyle w:val="Heading1"/>
        <w:keepNext/>
        <w:keepLines/>
      </w:pPr>
      <w:r>
        <w:t>Source mapping</w:t>
      </w:r>
    </w:p>
    <w:p>
      <w:r>
        <w:rPr>
          <w:b/>
        </w:rPr>
        <w:t xml:space="preserve">Primary project-description basis: </w:t>
      </w:r>
      <w:r>
        <w:t>Section E.3, pp. 41-42; technical baseline in Section A.4, especially sensing, registration and semantic segmentation.</w:t>
      </w:r>
    </w:p>
    <w:p>
      <w:r>
        <w:rPr>
          <w:b/>
        </w:rPr>
        <w:t xml:space="preserve">Boundary note: </w:t>
      </w:r>
      <w:r>
        <w:t>This deliverable selects and updates methods. Sensor procurement, fusion implementation, semantic-segmentation results and platform integration belong to Tasks 3.2-3.4.</w:t>
      </w:r>
    </w:p>
    <w:sectPr w:rsidR="00FC693F" w:rsidRPr="0006063C" w:rsidSect="00034616">
      <w:headerReference w:type="default" r:id="rId9"/>
      <w:footerReference w:type="default" r:id="rId10"/>
      <w:pgSz w:w="11906" w:h="16838"/>
      <w:pgMar w:top="1020" w:right="1134" w:bottom="1020"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7087"/>
      <w:gridCol w:w="2551"/>
    </w:tblGrid>
    <w:tr>
      <w:tc>
        <w:tcPr>
          <w:tcW w:type="dxa" w:w="4819"/>
        </w:tcPr>
        <w:p>
          <w:r>
            <w:rPr>
              <w:rFonts w:ascii="Liberation Sans" w:hAnsi="Liberation Sans"/>
              <w:color w:val="667788"/>
              <w:sz w:val="15"/>
            </w:rPr>
            <w:t>Planning for Artificial Robotic Intelligence and Beyond | 20 July 2026</w:t>
          </w:r>
        </w:p>
      </w:tc>
      <w:tc>
        <w:tcPr>
          <w:tcW w:type="dxa" w:w="4819"/>
        </w:tcPr>
        <w:p>
          <w:pPr>
            <w:jc w:val="right"/>
          </w:pPr>
          <w:r>
            <w:rPr>
              <w:rFonts w:ascii="Liberation Sans" w:hAnsi="Liberation Sans"/>
              <w:sz w:val="16"/>
            </w:rPr>
            <w:t xml:space="preserve">Page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953"/>
      <w:gridCol w:w="3685"/>
    </w:tblGrid>
    <w:tr>
      <w:tc>
        <w:tcPr>
          <w:tcW w:type="dxa" w:w="4819"/>
          <w:shd w:fill="1F4E78"/>
          <w:tcMar>
            <w:top w:w="55" w:type="dxa"/>
            <w:start w:w="90" w:type="dxa"/>
            <w:bottom w:w="55" w:type="dxa"/>
            <w:end w:w="90" w:type="dxa"/>
          </w:tcMar>
          <w:vAlign w:val="center"/>
        </w:tcPr>
        <w:p>
          <w:r>
            <w:rPr>
              <w:rFonts w:ascii="Liberation Sans" w:hAnsi="Liberation Sans"/>
              <w:b/>
              <w:color w:val="FFFFFF"/>
              <w:sz w:val="18"/>
            </w:rPr>
            <w:t>PLAN4ARI</w:t>
          </w:r>
        </w:p>
      </w:tc>
      <w:tc>
        <w:tcPr>
          <w:tcW w:type="dxa" w:w="4819"/>
          <w:shd w:fill="1F4E78"/>
          <w:tcMar>
            <w:top w:w="55" w:type="dxa"/>
            <w:start w:w="90" w:type="dxa"/>
            <w:bottom w:w="55" w:type="dxa"/>
            <w:end w:w="90" w:type="dxa"/>
          </w:tcMar>
          <w:vAlign w:val="center"/>
        </w:tcPr>
        <w:p>
          <w:pPr>
            <w:jc w:val="right"/>
          </w:pPr>
          <w:r>
            <w:rPr>
              <w:rFonts w:ascii="Liberation Sans" w:hAnsi="Liberation Sans"/>
              <w:color w:val="FFFFFF"/>
              <w:sz w:val="17"/>
            </w:rPr>
            <w:t>Deliverable D3.1 - Draft Outline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24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Liberation Sans" w:hAnsi="Liberation Sans"/>
      <w:b/>
      <w:bCs/>
      <w:color w:val="243746"/>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Liberation Sans" w:hAnsi="Liberation San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Liberation Sans" w:hAnsi="Liberation Sans"/>
      <w:b/>
      <w:color w:val="1F4E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2" w:lineRule="auto"/>
      <w:contextualSpacing/>
    </w:pPr>
    <w:rPr>
      <w:rFonts w:ascii="Liberation Sans" w:hAnsi="Liberation Sans"/>
      <w:sz w:val="19"/>
    </w:rPr>
  </w:style>
  <w:style w:type="paragraph" w:styleId="ListBullet2">
    <w:name w:val="List Bullet 2"/>
    <w:basedOn w:val="Normal"/>
    <w:uiPriority w:val="99"/>
    <w:unhideWhenUsed/>
    <w:rsid w:val="00326F90"/>
    <w:pPr>
      <w:numPr>
        <w:numId w:val="2"/>
      </w:numPr>
      <w:spacing w:after="40" w:line="252" w:lineRule="auto"/>
      <w:contextualSpacing/>
    </w:pPr>
    <w:rPr>
      <w:rFonts w:ascii="Liberation Sans" w:hAnsi="Liberation San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52" w:lineRule="auto"/>
      <w:contextualSpacing/>
    </w:pPr>
    <w:rPr>
      <w:rFonts w:ascii="Liberation Sans" w:hAnsi="Liberation San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3319B0B20B3DE41BEF41CFACEAC753C" ma:contentTypeVersion="10" ma:contentTypeDescription="Create a new document." ma:contentTypeScope="" ma:versionID="9f20efac135d8cfdd2fa348af50dfbde">
  <xsd:schema xmlns:xsd="http://www.w3.org/2001/XMLSchema" xmlns:xs="http://www.w3.org/2001/XMLSchema" xmlns:p="http://schemas.microsoft.com/office/2006/metadata/properties" xmlns:ns2="1def4e5e-247f-4a89-b7e5-1968c509544b" xmlns:ns3="d533452b-9663-4522-a270-ae8d05891bde" targetNamespace="http://schemas.microsoft.com/office/2006/metadata/properties" ma:root="true" ma:fieldsID="79fea841e550a97224ba8a6d213143fe" ns2:_="" ns3:_="">
    <xsd:import namespace="1def4e5e-247f-4a89-b7e5-1968c509544b"/>
    <xsd:import namespace="d533452b-9663-4522-a270-ae8d05891b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ef4e5e-247f-4a89-b7e5-1968c50954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5505f8f-da62-40e5-a116-f08e7003152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33452b-9663-4522-a270-ae8d05891bd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2ffd63e-dad7-4922-9072-1c4c28cd6dac}" ma:internalName="TaxCatchAll" ma:showField="CatchAllData" ma:web="d533452b-9663-4522-a270-ae8d05891b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def4e5e-247f-4a89-b7e5-1968c509544b">
      <Terms xmlns="http://schemas.microsoft.com/office/infopath/2007/PartnerControls"/>
    </lcf76f155ced4ddcb4097134ff3c332f>
    <TaxCatchAll xmlns="d533452b-9663-4522-a270-ae8d05891bde"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B91EE84-9B13-421B-9B87-DE43E400BA6A}"/>
</file>

<file path=customXml/itemProps3.xml><?xml version="1.0" encoding="utf-8"?>
<ds:datastoreItem xmlns:ds="http://schemas.openxmlformats.org/officeDocument/2006/customXml" ds:itemID="{063DA10D-F07A-4451-A84D-80F1A6C6207F}"/>
</file>

<file path=customXml/itemProps4.xml><?xml version="1.0" encoding="utf-8"?>
<ds:datastoreItem xmlns:ds="http://schemas.openxmlformats.org/officeDocument/2006/customXml" ds:itemID="{35F3A7DB-65F2-4C02-A767-D67FA5CB8DF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Plan4ARI Deliverable D3.1 - Updated Scientific Plan for Sensing and Context Awareness - Draft Outline</dc:title>
  <dc:subject>Draft deliverable outline based on the Plan4ARI Project Description</dc:subject>
  <dc:creator>OpenAI</dc:creator>
  <cp:keywords>Plan4ARI, deliverable, outline, robotics, FISA</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0x01010093319B0B20B3DE41BEF41CFACEAC753C</vt:lpwstr>
  </property>
</Properties>
</file>