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Liberation Sans" w:hAnsi="Liberation Sans"/>
          <w:b/>
          <w:color w:val="1F4E78"/>
          <w:sz w:val="36"/>
        </w:rPr>
        <w:t>PLAN4ARI</w:t>
      </w:r>
    </w:p>
    <w:p>
      <w:pPr>
        <w:pStyle w:val="Title"/>
        <w:jc w:val="center"/>
        <w:keepNext/>
        <w:keepLines/>
      </w:pPr>
      <w:r>
        <w:t>Deliverable D5.1</w:t>
        <w:br/>
      </w:r>
      <w:r>
        <w:rPr>
          <w:sz w:val="40"/>
        </w:rPr>
        <w:t>Updated Scientific Plan for Neural Robust Motion Control</w:t>
      </w:r>
    </w:p>
    <w:p>
      <w:pPr>
        <w:jc w:val="center"/>
      </w:pPr>
      <w:r>
        <w:rPr>
          <w:rFonts w:ascii="Liberation Sans" w:hAnsi="Liberation Sans"/>
          <w:b/>
          <w:color w:val="243746"/>
          <w:sz w:val="26"/>
        </w:rPr>
        <w:t>DRAFT OUTLINE</w:t>
      </w:r>
    </w:p>
    <w:p>
      <w:pPr>
        <w:jc w:val="center"/>
      </w:pPr>
      <w:r>
        <w:rPr>
          <w:rFonts w:ascii="Liberation Sans" w:hAnsi="Liberation Sans"/>
          <w:i/>
          <w:sz w:val="22"/>
        </w:rPr>
        <w:t>Planning for Artificial Robotic Intelligence and Beyond</w:t>
      </w:r>
    </w:p>
    <w:p/>
    <w:tbl>
      <w:tblPr>
        <w:tblW w:type="auto" w:w="0"/>
        <w:jc w:val="center"/>
        <w:tblLayout w:type="fixed"/>
        <w:tblLook w:firstColumn="1" w:firstRow="1" w:lastColumn="0" w:lastRow="0" w:noHBand="0" w:noVBand="1" w:val="04A0"/>
      </w:tblPr>
      <w:tblGrid>
        <w:gridCol w:w="2835"/>
        <w:gridCol w:w="6350"/>
      </w:tblGrid>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Project acronym</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Plan4ARI</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Project duration</w:t>
            </w:r>
          </w:p>
        </w:tc>
        <w:tc>
          <w:tcPr>
            <w:tcW w:type="dxa" w:w="6350"/>
            <w:shd w:fill="F2F4F6"/>
            <w:tcMar>
              <w:top w:w="90" w:type="dxa"/>
              <w:start w:w="110" w:type="dxa"/>
              <w:bottom w:w="90" w:type="dxa"/>
              <w:end w:w="110" w:type="dxa"/>
            </w:tcMar>
            <w:vAlign w:val="center"/>
          </w:tcPr>
          <w:p>
            <w:pPr>
              <w:spacing w:after="0"/>
            </w:pPr>
            <w:r>
              <w:rPr>
                <w:rFonts w:ascii="Liberation Sans" w:hAnsi="Liberation Sans"/>
                <w:sz w:val="18"/>
              </w:rPr>
              <w:t>48 months</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Work package / activity</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Activity 5 - Neural Robust Motion Control</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Task basis</w:t>
            </w:r>
          </w:p>
        </w:tc>
        <w:tc>
          <w:tcPr>
            <w:tcW w:type="dxa" w:w="6350"/>
            <w:shd w:fill="F2F4F6"/>
            <w:tcMar>
              <w:top w:w="90" w:type="dxa"/>
              <w:start w:w="110" w:type="dxa"/>
              <w:bottom w:w="90" w:type="dxa"/>
              <w:end w:w="110" w:type="dxa"/>
            </w:tcMar>
            <w:vAlign w:val="center"/>
          </w:tcPr>
          <w:p>
            <w:pPr>
              <w:spacing w:after="0"/>
            </w:pPr>
            <w:r>
              <w:rPr>
                <w:rFonts w:ascii="Liberation Sans" w:hAnsi="Liberation Sans"/>
                <w:sz w:val="18"/>
              </w:rPr>
              <w:t>Task 5.1 Update of the scientific plan with the latest state-of-the-art methodologies and tools</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Activity period</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M1-M6</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Suggested delivery point</w:t>
            </w:r>
          </w:p>
        </w:tc>
        <w:tc>
          <w:tcPr>
            <w:tcW w:type="dxa" w:w="6350"/>
            <w:shd w:fill="F2F4F6"/>
            <w:tcMar>
              <w:top w:w="90" w:type="dxa"/>
              <w:start w:w="110" w:type="dxa"/>
              <w:bottom w:w="90" w:type="dxa"/>
              <w:end w:w="110" w:type="dxa"/>
            </w:tcMar>
            <w:vAlign w:val="center"/>
          </w:tcPr>
          <w:p>
            <w:pPr>
              <w:spacing w:after="0"/>
            </w:pPr>
            <w:r>
              <w:rPr>
                <w:rFonts w:ascii="Liberation Sans" w:hAnsi="Liberation Sans"/>
                <w:sz w:val="18"/>
              </w:rPr>
              <w:t>M6 (derived from Task 5.1 end month; confirm)</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Document status</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Proposed outline - Version 0.1</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Lead beneficiary</w:t>
            </w:r>
          </w:p>
        </w:tc>
        <w:tc>
          <w:tcPr>
            <w:tcW w:type="dxa" w:w="6350"/>
            <w:shd w:fill="F2F4F6"/>
            <w:tcMar>
              <w:top w:w="90" w:type="dxa"/>
              <w:start w:w="110" w:type="dxa"/>
              <w:bottom w:w="90" w:type="dxa"/>
              <w:end w:w="110" w:type="dxa"/>
            </w:tcMar>
            <w:vAlign w:val="center"/>
          </w:tcPr>
          <w:p>
            <w:pPr>
              <w:spacing w:after="0"/>
            </w:pPr>
            <w:r>
              <w:rPr>
                <w:rFonts w:ascii="Liberation Sans" w:hAnsi="Liberation Sans"/>
                <w:sz w:val="18"/>
              </w:rPr>
              <w:t>To be confirmed</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Dissemination level</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To be confirmed</w:t>
            </w:r>
          </w:p>
        </w:tc>
      </w:tr>
    </w:tbl>
    <w:p/>
    <w:tbl>
      <w:tblPr>
        <w:tblW w:type="auto" w:w="0"/>
        <w:jc w:val="center"/>
        <w:tblLook w:firstColumn="1" w:firstRow="1" w:lastColumn="0" w:lastRow="0" w:noHBand="0" w:noVBand="1" w:val="04A0"/>
      </w:tblPr>
      <w:tblGrid>
        <w:gridCol w:w="9638"/>
      </w:tblGrid>
      <w:tr>
        <w:tc>
          <w:tcPr>
            <w:tcW w:type="dxa" w:w="9638"/>
            <w:shd w:fill="EEF5FA"/>
            <w:tcMar>
              <w:top w:w="130" w:type="dxa"/>
              <w:start w:w="150" w:type="dxa"/>
              <w:bottom w:w="130" w:type="dxa"/>
              <w:end w:w="150" w:type="dxa"/>
            </w:tcMar>
          </w:tcPr>
          <w:p>
            <w:r>
              <w:rPr>
                <w:b/>
                <w:color w:val="1F4E78"/>
              </w:rPr>
              <w:t xml:space="preserve">Working assumption. </w:t>
            </w:r>
            <w:r>
              <w:rPr>
                <w:sz w:val="18"/>
              </w:rPr>
              <w:t>This outline is inferred from the Plan4ARI Project Description. The official deliverable title, due date, lead beneficiary and dissemination level should be checked against the final Grant Agreement and consortium decisions.</w:t>
            </w:r>
          </w:p>
        </w:tc>
      </w:tr>
    </w:tbl>
    <w:p>
      <w:pPr>
        <w:spacing w:before="360"/>
        <w:jc w:val="center"/>
      </w:pPr>
      <w:r>
        <w:rPr>
          <w:rFonts w:ascii="Liberation Sans" w:hAnsi="Liberation Sans"/>
          <w:color w:val="667788"/>
          <w:sz w:val="16"/>
        </w:rPr>
        <w:t>Source basis: Plan4ARI Project Description, especially Section E.3 (pp. 38-48), with supporting technical sections A.3-A.6.</w:t>
      </w:r>
    </w:p>
    <w:p>
      <w:r>
        <w:br w:type="page"/>
      </w:r>
    </w:p>
    <w:p>
      <w:pPr>
        <w:pStyle w:val="Heading1"/>
        <w:keepNext/>
        <w:keepLines/>
      </w:pPr>
      <w:r>
        <w:t>Document control</w:t>
      </w:r>
    </w:p>
    <w:tbl>
      <w:tblPr>
        <w:tblW w:type="auto" w:w="0"/>
        <w:jc w:val="center"/>
        <w:tblLayout w:type="fixed"/>
        <w:tblLook w:firstColumn="1" w:firstRow="1" w:lastColumn="0" w:lastRow="0" w:noHBand="0" w:noVBand="1" w:val="04A0"/>
      </w:tblPr>
      <w:tblGrid>
        <w:gridCol w:w="1191"/>
        <w:gridCol w:w="1701"/>
        <w:gridCol w:w="3061"/>
        <w:gridCol w:w="3458"/>
      </w:tblGrid>
      <w:tr>
        <w:trPr>
          <w:tblHeader w:val="true"/>
        </w:trPr>
        <w:tc>
          <w:tcPr>
            <w:tcW w:type="dxa" w:w="2409"/>
            <w:shd w:fill="1F4E78"/>
            <w:tcMar>
              <w:top w:w="90" w:type="dxa"/>
              <w:start w:w="110" w:type="dxa"/>
              <w:bottom w:w="90" w:type="dxa"/>
              <w:end w:w="110" w:type="dxa"/>
            </w:tcMar>
          </w:tcPr>
          <w:p>
            <w:pPr>
              <w:spacing w:after="0"/>
            </w:pPr>
            <w:r>
              <w:rPr>
                <w:rFonts w:ascii="Liberation Sans" w:hAnsi="Liberation Sans"/>
                <w:b/>
                <w:color w:val="FFFFFF"/>
                <w:sz w:val="17"/>
              </w:rPr>
              <w:t>Version</w:t>
            </w:r>
          </w:p>
        </w:tc>
        <w:tc>
          <w:tcPr>
            <w:tcW w:type="dxa" w:w="2409"/>
            <w:shd w:fill="1F4E78"/>
            <w:tcMar>
              <w:top w:w="90" w:type="dxa"/>
              <w:start w:w="110" w:type="dxa"/>
              <w:bottom w:w="90" w:type="dxa"/>
              <w:end w:w="110" w:type="dxa"/>
            </w:tcMar>
          </w:tcPr>
          <w:p>
            <w:pPr>
              <w:spacing w:after="0"/>
            </w:pPr>
            <w:r>
              <w:rPr>
                <w:rFonts w:ascii="Liberation Sans" w:hAnsi="Liberation Sans"/>
                <w:b/>
                <w:color w:val="FFFFFF"/>
                <w:sz w:val="17"/>
              </w:rPr>
              <w:t>Date</w:t>
            </w:r>
          </w:p>
        </w:tc>
        <w:tc>
          <w:tcPr>
            <w:tcW w:type="dxa" w:w="2409"/>
            <w:shd w:fill="1F4E78"/>
            <w:tcMar>
              <w:top w:w="90" w:type="dxa"/>
              <w:start w:w="110" w:type="dxa"/>
              <w:bottom w:w="90" w:type="dxa"/>
              <w:end w:w="110" w:type="dxa"/>
            </w:tcMar>
          </w:tcPr>
          <w:p>
            <w:pPr>
              <w:spacing w:after="0"/>
            </w:pPr>
            <w:r>
              <w:rPr>
                <w:rFonts w:ascii="Liberation Sans" w:hAnsi="Liberation Sans"/>
                <w:b/>
                <w:color w:val="FFFFFF"/>
                <w:sz w:val="17"/>
              </w:rPr>
              <w:t>Author / reviewer</w:t>
            </w:r>
          </w:p>
        </w:tc>
        <w:tc>
          <w:tcPr>
            <w:tcW w:type="dxa" w:w="2409"/>
            <w:shd w:fill="1F4E78"/>
            <w:tcMar>
              <w:top w:w="90" w:type="dxa"/>
              <w:start w:w="110" w:type="dxa"/>
              <w:bottom w:w="90" w:type="dxa"/>
              <w:end w:w="110" w:type="dxa"/>
            </w:tcMar>
          </w:tcPr>
          <w:p>
            <w:pPr>
              <w:spacing w:after="0"/>
            </w:pPr>
            <w:r>
              <w:rPr>
                <w:rFonts w:ascii="Liberation Sans" w:hAnsi="Liberation Sans"/>
                <w:b/>
                <w:color w:val="FFFFFF"/>
                <w:sz w:val="17"/>
              </w:rPr>
              <w:t>Change description</w:t>
            </w:r>
          </w:p>
        </w:tc>
      </w:tr>
      <w:tr>
        <w:tc>
          <w:tcPr>
            <w:tcW w:type="dxa" w:w="1191"/>
            <w:shd w:fill="FFFFFF"/>
            <w:tcMar>
              <w:top w:w="90" w:type="dxa"/>
              <w:start w:w="110" w:type="dxa"/>
              <w:bottom w:w="90" w:type="dxa"/>
              <w:end w:w="110" w:type="dxa"/>
            </w:tcMar>
          </w:tcPr>
          <w:p>
            <w:pPr>
              <w:spacing w:after="0"/>
            </w:pPr>
            <w:r>
              <w:rPr>
                <w:rFonts w:ascii="Liberation Sans" w:hAnsi="Liberation Sans"/>
                <w:sz w:val="17"/>
              </w:rPr>
              <w:t>0.1</w:t>
            </w:r>
          </w:p>
        </w:tc>
        <w:tc>
          <w:tcPr>
            <w:tcW w:type="dxa" w:w="1701"/>
            <w:shd w:fill="FFFFFF"/>
            <w:tcMar>
              <w:top w:w="90" w:type="dxa"/>
              <w:start w:w="110" w:type="dxa"/>
              <w:bottom w:w="90" w:type="dxa"/>
              <w:end w:w="110" w:type="dxa"/>
            </w:tcMar>
          </w:tcPr>
          <w:p>
            <w:pPr>
              <w:spacing w:after="0"/>
            </w:pPr>
            <w:r>
              <w:rPr>
                <w:rFonts w:ascii="Liberation Sans" w:hAnsi="Liberation Sans"/>
                <w:sz w:val="17"/>
              </w:rPr>
              <w:t>20 July 2026</w:t>
            </w:r>
          </w:p>
        </w:tc>
        <w:tc>
          <w:tcPr>
            <w:tcW w:type="dxa" w:w="3061"/>
            <w:shd w:fill="FFFFFF"/>
            <w:tcMar>
              <w:top w:w="90" w:type="dxa"/>
              <w:start w:w="110" w:type="dxa"/>
              <w:bottom w:w="90" w:type="dxa"/>
              <w:end w:w="110" w:type="dxa"/>
            </w:tcMar>
          </w:tcPr>
          <w:p>
            <w:pPr>
              <w:spacing w:after="0"/>
            </w:pPr>
            <w:r>
              <w:rPr>
                <w:rFonts w:ascii="Liberation Sans" w:hAnsi="Liberation Sans"/>
                <w:sz w:val="17"/>
              </w:rPr>
              <w:t>TBC</w:t>
            </w:r>
          </w:p>
        </w:tc>
        <w:tc>
          <w:tcPr>
            <w:tcW w:type="dxa" w:w="3458"/>
            <w:shd w:fill="FFFFFF"/>
            <w:tcMar>
              <w:top w:w="90" w:type="dxa"/>
              <w:start w:w="110" w:type="dxa"/>
              <w:bottom w:w="90" w:type="dxa"/>
              <w:end w:w="110" w:type="dxa"/>
            </w:tcMar>
          </w:tcPr>
          <w:p>
            <w:pPr>
              <w:spacing w:after="0"/>
            </w:pPr>
            <w:r>
              <w:rPr>
                <w:rFonts w:ascii="Liberation Sans" w:hAnsi="Liberation Sans"/>
                <w:sz w:val="17"/>
              </w:rPr>
              <w:t>Initial draft outline</w:t>
            </w:r>
          </w:p>
        </w:tc>
      </w:tr>
      <w:tr>
        <w:tc>
          <w:tcPr>
            <w:tcW w:type="dxa" w:w="1191"/>
            <w:shd w:fill="F2F4F6"/>
            <w:tcMar>
              <w:top w:w="90" w:type="dxa"/>
              <w:start w:w="110" w:type="dxa"/>
              <w:bottom w:w="90" w:type="dxa"/>
              <w:end w:w="110" w:type="dxa"/>
            </w:tcMar>
          </w:tcPr>
          <w:p>
            <w:pPr>
              <w:spacing w:after="0"/>
            </w:pPr>
            <w:r>
              <w:rPr>
                <w:rFonts w:ascii="Liberation Sans" w:hAnsi="Liberation Sans"/>
                <w:sz w:val="17"/>
              </w:rPr>
              <w:t>1.0</w:t>
            </w:r>
          </w:p>
        </w:tc>
        <w:tc>
          <w:tcPr>
            <w:tcW w:type="dxa" w:w="1701"/>
            <w:shd w:fill="F2F4F6"/>
            <w:tcMar>
              <w:top w:w="90" w:type="dxa"/>
              <w:start w:w="110" w:type="dxa"/>
              <w:bottom w:w="90" w:type="dxa"/>
              <w:end w:w="110" w:type="dxa"/>
            </w:tcMar>
          </w:tcPr>
          <w:p>
            <w:pPr>
              <w:spacing w:after="0"/>
            </w:pPr>
            <w:r>
              <w:rPr>
                <w:rFonts w:ascii="Liberation Sans" w:hAnsi="Liberation Sans"/>
                <w:sz w:val="17"/>
              </w:rPr>
              <w:t>TBC</w:t>
            </w:r>
          </w:p>
        </w:tc>
        <w:tc>
          <w:tcPr>
            <w:tcW w:type="dxa" w:w="3061"/>
            <w:shd w:fill="F2F4F6"/>
            <w:tcMar>
              <w:top w:w="90" w:type="dxa"/>
              <w:start w:w="110" w:type="dxa"/>
              <w:bottom w:w="90" w:type="dxa"/>
              <w:end w:w="110" w:type="dxa"/>
            </w:tcMar>
          </w:tcPr>
          <w:p>
            <w:pPr>
              <w:spacing w:after="0"/>
            </w:pPr>
            <w:r>
              <w:rPr>
                <w:rFonts w:ascii="Liberation Sans" w:hAnsi="Liberation Sans"/>
                <w:sz w:val="17"/>
              </w:rPr>
              <w:t>TBC</w:t>
            </w:r>
          </w:p>
        </w:tc>
        <w:tc>
          <w:tcPr>
            <w:tcW w:type="dxa" w:w="3458"/>
            <w:shd w:fill="F2F4F6"/>
            <w:tcMar>
              <w:top w:w="90" w:type="dxa"/>
              <w:start w:w="110" w:type="dxa"/>
              <w:bottom w:w="90" w:type="dxa"/>
              <w:end w:w="110" w:type="dxa"/>
            </w:tcMar>
          </w:tcPr>
          <w:p>
            <w:pPr>
              <w:spacing w:after="0"/>
            </w:pPr>
            <w:r>
              <w:rPr>
                <w:rFonts w:ascii="Liberation Sans" w:hAnsi="Liberation Sans"/>
                <w:sz w:val="17"/>
              </w:rPr>
              <w:t>Approved deliverable</w:t>
            </w:r>
          </w:p>
        </w:tc>
      </w:tr>
    </w:tbl>
    <w:p>
      <w:pPr>
        <w:pStyle w:val="Heading1"/>
        <w:keepNext/>
        <w:keepLines/>
      </w:pPr>
      <w:r>
        <w:t>Purpose of this outline</w:t>
      </w:r>
    </w:p>
    <w:p>
      <w:pPr>
        <w:spacing w:after="120"/>
      </w:pPr>
      <w:r>
        <w:t>The following structure is intended as a writing blueprint for the final deliverable. Each numbered heading may be retained in the final report, while the bullets describe the minimum content, evidence and decisions expected.</w:t>
      </w:r>
    </w:p>
    <w:tbl>
      <w:tblPr>
        <w:tblW w:type="auto" w:w="0"/>
        <w:tblLook w:firstColumn="1" w:firstRow="1" w:lastColumn="0" w:lastRow="0" w:noHBand="0" w:noVBand="1" w:val="04A0"/>
      </w:tblPr>
      <w:tblGrid>
        <w:gridCol w:w="9638"/>
      </w:tblGrid>
      <w:tr>
        <w:tc>
          <w:tcPr>
            <w:tcW w:type="dxa" w:w="9638"/>
            <w:shd w:fill="FFF2CC"/>
            <w:tcMar>
              <w:top w:w="110" w:type="dxa"/>
              <w:start w:w="130" w:type="dxa"/>
              <w:bottom w:w="110" w:type="dxa"/>
              <w:end w:w="130" w:type="dxa"/>
            </w:tcMar>
          </w:tcPr>
          <w:p>
            <w:r>
              <w:rPr>
                <w:b/>
                <w:sz w:val="18"/>
              </w:rPr>
              <w:t xml:space="preserve">Interpretive note. </w:t>
            </w:r>
            <w:r>
              <w:rPr>
                <w:sz w:val="18"/>
              </w:rPr>
              <w:t>The wording under Task 5.1 in the Project Description repeats “semantic segmentation and pose estimation”, which appears inconsistent with Activity 5. This outline interprets D5.1 according to the Activity 5 objective and Section A.5: neural, robust and prescribed-performance robot motion control.</w:t>
            </w:r>
          </w:p>
        </w:tc>
      </w:tr>
    </w:tbl>
    <w:p>
      <w:pPr>
        <w:pStyle w:val="Heading1"/>
        <w:keepNext/>
        <w:keepLines/>
      </w:pPr>
      <w:r>
        <w:t>Proposed table of contents at a glance</w:t>
      </w:r>
    </w:p>
    <w:tbl>
      <w:tblPr>
        <w:tblW w:type="auto" w:w="0"/>
        <w:jc w:val="center"/>
        <w:tblLayout w:type="fixed"/>
        <w:tblLook w:firstColumn="1" w:firstRow="1" w:lastColumn="0" w:lastRow="0" w:noHBand="0" w:noVBand="1" w:val="04A0"/>
      </w:tblPr>
      <w:tblGrid>
        <w:gridCol w:w="1814"/>
        <w:gridCol w:w="7370"/>
      </w:tblGrid>
      <w:tr>
        <w:trPr>
          <w:tblHeader w:val="true"/>
        </w:trPr>
        <w:tc>
          <w:tcPr>
            <w:tcW w:type="dxa" w:w="4819"/>
            <w:shd w:fill="1F4E78"/>
          </w:tcPr>
          <w:p>
            <w:r>
              <w:rPr>
                <w:b/>
                <w:color w:val="FFFFFF"/>
                <w:sz w:val="18"/>
              </w:rPr>
              <w:t>Section</w:t>
            </w:r>
          </w:p>
        </w:tc>
        <w:tc>
          <w:tcPr>
            <w:tcW w:type="dxa" w:w="4819"/>
            <w:shd w:fill="1F4E78"/>
          </w:tcPr>
          <w:p>
            <w:r>
              <w:rPr>
                <w:b/>
                <w:color w:val="FFFFFF"/>
                <w:sz w:val="18"/>
              </w:rPr>
              <w:t>Purpose</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1. Executive summary</w:t>
            </w:r>
          </w:p>
        </w:tc>
        <w:tc>
          <w:tcPr>
            <w:tcW w:type="dxa" w:w="7370"/>
            <w:shd w:fill="FFFFFF"/>
            <w:tcMar>
              <w:top w:w="90" w:type="dxa"/>
              <w:start w:w="110" w:type="dxa"/>
              <w:bottom w:w="90" w:type="dxa"/>
              <w:end w:w="110" w:type="dxa"/>
            </w:tcMar>
          </w:tcPr>
          <w:p>
            <w:pPr>
              <w:spacing w:after="0"/>
            </w:pPr>
            <w:r>
              <w:rPr>
                <w:rFonts w:ascii="Liberation Sans" w:hAnsi="Liberation Sans"/>
                <w:sz w:val="17"/>
              </w:rPr>
              <w:t>State the latest scientific advances and the updates selected for the Plan4ARI low-level controller.</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2. Objectives and original controller concept</w:t>
            </w:r>
          </w:p>
        </w:tc>
        <w:tc>
          <w:tcPr>
            <w:tcW w:type="dxa" w:w="7370"/>
            <w:shd w:fill="F2F4F6"/>
            <w:tcMar>
              <w:top w:w="90" w:type="dxa"/>
              <w:start w:w="110" w:type="dxa"/>
              <w:bottom w:w="90" w:type="dxa"/>
              <w:end w:w="110" w:type="dxa"/>
            </w:tcMar>
          </w:tcPr>
          <w:p>
            <w:pPr>
              <w:spacing w:after="0"/>
            </w:pPr>
            <w:r>
              <w:rPr>
                <w:rFonts w:ascii="Liberation Sans" w:hAnsi="Liberation Sans"/>
                <w:sz w:val="17"/>
              </w:rPr>
              <w:t>Anchor the review to the project’s performance, robustness and deployment goals.</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3. Review methodology and evaluation criteria</w:t>
            </w:r>
          </w:p>
        </w:tc>
        <w:tc>
          <w:tcPr>
            <w:tcW w:type="dxa" w:w="7370"/>
            <w:shd w:fill="FFFFFF"/>
            <w:tcMar>
              <w:top w:w="90" w:type="dxa"/>
              <w:start w:w="110" w:type="dxa"/>
              <w:bottom w:w="90" w:type="dxa"/>
              <w:end w:w="110" w:type="dxa"/>
            </w:tcMar>
          </w:tcPr>
          <w:p>
            <w:pPr>
              <w:spacing w:after="0"/>
            </w:pPr>
            <w:r>
              <w:rPr>
                <w:rFonts w:ascii="Liberation Sans" w:hAnsi="Liberation Sans"/>
                <w:sz w:val="17"/>
              </w:rPr>
              <w:t>Set a reproducible process for comparing control methods and toolchains.</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4. State observers and model-based baselines</w:t>
            </w:r>
          </w:p>
        </w:tc>
        <w:tc>
          <w:tcPr>
            <w:tcW w:type="dxa" w:w="7370"/>
            <w:shd w:fill="F2F4F6"/>
            <w:tcMar>
              <w:top w:w="90" w:type="dxa"/>
              <w:start w:w="110" w:type="dxa"/>
              <w:bottom w:w="90" w:type="dxa"/>
              <w:end w:w="110" w:type="dxa"/>
            </w:tcMar>
          </w:tcPr>
          <w:p>
            <w:pPr>
              <w:spacing w:after="0"/>
            </w:pPr>
            <w:r>
              <w:rPr>
                <w:rFonts w:ascii="Liberation Sans" w:hAnsi="Liberation Sans"/>
                <w:sz w:val="17"/>
              </w:rPr>
              <w:t>Update conventional alternatives and hybrid architectures against which neural control will be assessed.</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5. Adaptive and neural control state of the art</w:t>
            </w:r>
          </w:p>
        </w:tc>
        <w:tc>
          <w:tcPr>
            <w:tcW w:type="dxa" w:w="7370"/>
            <w:shd w:fill="FFFFFF"/>
            <w:tcMar>
              <w:top w:w="90" w:type="dxa"/>
              <w:start w:w="110" w:type="dxa"/>
              <w:bottom w:w="90" w:type="dxa"/>
              <w:end w:w="110" w:type="dxa"/>
            </w:tcMar>
          </w:tcPr>
          <w:p>
            <w:pPr>
              <w:spacing w:after="0"/>
            </w:pPr>
            <w:r>
              <w:rPr>
                <w:rFonts w:ascii="Liberation Sans" w:hAnsi="Liberation Sans"/>
                <w:sz w:val="17"/>
              </w:rPr>
              <w:t>Review current methods for nonlinear robot dynamics and online learning.</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6. Prescribed-performance and constrained control</w:t>
            </w:r>
          </w:p>
        </w:tc>
        <w:tc>
          <w:tcPr>
            <w:tcW w:type="dxa" w:w="7370"/>
            <w:shd w:fill="F2F4F6"/>
            <w:tcMar>
              <w:top w:w="90" w:type="dxa"/>
              <w:start w:w="110" w:type="dxa"/>
              <w:bottom w:w="90" w:type="dxa"/>
              <w:end w:w="110" w:type="dxa"/>
            </w:tcMar>
          </w:tcPr>
          <w:p>
            <w:pPr>
              <w:spacing w:after="0"/>
            </w:pPr>
            <w:r>
              <w:rPr>
                <w:rFonts w:ascii="Liberation Sans" w:hAnsi="Liberation Sans"/>
                <w:sz w:val="17"/>
              </w:rPr>
              <w:t>Assess methods that explicitly guarantee transient and steady-state behaviour.</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7. Real-time implementation tools and platforms</w:t>
            </w:r>
          </w:p>
        </w:tc>
        <w:tc>
          <w:tcPr>
            <w:tcW w:type="dxa" w:w="7370"/>
            <w:shd w:fill="FFFFFF"/>
            <w:tcMar>
              <w:top w:w="90" w:type="dxa"/>
              <w:start w:w="110" w:type="dxa"/>
              <w:bottom w:w="90" w:type="dxa"/>
              <w:end w:w="110" w:type="dxa"/>
            </w:tcMar>
          </w:tcPr>
          <w:p>
            <w:pPr>
              <w:spacing w:after="0"/>
            </w:pPr>
            <w:r>
              <w:rPr>
                <w:rFonts w:ascii="Liberation Sans" w:hAnsi="Liberation Sans"/>
                <w:sz w:val="17"/>
              </w:rPr>
              <w:t>Identify a viable path from mathematical design to industrial C++ deployment.</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8. Gap analysis and updated controller architecture</w:t>
            </w:r>
          </w:p>
        </w:tc>
        <w:tc>
          <w:tcPr>
            <w:tcW w:type="dxa" w:w="7370"/>
            <w:shd w:fill="F2F4F6"/>
            <w:tcMar>
              <w:top w:w="90" w:type="dxa"/>
              <w:start w:w="110" w:type="dxa"/>
              <w:bottom w:w="90" w:type="dxa"/>
              <w:end w:w="110" w:type="dxa"/>
            </w:tcMar>
          </w:tcPr>
          <w:p>
            <w:pPr>
              <w:spacing w:after="0"/>
            </w:pPr>
            <w:r>
              <w:rPr>
                <w:rFonts w:ascii="Liberation Sans" w:hAnsi="Liberation Sans"/>
                <w:sz w:val="17"/>
              </w:rPr>
              <w:t>Compare the original concept with the current research frontier and define the revised design.</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9. Selected methods and verification strategy</w:t>
            </w:r>
          </w:p>
        </w:tc>
        <w:tc>
          <w:tcPr>
            <w:tcW w:type="dxa" w:w="7370"/>
            <w:shd w:fill="FFFFFF"/>
            <w:tcMar>
              <w:top w:w="90" w:type="dxa"/>
              <w:start w:w="110" w:type="dxa"/>
              <w:bottom w:w="90" w:type="dxa"/>
              <w:end w:w="110" w:type="dxa"/>
            </w:tcMar>
          </w:tcPr>
          <w:p>
            <w:pPr>
              <w:spacing w:after="0"/>
            </w:pPr>
            <w:r>
              <w:rPr>
                <w:rFonts w:ascii="Liberation Sans" w:hAnsi="Liberation Sans"/>
                <w:sz w:val="17"/>
              </w:rPr>
              <w:t>Record the chosen controller design, alternatives and evidence requirements.</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10. Benchmarking and KPI plan</w:t>
            </w:r>
          </w:p>
        </w:tc>
        <w:tc>
          <w:tcPr>
            <w:tcW w:type="dxa" w:w="7370"/>
            <w:shd w:fill="F2F4F6"/>
            <w:tcMar>
              <w:top w:w="90" w:type="dxa"/>
              <w:start w:w="110" w:type="dxa"/>
              <w:bottom w:w="90" w:type="dxa"/>
              <w:end w:w="110" w:type="dxa"/>
            </w:tcMar>
          </w:tcPr>
          <w:p>
            <w:pPr>
              <w:spacing w:after="0"/>
            </w:pPr>
            <w:r>
              <w:rPr>
                <w:rFonts w:ascii="Liberation Sans" w:hAnsi="Liberation Sans"/>
                <w:sz w:val="17"/>
              </w:rPr>
              <w:t>Define scenarios and measurements for scientific and industrial validation.</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11. Risk, safety and industrialisation plan</w:t>
            </w:r>
          </w:p>
        </w:tc>
        <w:tc>
          <w:tcPr>
            <w:tcW w:type="dxa" w:w="7370"/>
            <w:shd w:fill="FFFFFF"/>
            <w:tcMar>
              <w:top w:w="90" w:type="dxa"/>
              <w:start w:w="110" w:type="dxa"/>
              <w:bottom w:w="90" w:type="dxa"/>
              <w:end w:w="110" w:type="dxa"/>
            </w:tcMar>
          </w:tcPr>
          <w:p>
            <w:pPr>
              <w:spacing w:after="0"/>
            </w:pPr>
            <w:r>
              <w:rPr>
                <w:rFonts w:ascii="Liberation Sans" w:hAnsi="Liberation Sans"/>
                <w:sz w:val="17"/>
              </w:rPr>
              <w:t>Address the main barriers to deploying learning-based control in industrial robots.</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12. Conclusions and approved updates</w:t>
            </w:r>
          </w:p>
        </w:tc>
        <w:tc>
          <w:tcPr>
            <w:tcW w:type="dxa" w:w="7370"/>
            <w:shd w:fill="F2F4F6"/>
            <w:tcMar>
              <w:top w:w="90" w:type="dxa"/>
              <w:start w:w="110" w:type="dxa"/>
              <w:bottom w:w="90" w:type="dxa"/>
              <w:end w:w="110" w:type="dxa"/>
            </w:tcMar>
          </w:tcPr>
          <w:p>
            <w:pPr>
              <w:spacing w:after="0"/>
            </w:pPr>
            <w:r>
              <w:rPr>
                <w:rFonts w:ascii="Liberation Sans" w:hAnsi="Liberation Sans"/>
                <w:sz w:val="17"/>
              </w:rPr>
              <w:t>Provide a concise decision record for implementation.</w:t>
            </w:r>
          </w:p>
        </w:tc>
      </w:tr>
    </w:tbl>
    <w:p>
      <w:r>
        <w:br w:type="page"/>
      </w:r>
    </w:p>
    <w:p>
      <w:pPr>
        <w:pStyle w:val="Heading1"/>
        <w:keepNext/>
        <w:keepLines/>
      </w:pPr>
      <w:r>
        <w:t>Detailed writing outline</w:t>
      </w:r>
    </w:p>
    <w:p>
      <w:pPr>
        <w:pStyle w:val="Heading1"/>
        <w:keepNext/>
        <w:keepLines/>
      </w:pPr>
      <w:r>
        <w:t>1. Executive summary</w:t>
      </w:r>
    </w:p>
    <w:p>
      <w:pPr>
        <w:spacing w:after="80"/>
      </w:pPr>
      <w:r>
        <w:rPr>
          <w:b/>
          <w:color w:val="1F4E78"/>
        </w:rPr>
        <w:t xml:space="preserve">Section purpose: </w:t>
      </w:r>
      <w:r>
        <w:rPr>
          <w:i/>
          <w:sz w:val="19"/>
        </w:rPr>
        <w:t>State the latest scientific advances and the updates selected for the Plan4ARI low-level controller.</w:t>
      </w:r>
    </w:p>
    <w:p>
      <w:pPr>
        <w:pStyle w:val="ListBullet"/>
      </w:pPr>
      <w:r>
        <w:t>Headline findings on adaptive neural control, prescribed-performance control, elastic-joint modelling, fault tolerance and real-time implementation.</w:t>
      </w:r>
    </w:p>
    <w:p>
      <w:pPr>
        <w:pStyle w:val="ListBullet"/>
      </w:pPr>
      <w:r>
        <w:t>Changes to the original RBFNN/PPC concept and expected impact.</w:t>
      </w:r>
    </w:p>
    <w:p>
      <w:pPr>
        <w:pStyle w:val="ListBullet"/>
      </w:pPr>
      <w:r>
        <w:t>Key decisions for Task 5.2 and later integration.</w:t>
      </w:r>
    </w:p>
    <w:p>
      <w:pPr>
        <w:pStyle w:val="Heading1"/>
        <w:keepNext/>
        <w:keepLines/>
      </w:pPr>
      <w:r>
        <w:t>2. Objectives and original controller concept</w:t>
      </w:r>
    </w:p>
    <w:p>
      <w:pPr>
        <w:spacing w:after="80"/>
      </w:pPr>
      <w:r>
        <w:rPr>
          <w:b/>
          <w:color w:val="1F4E78"/>
        </w:rPr>
        <w:t xml:space="preserve">Section purpose: </w:t>
      </w:r>
      <w:r>
        <w:rPr>
          <w:i/>
          <w:sz w:val="19"/>
        </w:rPr>
        <w:t>Anchor the review to the project’s performance, robustness and deployment goals.</w:t>
      </w:r>
    </w:p>
    <w:p>
      <w:pPr>
        <w:pStyle w:val="ListBullet"/>
      </w:pPr>
      <w:r>
        <w:t>High-rate real-time control under modelling uncertainty, actuator faults, motion constraints and variable loads.</w:t>
      </w:r>
    </w:p>
    <w:p>
      <w:pPr>
        <w:pStyle w:val="ListBullet"/>
      </w:pPr>
      <w:r>
        <w:t>Original combination of adaptive neural control, radial-basis-function networks and prescribed-performance constraints.</w:t>
      </w:r>
    </w:p>
    <w:p>
      <w:pPr>
        <w:pStyle w:val="ListBullet"/>
      </w:pPr>
      <w:r>
        <w:t>Knowledge acquisition, storage and reuse for similar tasks.</w:t>
      </w:r>
    </w:p>
    <w:p>
      <w:pPr>
        <w:pStyle w:val="ListBullet"/>
      </w:pPr>
      <w:r>
        <w:t>Elastic-joint/lumped-elastic modelling and MIMO control without heavy matrix inversion.</w:t>
      </w:r>
    </w:p>
    <w:p>
      <w:pPr>
        <w:pStyle w:val="ListBullet"/>
      </w:pPr>
      <w:r>
        <w:t>Project targets: autonomous tuning, 50% lower deployment time, 10% lower mean tracking error and 30% lower peak overshoot.</w:t>
      </w:r>
    </w:p>
    <w:p>
      <w:pPr>
        <w:pStyle w:val="Heading1"/>
        <w:keepNext/>
        <w:keepLines/>
      </w:pPr>
      <w:r>
        <w:t>3. Review methodology and evaluation criteria</w:t>
      </w:r>
    </w:p>
    <w:p>
      <w:pPr>
        <w:spacing w:after="80"/>
      </w:pPr>
      <w:r>
        <w:rPr>
          <w:b/>
          <w:color w:val="1F4E78"/>
        </w:rPr>
        <w:t xml:space="preserve">Section purpose: </w:t>
      </w:r>
      <w:r>
        <w:rPr>
          <w:i/>
          <w:sz w:val="19"/>
        </w:rPr>
        <w:t>Set a reproducible process for comparing control methods and toolchains.</w:t>
      </w:r>
    </w:p>
    <w:p>
      <w:pPr>
        <w:pStyle w:val="ListBullet"/>
      </w:pPr>
      <w:r>
        <w:t>Search databases, publication window, benchmark robots and vendor/tool sources.</w:t>
      </w:r>
    </w:p>
    <w:p>
      <w:pPr>
        <w:pStyle w:val="ListBullet"/>
      </w:pPr>
      <w:r>
        <w:t>Criteria: stability guarantees, transient bounds, robustness, adaptation, data demand, computation, memory, determinism, explainability and ease of integration.</w:t>
      </w:r>
    </w:p>
    <w:p>
      <w:pPr>
        <w:pStyle w:val="ListBullet"/>
      </w:pPr>
      <w:r>
        <w:t>Industrial constraints: IPC-class CPU, hard real-time cycle, sensor interfaces and certification evidence.</w:t>
      </w:r>
    </w:p>
    <w:p>
      <w:pPr>
        <w:pStyle w:val="ListBullet"/>
      </w:pPr>
      <w:r>
        <w:t>Assessment of proof quality and experimental maturity.</w:t>
      </w:r>
    </w:p>
    <w:p>
      <w:pPr>
        <w:pStyle w:val="Heading1"/>
        <w:keepNext/>
        <w:keepLines/>
      </w:pPr>
      <w:r>
        <w:t>4. State observers and model-based baselines</w:t>
      </w:r>
    </w:p>
    <w:p>
      <w:pPr>
        <w:spacing w:after="80"/>
      </w:pPr>
      <w:r>
        <w:rPr>
          <w:b/>
          <w:color w:val="1F4E78"/>
        </w:rPr>
        <w:t xml:space="preserve">Section purpose: </w:t>
      </w:r>
      <w:r>
        <w:rPr>
          <w:i/>
          <w:sz w:val="19"/>
        </w:rPr>
        <w:t>Update conventional alternatives and hybrid architectures against which neural control will be assessed.</w:t>
      </w:r>
    </w:p>
    <w:p>
      <w:pPr>
        <w:pStyle w:val="ListBullet"/>
      </w:pPr>
      <w:r>
        <w:t>Extended/Unscented Kalman filters, sliding-mode observers, high-gain observers and disturbance observers.</w:t>
      </w:r>
    </w:p>
    <w:p>
      <w:pPr>
        <w:pStyle w:val="ListBullet"/>
      </w:pPr>
      <w:r>
        <w:t>Axis-level and model-based industrial-control structures.</w:t>
      </w:r>
    </w:p>
    <w:p>
      <w:pPr>
        <w:pStyle w:val="ListBullet"/>
      </w:pPr>
      <w:r>
        <w:t>Elastic-joint modelling, friction, backlash, payload variation and unmodelled dynamics.</w:t>
      </w:r>
    </w:p>
    <w:p>
      <w:pPr>
        <w:pStyle w:val="ListBullet"/>
      </w:pPr>
      <w:r>
        <w:t>Computational burden, noise sensitivity and tuning effort.</w:t>
      </w:r>
    </w:p>
    <w:p>
      <w:pPr>
        <w:pStyle w:val="ListBullet"/>
      </w:pPr>
      <w:r>
        <w:t>Baseline controllers for fair evaluation.</w:t>
      </w:r>
    </w:p>
    <w:p>
      <w:pPr>
        <w:pStyle w:val="Heading1"/>
        <w:keepNext/>
        <w:keepLines/>
      </w:pPr>
      <w:r>
        <w:t>5. Adaptive and neural control state of the art</w:t>
      </w:r>
    </w:p>
    <w:p>
      <w:pPr>
        <w:spacing w:after="80"/>
      </w:pPr>
      <w:r>
        <w:rPr>
          <w:b/>
          <w:color w:val="1F4E78"/>
        </w:rPr>
        <w:t xml:space="preserve">Section purpose: </w:t>
      </w:r>
      <w:r>
        <w:rPr>
          <w:i/>
          <w:sz w:val="19"/>
        </w:rPr>
        <w:t>Review current methods for nonlinear robot dynamics and online learning.</w:t>
      </w:r>
    </w:p>
    <w:p>
      <w:pPr>
        <w:pStyle w:val="ListBullet"/>
      </w:pPr>
      <w:r>
        <w:t>Neural inverse control, indirect and direct adaptive neural control.</w:t>
      </w:r>
    </w:p>
    <w:p>
      <w:pPr>
        <w:pStyle w:val="ListBullet"/>
      </w:pPr>
      <w:r>
        <w:t>RBFNN, lightweight networks and alternatives suitable for deterministic execution.</w:t>
      </w:r>
    </w:p>
    <w:p>
      <w:pPr>
        <w:pStyle w:val="ListBullet"/>
      </w:pPr>
      <w:r>
        <w:t>Learning under partial/persistent excitation and recurrent trajectories.</w:t>
      </w:r>
    </w:p>
    <w:p>
      <w:pPr>
        <w:pStyle w:val="ListBullet"/>
      </w:pPr>
      <w:r>
        <w:t>Knowledge retention, transfer and reuse across tasks.</w:t>
      </w:r>
    </w:p>
    <w:p>
      <w:pPr>
        <w:pStyle w:val="ListBullet"/>
      </w:pPr>
      <w:r>
        <w:t>Reinforcement-learning and deep-control approaches, with reasons for inclusion or exclusion.</w:t>
      </w:r>
    </w:p>
    <w:p>
      <w:pPr>
        <w:pStyle w:val="ListBullet"/>
      </w:pPr>
      <w:r>
        <w:t>Robustness, uncertainty bounds and failure modes.</w:t>
      </w:r>
    </w:p>
    <w:p>
      <w:pPr>
        <w:pStyle w:val="Heading1"/>
        <w:keepNext/>
        <w:keepLines/>
      </w:pPr>
      <w:r>
        <w:t>6. Prescribed-performance and constrained control</w:t>
      </w:r>
    </w:p>
    <w:p>
      <w:pPr>
        <w:spacing w:after="80"/>
      </w:pPr>
      <w:r>
        <w:rPr>
          <w:b/>
          <w:color w:val="1F4E78"/>
        </w:rPr>
        <w:t xml:space="preserve">Section purpose: </w:t>
      </w:r>
      <w:r>
        <w:rPr>
          <w:i/>
          <w:sz w:val="19"/>
        </w:rPr>
        <w:t>Assess methods that explicitly guarantee transient and steady-state behaviour.</w:t>
      </w:r>
    </w:p>
    <w:p>
      <w:pPr>
        <w:pStyle w:val="ListBullet"/>
      </w:pPr>
      <w:r>
        <w:t>Performance funnels/bounds, error transformations and convergence requirements.</w:t>
      </w:r>
    </w:p>
    <w:p>
      <w:pPr>
        <w:pStyle w:val="ListBullet"/>
      </w:pPr>
      <w:r>
        <w:t>Combination with adaptive/neural approximators.</w:t>
      </w:r>
    </w:p>
    <w:p>
      <w:pPr>
        <w:pStyle w:val="ListBullet"/>
      </w:pPr>
      <w:r>
        <w:t>MIMO formulations, actuator saturation, joint/motion constraints and fault accommodation.</w:t>
      </w:r>
    </w:p>
    <w:p>
      <w:pPr>
        <w:pStyle w:val="ListBullet"/>
      </w:pPr>
      <w:r>
        <w:t>Robustness to disturbances and model uncertainty.</w:t>
      </w:r>
    </w:p>
    <w:p>
      <w:pPr>
        <w:pStyle w:val="ListBullet"/>
      </w:pPr>
      <w:r>
        <w:t>Proof obligations and numerical conditioning.</w:t>
      </w:r>
    </w:p>
    <w:p>
      <w:pPr>
        <w:pStyle w:val="Heading1"/>
        <w:keepNext/>
        <w:keepLines/>
      </w:pPr>
      <w:r>
        <w:t>7. Real-time implementation tools and platforms</w:t>
      </w:r>
    </w:p>
    <w:p>
      <w:pPr>
        <w:spacing w:after="80"/>
      </w:pPr>
      <w:r>
        <w:rPr>
          <w:b/>
          <w:color w:val="1F4E78"/>
        </w:rPr>
        <w:t xml:space="preserve">Section purpose: </w:t>
      </w:r>
      <w:r>
        <w:rPr>
          <w:i/>
          <w:sz w:val="19"/>
        </w:rPr>
        <w:t>Identify a viable path from mathematical design to industrial C++ deployment.</w:t>
      </w:r>
    </w:p>
    <w:p>
      <w:pPr>
        <w:pStyle w:val="ListBullet"/>
      </w:pPr>
      <w:r>
        <w:t>MATLAB/Simulink and COMAU simulation assets for design and verification.</w:t>
      </w:r>
    </w:p>
    <w:p>
      <w:pPr>
        <w:pStyle w:val="ListBullet"/>
      </w:pPr>
      <w:r>
        <w:t>C++ implementation options, linear algebra and neural-inference libraries.</w:t>
      </w:r>
    </w:p>
    <w:p>
      <w:pPr>
        <w:pStyle w:val="ListBullet"/>
      </w:pPr>
      <w:r>
        <w:t>ROS2 mechanism testbed and target controller architecture.</w:t>
      </w:r>
    </w:p>
    <w:p>
      <w:pPr>
        <w:pStyle w:val="ListBullet"/>
      </w:pPr>
      <w:r>
        <w:t>Profiling, deterministic memory management, fixed-step computation and watchdogs.</w:t>
      </w:r>
    </w:p>
    <w:p>
      <w:pPr>
        <w:pStyle w:val="ListBullet"/>
      </w:pPr>
      <w:r>
        <w:t>Licensing, maintenance and cybersecurity considerations.</w:t>
      </w:r>
    </w:p>
    <w:p>
      <w:pPr>
        <w:pStyle w:val="Heading1"/>
        <w:keepNext/>
        <w:keepLines/>
      </w:pPr>
      <w:r>
        <w:t>8. Gap analysis and updated controller architecture</w:t>
      </w:r>
    </w:p>
    <w:p>
      <w:pPr>
        <w:spacing w:after="80"/>
      </w:pPr>
      <w:r>
        <w:rPr>
          <w:b/>
          <w:color w:val="1F4E78"/>
        </w:rPr>
        <w:t xml:space="preserve">Section purpose: </w:t>
      </w:r>
      <w:r>
        <w:rPr>
          <w:i/>
          <w:sz w:val="19"/>
        </w:rPr>
        <w:t>Compare the original concept with the current research frontier and define the revised design.</w:t>
      </w:r>
    </w:p>
    <w:p>
      <w:pPr>
        <w:pStyle w:val="ListBullet"/>
      </w:pPr>
      <w:r>
        <w:t>Which components remain novel and which can be adopted from existing work.</w:t>
      </w:r>
    </w:p>
    <w:p>
      <w:pPr>
        <w:pStyle w:val="ListBullet"/>
      </w:pPr>
      <w:r>
        <w:t>Updated plant/model assumptions and measured states.</w:t>
      </w:r>
    </w:p>
    <w:p>
      <w:pPr>
        <w:pStyle w:val="ListBullet"/>
      </w:pPr>
      <w:r>
        <w:t>Neural approximator, prescribed-performance transformation, adaptation law and knowledge store.</w:t>
      </w:r>
    </w:p>
    <w:p>
      <w:pPr>
        <w:pStyle w:val="ListBullet"/>
      </w:pPr>
      <w:r>
        <w:t>Fault/constraint handling and safe fallback controller.</w:t>
      </w:r>
    </w:p>
    <w:p>
      <w:pPr>
        <w:pStyle w:val="ListBullet"/>
      </w:pPr>
      <w:r>
        <w:t>Interfaces to trajectories from Activity 4 and sensors from Activities 3/7.</w:t>
      </w:r>
    </w:p>
    <w:p>
      <w:pPr>
        <w:pStyle w:val="ListBullet"/>
      </w:pPr>
      <w:r>
        <w:t>Real-time task allocation and computation budget.</w:t>
      </w:r>
    </w:p>
    <w:p>
      <w:pPr>
        <w:pStyle w:val="Heading1"/>
        <w:keepNext/>
        <w:keepLines/>
      </w:pPr>
      <w:r>
        <w:t>9. Selected methods and verification strategy</w:t>
      </w:r>
    </w:p>
    <w:p>
      <w:pPr>
        <w:spacing w:after="80"/>
      </w:pPr>
      <w:r>
        <w:rPr>
          <w:b/>
          <w:color w:val="1F4E78"/>
        </w:rPr>
        <w:t xml:space="preserve">Section purpose: </w:t>
      </w:r>
      <w:r>
        <w:rPr>
          <w:i/>
          <w:sz w:val="19"/>
        </w:rPr>
        <w:t>Record the chosen controller design, alternatives and evidence requirements.</w:t>
      </w:r>
    </w:p>
    <w:p>
      <w:pPr>
        <w:pStyle w:val="ListBullet"/>
      </w:pPr>
      <w:r>
        <w:t>Selected network architecture and basis-function structure.</w:t>
      </w:r>
    </w:p>
    <w:p>
      <w:pPr>
        <w:pStyle w:val="ListBullet"/>
      </w:pPr>
      <w:r>
        <w:t>Selected prescribed-performance formulation and control law.</w:t>
      </w:r>
    </w:p>
    <w:p>
      <w:pPr>
        <w:pStyle w:val="ListBullet"/>
      </w:pPr>
      <w:r>
        <w:t>Parameter-learning, freezing, reuse and reset policy.</w:t>
      </w:r>
    </w:p>
    <w:p>
      <w:pPr>
        <w:pStyle w:val="ListBullet"/>
      </w:pPr>
      <w:r>
        <w:t>Analytical stability/robustness proof plan.</w:t>
      </w:r>
    </w:p>
    <w:p>
      <w:pPr>
        <w:pStyle w:val="ListBullet"/>
      </w:pPr>
      <w:r>
        <w:t>Simulation, software-in-the-loop, hardware-in-the-loop and robot-test stages.</w:t>
      </w:r>
    </w:p>
    <w:p>
      <w:pPr>
        <w:pStyle w:val="ListBullet"/>
      </w:pPr>
      <w:r>
        <w:t>Fallback and fault-recovery strategy.</w:t>
      </w:r>
    </w:p>
    <w:p>
      <w:pPr>
        <w:pStyle w:val="Heading1"/>
        <w:keepNext/>
        <w:keepLines/>
      </w:pPr>
      <w:r>
        <w:t>10. Benchmarking and KPI plan</w:t>
      </w:r>
    </w:p>
    <w:p>
      <w:pPr>
        <w:spacing w:after="80"/>
      </w:pPr>
      <w:r>
        <w:rPr>
          <w:b/>
          <w:color w:val="1F4E78"/>
        </w:rPr>
        <w:t xml:space="preserve">Section purpose: </w:t>
      </w:r>
      <w:r>
        <w:rPr>
          <w:i/>
          <w:sz w:val="19"/>
        </w:rPr>
        <w:t>Define scenarios and measurements for scientific and industrial validation.</w:t>
      </w:r>
    </w:p>
    <w:p>
      <w:pPr>
        <w:pStyle w:val="ListBullet"/>
      </w:pPr>
      <w:r>
        <w:t>More than 200 application scenarios for computation-time and performance stress testing.</w:t>
      </w:r>
    </w:p>
    <w:p>
      <w:pPr>
        <w:pStyle w:val="ListBullet"/>
      </w:pPr>
      <w:r>
        <w:t>Trajectory classes, payloads, speeds, elastic effects, disturbances and actuator-fault cases.</w:t>
      </w:r>
    </w:p>
    <w:p>
      <w:pPr>
        <w:pStyle w:val="ListBullet"/>
      </w:pPr>
      <w:r>
        <w:t>Metrics: cycle time, worst-case execution time, tracking RMSE/maximum error, overshoot, settling time, torque/energy and stability violations.</w:t>
      </w:r>
    </w:p>
    <w:p>
      <w:pPr>
        <w:pStyle w:val="ListBullet"/>
      </w:pPr>
      <w:r>
        <w:t>Baseline tuning and fair-comparison rules.</w:t>
      </w:r>
    </w:p>
    <w:p>
      <w:pPr>
        <w:pStyle w:val="ListBullet"/>
      </w:pPr>
      <w:r>
        <w:t>Deployment-time measurement and operator effort.</w:t>
      </w:r>
    </w:p>
    <w:p>
      <w:pPr>
        <w:pStyle w:val="ListBullet"/>
      </w:pPr>
      <w:r>
        <w:t>Acceptance thresholds matching project KPIs.</w:t>
      </w:r>
    </w:p>
    <w:p>
      <w:pPr>
        <w:pStyle w:val="Heading1"/>
        <w:keepNext/>
        <w:keepLines/>
      </w:pPr>
      <w:r>
        <w:t>11. Risk, safety and industrialisation plan</w:t>
      </w:r>
    </w:p>
    <w:p>
      <w:pPr>
        <w:spacing w:after="80"/>
      </w:pPr>
      <w:r>
        <w:rPr>
          <w:b/>
          <w:color w:val="1F4E78"/>
        </w:rPr>
        <w:t xml:space="preserve">Section purpose: </w:t>
      </w:r>
      <w:r>
        <w:rPr>
          <w:i/>
          <w:sz w:val="19"/>
        </w:rPr>
        <w:t>Address the main barriers to deploying learning-based control in industrial robots.</w:t>
      </w:r>
    </w:p>
    <w:p>
      <w:pPr>
        <w:pStyle w:val="ListBullet"/>
      </w:pPr>
      <w:r>
        <w:t>Unverified behaviour, insufficient excitation, data drift, numerical instability and missed deadlines.</w:t>
      </w:r>
    </w:p>
    <w:p>
      <w:pPr>
        <w:pStyle w:val="ListBullet"/>
      </w:pPr>
      <w:r>
        <w:t>Runtime monitors, bounded adaptation, parameter limits and safe fallback.</w:t>
      </w:r>
    </w:p>
    <w:p>
      <w:pPr>
        <w:pStyle w:val="ListBullet"/>
      </w:pPr>
      <w:r>
        <w:t>Traceability of learned parameters and reproducibility.</w:t>
      </w:r>
    </w:p>
    <w:p>
      <w:pPr>
        <w:pStyle w:val="ListBullet"/>
      </w:pPr>
      <w:r>
        <w:t>Cybersecurity, software quality and change control.</w:t>
      </w:r>
    </w:p>
    <w:p>
      <w:pPr>
        <w:pStyle w:val="ListBullet"/>
      </w:pPr>
      <w:r>
        <w:t>Integration roadmap from simulation to COMAU controller prototype.</w:t>
      </w:r>
    </w:p>
    <w:p>
      <w:pPr>
        <w:pStyle w:val="Heading1"/>
        <w:keepNext/>
        <w:keepLines/>
      </w:pPr>
      <w:r>
        <w:t>12. Conclusions and approved updates</w:t>
      </w:r>
    </w:p>
    <w:p>
      <w:pPr>
        <w:spacing w:after="80"/>
      </w:pPr>
      <w:r>
        <w:rPr>
          <w:b/>
          <w:color w:val="1F4E78"/>
        </w:rPr>
        <w:t xml:space="preserve">Section purpose: </w:t>
      </w:r>
      <w:r>
        <w:rPr>
          <w:i/>
          <w:sz w:val="19"/>
        </w:rPr>
        <w:t>Provide a concise decision record for implementation.</w:t>
      </w:r>
    </w:p>
    <w:p>
      <w:pPr>
        <w:pStyle w:val="ListBullet"/>
      </w:pPr>
      <w:r>
        <w:t>Final selected architecture and benchmark plan.</w:t>
      </w:r>
    </w:p>
    <w:p>
      <w:pPr>
        <w:pStyle w:val="ListBullet"/>
      </w:pPr>
      <w:r>
        <w:t>Changes to mathematical assumptions, tools or schedule.</w:t>
      </w:r>
    </w:p>
    <w:p>
      <w:pPr>
        <w:pStyle w:val="ListBullet"/>
      </w:pPr>
      <w:r>
        <w:t>Open research questions and contingency options.</w:t>
      </w:r>
    </w:p>
    <w:p>
      <w:pPr>
        <w:pStyle w:val="ListBullet"/>
      </w:pPr>
      <w:r>
        <w:t>Approval and transition to Task 5.2.</w:t>
      </w:r>
    </w:p>
    <w:p>
      <w:pPr>
        <w:pStyle w:val="Heading1"/>
        <w:keepNext/>
        <w:keepLines/>
      </w:pPr>
      <w:r>
        <w:t>Completion checklist</w:t>
      </w:r>
    </w:p>
    <w:p>
      <w:pPr>
        <w:pStyle w:val="ListBullet"/>
      </w:pPr>
      <w:r>
        <w:t>[ ] The final title, due date, lead beneficiary and dissemination level are confirmed.</w:t>
      </w:r>
    </w:p>
    <w:p>
      <w:pPr>
        <w:pStyle w:val="ListBullet"/>
      </w:pPr>
      <w:r>
        <w:t>[ ] All claims are traceable to project records, scientific sources or test evidence.</w:t>
      </w:r>
    </w:p>
    <w:p>
      <w:pPr>
        <w:pStyle w:val="ListBullet"/>
      </w:pPr>
      <w:r>
        <w:t>[ ] Dependencies and contributions from other activities are explicitly acknowledged.</w:t>
      </w:r>
    </w:p>
    <w:p>
      <w:pPr>
        <w:pStyle w:val="ListBullet"/>
      </w:pPr>
      <w:r>
        <w:t>[ ] KPIs have definitions, baselines, measurement methods and responsible owners.</w:t>
      </w:r>
    </w:p>
    <w:p>
      <w:pPr>
        <w:pStyle w:val="ListBullet"/>
      </w:pPr>
      <w:r>
        <w:t>[ ] Ethics, GDPR, safety, security and IPR considerations are addressed where applicable.</w:t>
      </w:r>
    </w:p>
    <w:p>
      <w:pPr>
        <w:pStyle w:val="ListBullet"/>
      </w:pPr>
      <w:r>
        <w:t>[ ] The document has passed internal technical, quality and management review.</w:t>
      </w:r>
    </w:p>
    <w:p>
      <w:pPr>
        <w:pStyle w:val="Heading1"/>
        <w:keepNext/>
        <w:keepLines/>
      </w:pPr>
      <w:r>
        <w:t>Suggested annexes</w:t>
      </w:r>
    </w:p>
    <w:p>
      <w:pPr>
        <w:pStyle w:val="ListBullet"/>
      </w:pPr>
      <w:r>
        <w:t>Annex A - Neural-control and observer comparison matrix.</w:t>
      </w:r>
    </w:p>
    <w:p>
      <w:pPr>
        <w:pStyle w:val="ListBullet"/>
      </w:pPr>
      <w:r>
        <w:t>Annex B - Candidate model structures and assumptions.</w:t>
      </w:r>
    </w:p>
    <w:p>
      <w:pPr>
        <w:pStyle w:val="ListBullet"/>
      </w:pPr>
      <w:r>
        <w:t>Annex C - Stability and safety verification plan.</w:t>
      </w:r>
    </w:p>
    <w:p>
      <w:pPr>
        <w:pStyle w:val="ListBullet"/>
      </w:pPr>
      <w:r>
        <w:t>Annex D - Real-time computation budget and target hardware.</w:t>
      </w:r>
    </w:p>
    <w:p>
      <w:pPr>
        <w:pStyle w:val="ListBullet"/>
      </w:pPr>
      <w:r>
        <w:t>Annex E - Benchmark trajectories, disturbances and fault scenarios.</w:t>
      </w:r>
    </w:p>
    <w:p>
      <w:pPr>
        <w:pStyle w:val="ListBullet"/>
      </w:pPr>
      <w:r>
        <w:t>Annex F - Updated implementation roadmap.</w:t>
      </w:r>
    </w:p>
    <w:p>
      <w:pPr>
        <w:pStyle w:val="Heading1"/>
        <w:keepNext/>
        <w:keepLines/>
      </w:pPr>
      <w:r>
        <w:t>Source mapping</w:t>
      </w:r>
    </w:p>
    <w:p>
      <w:r>
        <w:rPr>
          <w:b/>
        </w:rPr>
        <w:t xml:space="preserve">Primary project-description basis: </w:t>
      </w:r>
      <w:r>
        <w:t>Section E.3, pp. 44-45; technical baseline in Section A.5, pp. 17-21.</w:t>
      </w:r>
    </w:p>
    <w:p>
      <w:r>
        <w:rPr>
          <w:b/>
        </w:rPr>
        <w:t xml:space="preserve">Boundary note: </w:t>
      </w:r>
      <w:r>
        <w:t>This deliverable updates the controller research plan. Controller design, proof, C++ implementation, integration and benchmarking results belong to Tasks 5.2-5.5.</w:t>
      </w:r>
    </w:p>
    <w:sectPr w:rsidR="00FC693F" w:rsidRPr="0006063C" w:rsidSect="00034616">
      <w:headerReference w:type="default" r:id="rId9"/>
      <w:footerReference w:type="default" r:id="rId10"/>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087"/>
      <w:gridCol w:w="2551"/>
    </w:tblGrid>
    <w:tr>
      <w:tc>
        <w:tcPr>
          <w:tcW w:type="dxa" w:w="4819"/>
        </w:tcPr>
        <w:p>
          <w:r>
            <w:rPr>
              <w:rFonts w:ascii="Liberation Sans" w:hAnsi="Liberation Sans"/>
              <w:color w:val="667788"/>
              <w:sz w:val="15"/>
            </w:rPr>
            <w:t>Planning for Artificial Robotic Intelligence and Beyond | 20 July 2026</w:t>
          </w:r>
        </w:p>
      </w:tc>
      <w:tc>
        <w:tcPr>
          <w:tcW w:type="dxa" w:w="4819"/>
        </w:tcPr>
        <w:p>
          <w:pPr>
            <w:jc w:val="right"/>
          </w:pPr>
          <w:r>
            <w:rPr>
              <w:rFonts w:ascii="Liberation Sans" w:hAnsi="Liberation Sans"/>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953"/>
      <w:gridCol w:w="3685"/>
    </w:tblGrid>
    <w:tr>
      <w:tc>
        <w:tcPr>
          <w:tcW w:type="dxa" w:w="4819"/>
          <w:shd w:fill="1F4E78"/>
          <w:tcMar>
            <w:top w:w="55" w:type="dxa"/>
            <w:start w:w="90" w:type="dxa"/>
            <w:bottom w:w="55" w:type="dxa"/>
            <w:end w:w="90" w:type="dxa"/>
          </w:tcMar>
          <w:vAlign w:val="center"/>
        </w:tcPr>
        <w:p>
          <w:r>
            <w:rPr>
              <w:rFonts w:ascii="Liberation Sans" w:hAnsi="Liberation Sans"/>
              <w:b/>
              <w:color w:val="FFFFFF"/>
              <w:sz w:val="18"/>
            </w:rPr>
            <w:t>PLAN4ARI</w:t>
          </w:r>
        </w:p>
      </w:tc>
      <w:tc>
        <w:tcPr>
          <w:tcW w:type="dxa" w:w="4819"/>
          <w:shd w:fill="1F4E78"/>
          <w:tcMar>
            <w:top w:w="55" w:type="dxa"/>
            <w:start w:w="90" w:type="dxa"/>
            <w:bottom w:w="55" w:type="dxa"/>
            <w:end w:w="90" w:type="dxa"/>
          </w:tcMar>
          <w:vAlign w:val="center"/>
        </w:tcPr>
        <w:p>
          <w:pPr>
            <w:jc w:val="right"/>
          </w:pPr>
          <w:r>
            <w:rPr>
              <w:rFonts w:ascii="Liberation Sans" w:hAnsi="Liberation Sans"/>
              <w:color w:val="FFFFFF"/>
              <w:sz w:val="17"/>
            </w:rPr>
            <w:t>Deliverable D5.1 - Draft Outline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b/>
      <w:bCs/>
      <w:color w:val="243746"/>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Liberation Sans" w:hAnsi="Liberation Sans"/>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rFonts w:ascii="Liberation Sans" w:hAnsi="Liberation Sans"/>
      <w:sz w:val="19"/>
    </w:rPr>
  </w:style>
  <w:style w:type="paragraph" w:styleId="ListBullet2">
    <w:name w:val="List Bullet 2"/>
    <w:basedOn w:val="Normal"/>
    <w:uiPriority w:val="99"/>
    <w:unhideWhenUsed/>
    <w:rsid w:val="00326F90"/>
    <w:pPr>
      <w:numPr>
        <w:numId w:val="2"/>
      </w:numPr>
      <w:spacing w:after="40" w:line="252" w:lineRule="auto"/>
      <w:contextualSpacing/>
    </w:pPr>
    <w:rPr>
      <w:rFonts w:ascii="Liberation Sans" w:hAnsi="Liberation San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rFonts w:ascii="Liberation Sans" w:hAnsi="Liberation San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3319B0B20B3DE41BEF41CFACEAC753C" ma:contentTypeVersion="10" ma:contentTypeDescription="Create a new document." ma:contentTypeScope="" ma:versionID="9f20efac135d8cfdd2fa348af50dfbde">
  <xsd:schema xmlns:xsd="http://www.w3.org/2001/XMLSchema" xmlns:xs="http://www.w3.org/2001/XMLSchema" xmlns:p="http://schemas.microsoft.com/office/2006/metadata/properties" xmlns:ns2="1def4e5e-247f-4a89-b7e5-1968c509544b" xmlns:ns3="d533452b-9663-4522-a270-ae8d05891bde" targetNamespace="http://schemas.microsoft.com/office/2006/metadata/properties" ma:root="true" ma:fieldsID="79fea841e550a97224ba8a6d213143fe" ns2:_="" ns3:_="">
    <xsd:import namespace="1def4e5e-247f-4a89-b7e5-1968c509544b"/>
    <xsd:import namespace="d533452b-9663-4522-a270-ae8d05891b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f4e5e-247f-4a89-b7e5-1968c5095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3452b-9663-4522-a270-ae8d05891b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ffd63e-dad7-4922-9072-1c4c28cd6dac}" ma:internalName="TaxCatchAll" ma:showField="CatchAllData" ma:web="d533452b-9663-4522-a270-ae8d05891b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def4e5e-247f-4a89-b7e5-1968c509544b">
      <Terms xmlns="http://schemas.microsoft.com/office/infopath/2007/PartnerControls"/>
    </lcf76f155ced4ddcb4097134ff3c332f>
    <TaxCatchAll xmlns="d533452b-9663-4522-a270-ae8d05891bd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71A0219-A20F-485C-8E77-E2DD993F2691}"/>
</file>

<file path=customXml/itemProps3.xml><?xml version="1.0" encoding="utf-8"?>
<ds:datastoreItem xmlns:ds="http://schemas.openxmlformats.org/officeDocument/2006/customXml" ds:itemID="{454B7D72-F40A-47CD-BCFB-D8F03CE4B1D6}"/>
</file>

<file path=customXml/itemProps4.xml><?xml version="1.0" encoding="utf-8"?>
<ds:datastoreItem xmlns:ds="http://schemas.openxmlformats.org/officeDocument/2006/customXml" ds:itemID="{A7F87DD5-5C66-4F4B-B399-B836BC3FD97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Plan4ARI Deliverable D5.1 - Updated Scientific Plan for Neural Robust Motion Control - Draft Outline</dc:title>
  <dc:subject>Draft deliverable outline based on the Plan4ARI Project Description</dc:subject>
  <dc:creator>OpenAI</dc:creator>
  <cp:keywords>Plan4ARI, deliverable, outline, robotics, FISA</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0x01010093319B0B20B3DE41BEF41CFACEAC753C</vt:lpwstr>
  </property>
</Properties>
</file>