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Liberation Sans" w:hAnsi="Liberation Sans"/>
          <w:b/>
          <w:color w:val="1F4E78"/>
          <w:sz w:val="36"/>
        </w:rPr>
        <w:t>PLAN4ARI</w:t>
      </w:r>
    </w:p>
    <w:p>
      <w:pPr>
        <w:pStyle w:val="Title"/>
        <w:jc w:val="center"/>
        <w:keepNext/>
        <w:keepLines/>
      </w:pPr>
      <w:r>
        <w:t>Deliverable D6.1</w:t>
        <w:br/>
      </w:r>
      <w:r>
        <w:rPr>
          <w:sz w:val="40"/>
        </w:rPr>
        <w:t>Subjective Evaluation Questionnaire Design for AI-Powered Human-Robot Collaboration</w:t>
      </w:r>
    </w:p>
    <w:p>
      <w:pPr>
        <w:jc w:val="center"/>
      </w:pPr>
      <w:r>
        <w:rPr>
          <w:rFonts w:ascii="Liberation Sans" w:hAnsi="Liberation Sans"/>
          <w:b/>
          <w:color w:val="243746"/>
          <w:sz w:val="26"/>
        </w:rPr>
        <w:t>DRAFT OUTLINE</w:t>
      </w:r>
    </w:p>
    <w:p>
      <w:pPr>
        <w:jc w:val="center"/>
      </w:pPr>
      <w:r>
        <w:rPr>
          <w:rFonts w:ascii="Liberation Sans" w:hAnsi="Liberation Sans"/>
          <w:i/>
          <w:sz w:val="22"/>
        </w:rPr>
        <w:t>Planning for Artificial Robotic Intelligence and Beyond</w:t>
      </w:r>
    </w:p>
    <w:p/>
    <w:tbl>
      <w:tblPr>
        <w:tblW w:type="auto" w:w="0"/>
        <w:jc w:val="center"/>
        <w:tblLayout w:type="fixed"/>
        <w:tblLook w:firstColumn="1" w:firstRow="1" w:lastColumn="0" w:lastRow="0" w:noHBand="0" w:noVBand="1" w:val="04A0"/>
      </w:tblPr>
      <w:tblGrid>
        <w:gridCol w:w="2835"/>
        <w:gridCol w:w="6350"/>
      </w:tblGrid>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Project acronym</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Plan4ARI</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Project duration</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48 months</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Work package / activity</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Activity 6 - Human-Robot Trustiness Evaluation and Assessment</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Task basis</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Task 6.1 Subjective Evaluation: Design of the Questionnaire</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Activity period</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M7-M9</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Suggested delivery point</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M9 (derived from Task 6.1 end month; confirm)</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Document status</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Proposed outline - Version 0.1</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Lead beneficiary</w:t>
            </w:r>
          </w:p>
        </w:tc>
        <w:tc>
          <w:tcPr>
            <w:tcW w:type="dxa" w:w="6350"/>
            <w:shd w:fill="F2F4F6"/>
            <w:tcMar>
              <w:top w:w="90" w:type="dxa"/>
              <w:start w:w="110" w:type="dxa"/>
              <w:bottom w:w="90" w:type="dxa"/>
              <w:end w:w="110" w:type="dxa"/>
            </w:tcMar>
            <w:vAlign w:val="center"/>
          </w:tcPr>
          <w:p>
            <w:pPr>
              <w:spacing w:after="0"/>
            </w:pPr>
            <w:r>
              <w:rPr>
                <w:rFonts w:ascii="Liberation Sans" w:hAnsi="Liberation Sans"/>
                <w:sz w:val="18"/>
              </w:rPr>
              <w:t>To be confirmed</w:t>
            </w:r>
          </w:p>
        </w:tc>
      </w:tr>
      <w:tr>
        <w:tc>
          <w:tcPr>
            <w:tcW w:type="dxa" w:w="2835"/>
            <w:shd w:fill="D9EAF7"/>
            <w:tcMar>
              <w:top w:w="90" w:type="dxa"/>
              <w:start w:w="110" w:type="dxa"/>
              <w:bottom w:w="90" w:type="dxa"/>
              <w:end w:w="110" w:type="dxa"/>
            </w:tcMar>
            <w:vAlign w:val="center"/>
          </w:tcPr>
          <w:p>
            <w:pPr>
              <w:spacing w:after="0"/>
            </w:pPr>
            <w:r>
              <w:rPr>
                <w:rFonts w:ascii="Liberation Sans" w:hAnsi="Liberation Sans"/>
                <w:b/>
                <w:sz w:val="18"/>
              </w:rPr>
              <w:t>Dissemination level</w:t>
            </w:r>
          </w:p>
        </w:tc>
        <w:tc>
          <w:tcPr>
            <w:tcW w:type="dxa" w:w="6350"/>
            <w:shd w:fill="FFFFFF"/>
            <w:tcMar>
              <w:top w:w="90" w:type="dxa"/>
              <w:start w:w="110" w:type="dxa"/>
              <w:bottom w:w="90" w:type="dxa"/>
              <w:end w:w="110" w:type="dxa"/>
            </w:tcMar>
            <w:vAlign w:val="center"/>
          </w:tcPr>
          <w:p>
            <w:pPr>
              <w:spacing w:after="0"/>
            </w:pPr>
            <w:r>
              <w:rPr>
                <w:rFonts w:ascii="Liberation Sans" w:hAnsi="Liberation Sans"/>
                <w:sz w:val="18"/>
              </w:rPr>
              <w:t>To be confirmed</w:t>
            </w:r>
          </w:p>
        </w:tc>
      </w:tr>
    </w:tbl>
    <w:p/>
    <w:tbl>
      <w:tblPr>
        <w:tblW w:type="auto" w:w="0"/>
        <w:jc w:val="center"/>
        <w:tblLook w:firstColumn="1" w:firstRow="1" w:lastColumn="0" w:lastRow="0" w:noHBand="0" w:noVBand="1" w:val="04A0"/>
      </w:tblPr>
      <w:tblGrid>
        <w:gridCol w:w="9638"/>
      </w:tblGrid>
      <w:tr>
        <w:tc>
          <w:tcPr>
            <w:tcW w:type="dxa" w:w="9638"/>
            <w:shd w:fill="EEF5FA"/>
            <w:tcMar>
              <w:top w:w="130" w:type="dxa"/>
              <w:start w:w="150" w:type="dxa"/>
              <w:bottom w:w="130" w:type="dxa"/>
              <w:end w:w="150" w:type="dxa"/>
            </w:tcMar>
          </w:tcPr>
          <w:p>
            <w:r>
              <w:rPr>
                <w:b/>
                <w:color w:val="1F4E78"/>
              </w:rPr>
              <w:t xml:space="preserve">Working assumption. </w:t>
            </w:r>
            <w:r>
              <w:rPr>
                <w:sz w:val="18"/>
              </w:rPr>
              <w:t>This outline is inferred from the Plan4ARI Project Description. The official deliverable title, due date, lead beneficiary and dissemination level should be checked against the final Grant Agreement and consortium decisions.</w:t>
            </w:r>
          </w:p>
        </w:tc>
      </w:tr>
    </w:tbl>
    <w:p>
      <w:pPr>
        <w:spacing w:before="360"/>
        <w:jc w:val="center"/>
      </w:pPr>
      <w:r>
        <w:rPr>
          <w:rFonts w:ascii="Liberation Sans" w:hAnsi="Liberation Sans"/>
          <w:color w:val="667788"/>
          <w:sz w:val="16"/>
        </w:rPr>
        <w:t>Source basis: Plan4ARI Project Description, especially Section E.3 (pp. 38-48), with supporting technical sections A.3-A.6.</w:t>
      </w:r>
    </w:p>
    <w:p>
      <w:r>
        <w:br w:type="page"/>
      </w:r>
    </w:p>
    <w:p>
      <w:pPr>
        <w:pStyle w:val="Heading1"/>
        <w:keepNext/>
        <w:keepLines/>
      </w:pPr>
      <w:r>
        <w:t>Document control</w:t>
      </w:r>
    </w:p>
    <w:tbl>
      <w:tblPr>
        <w:tblW w:type="auto" w:w="0"/>
        <w:jc w:val="center"/>
        <w:tblLayout w:type="fixed"/>
        <w:tblLook w:firstColumn="1" w:firstRow="1" w:lastColumn="0" w:lastRow="0" w:noHBand="0" w:noVBand="1" w:val="04A0"/>
      </w:tblPr>
      <w:tblGrid>
        <w:gridCol w:w="1191"/>
        <w:gridCol w:w="1701"/>
        <w:gridCol w:w="3061"/>
        <w:gridCol w:w="3458"/>
      </w:tblGrid>
      <w:tr>
        <w:trPr>
          <w:tblHeader w:val="true"/>
        </w:trPr>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Version</w:t>
            </w:r>
          </w:p>
        </w:tc>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Date</w:t>
            </w:r>
          </w:p>
        </w:tc>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Author / reviewer</w:t>
            </w:r>
          </w:p>
        </w:tc>
        <w:tc>
          <w:tcPr>
            <w:tcW w:type="dxa" w:w="2409"/>
            <w:shd w:fill="1F4E78"/>
            <w:tcMar>
              <w:top w:w="90" w:type="dxa"/>
              <w:start w:w="110" w:type="dxa"/>
              <w:bottom w:w="90" w:type="dxa"/>
              <w:end w:w="110" w:type="dxa"/>
            </w:tcMar>
          </w:tcPr>
          <w:p>
            <w:pPr>
              <w:spacing w:after="0"/>
            </w:pPr>
            <w:r>
              <w:rPr>
                <w:rFonts w:ascii="Liberation Sans" w:hAnsi="Liberation Sans"/>
                <w:b/>
                <w:color w:val="FFFFFF"/>
                <w:sz w:val="17"/>
              </w:rPr>
              <w:t>Change description</w:t>
            </w:r>
          </w:p>
        </w:tc>
      </w:tr>
      <w:tr>
        <w:tc>
          <w:tcPr>
            <w:tcW w:type="dxa" w:w="1191"/>
            <w:shd w:fill="FFFFFF"/>
            <w:tcMar>
              <w:top w:w="90" w:type="dxa"/>
              <w:start w:w="110" w:type="dxa"/>
              <w:bottom w:w="90" w:type="dxa"/>
              <w:end w:w="110" w:type="dxa"/>
            </w:tcMar>
          </w:tcPr>
          <w:p>
            <w:pPr>
              <w:spacing w:after="0"/>
            </w:pPr>
            <w:r>
              <w:rPr>
                <w:rFonts w:ascii="Liberation Sans" w:hAnsi="Liberation Sans"/>
                <w:sz w:val="17"/>
              </w:rPr>
              <w:t>0.1</w:t>
            </w:r>
          </w:p>
        </w:tc>
        <w:tc>
          <w:tcPr>
            <w:tcW w:type="dxa" w:w="1701"/>
            <w:shd w:fill="FFFFFF"/>
            <w:tcMar>
              <w:top w:w="90" w:type="dxa"/>
              <w:start w:w="110" w:type="dxa"/>
              <w:bottom w:w="90" w:type="dxa"/>
              <w:end w:w="110" w:type="dxa"/>
            </w:tcMar>
          </w:tcPr>
          <w:p>
            <w:pPr>
              <w:spacing w:after="0"/>
            </w:pPr>
            <w:r>
              <w:rPr>
                <w:rFonts w:ascii="Liberation Sans" w:hAnsi="Liberation Sans"/>
                <w:sz w:val="17"/>
              </w:rPr>
              <w:t>20 July 2026</w:t>
            </w:r>
          </w:p>
        </w:tc>
        <w:tc>
          <w:tcPr>
            <w:tcW w:type="dxa" w:w="3061"/>
            <w:shd w:fill="FFFFFF"/>
            <w:tcMar>
              <w:top w:w="90" w:type="dxa"/>
              <w:start w:w="110" w:type="dxa"/>
              <w:bottom w:w="90" w:type="dxa"/>
              <w:end w:w="110" w:type="dxa"/>
            </w:tcMar>
          </w:tcPr>
          <w:p>
            <w:pPr>
              <w:spacing w:after="0"/>
            </w:pPr>
            <w:r>
              <w:rPr>
                <w:rFonts w:ascii="Liberation Sans" w:hAnsi="Liberation Sans"/>
                <w:sz w:val="17"/>
              </w:rPr>
              <w:t>TBC</w:t>
            </w:r>
          </w:p>
        </w:tc>
        <w:tc>
          <w:tcPr>
            <w:tcW w:type="dxa" w:w="3458"/>
            <w:shd w:fill="FFFFFF"/>
            <w:tcMar>
              <w:top w:w="90" w:type="dxa"/>
              <w:start w:w="110" w:type="dxa"/>
              <w:bottom w:w="90" w:type="dxa"/>
              <w:end w:w="110" w:type="dxa"/>
            </w:tcMar>
          </w:tcPr>
          <w:p>
            <w:pPr>
              <w:spacing w:after="0"/>
            </w:pPr>
            <w:r>
              <w:rPr>
                <w:rFonts w:ascii="Liberation Sans" w:hAnsi="Liberation Sans"/>
                <w:sz w:val="17"/>
              </w:rPr>
              <w:t>Initial draft outline</w:t>
            </w:r>
          </w:p>
        </w:tc>
      </w:tr>
      <w:tr>
        <w:tc>
          <w:tcPr>
            <w:tcW w:type="dxa" w:w="1191"/>
            <w:shd w:fill="F2F4F6"/>
            <w:tcMar>
              <w:top w:w="90" w:type="dxa"/>
              <w:start w:w="110" w:type="dxa"/>
              <w:bottom w:w="90" w:type="dxa"/>
              <w:end w:w="110" w:type="dxa"/>
            </w:tcMar>
          </w:tcPr>
          <w:p>
            <w:pPr>
              <w:spacing w:after="0"/>
            </w:pPr>
            <w:r>
              <w:rPr>
                <w:rFonts w:ascii="Liberation Sans" w:hAnsi="Liberation Sans"/>
                <w:sz w:val="17"/>
              </w:rPr>
              <w:t>1.0</w:t>
            </w:r>
          </w:p>
        </w:tc>
        <w:tc>
          <w:tcPr>
            <w:tcW w:type="dxa" w:w="1701"/>
            <w:shd w:fill="F2F4F6"/>
            <w:tcMar>
              <w:top w:w="90" w:type="dxa"/>
              <w:start w:w="110" w:type="dxa"/>
              <w:bottom w:w="90" w:type="dxa"/>
              <w:end w:w="110" w:type="dxa"/>
            </w:tcMar>
          </w:tcPr>
          <w:p>
            <w:pPr>
              <w:spacing w:after="0"/>
            </w:pPr>
            <w:r>
              <w:rPr>
                <w:rFonts w:ascii="Liberation Sans" w:hAnsi="Liberation Sans"/>
                <w:sz w:val="17"/>
              </w:rPr>
              <w:t>TBC</w:t>
            </w:r>
          </w:p>
        </w:tc>
        <w:tc>
          <w:tcPr>
            <w:tcW w:type="dxa" w:w="3061"/>
            <w:shd w:fill="F2F4F6"/>
            <w:tcMar>
              <w:top w:w="90" w:type="dxa"/>
              <w:start w:w="110" w:type="dxa"/>
              <w:bottom w:w="90" w:type="dxa"/>
              <w:end w:w="110" w:type="dxa"/>
            </w:tcMar>
          </w:tcPr>
          <w:p>
            <w:pPr>
              <w:spacing w:after="0"/>
            </w:pPr>
            <w:r>
              <w:rPr>
                <w:rFonts w:ascii="Liberation Sans" w:hAnsi="Liberation Sans"/>
                <w:sz w:val="17"/>
              </w:rPr>
              <w:t>TBC</w:t>
            </w:r>
          </w:p>
        </w:tc>
        <w:tc>
          <w:tcPr>
            <w:tcW w:type="dxa" w:w="3458"/>
            <w:shd w:fill="F2F4F6"/>
            <w:tcMar>
              <w:top w:w="90" w:type="dxa"/>
              <w:start w:w="110" w:type="dxa"/>
              <w:bottom w:w="90" w:type="dxa"/>
              <w:end w:w="110" w:type="dxa"/>
            </w:tcMar>
          </w:tcPr>
          <w:p>
            <w:pPr>
              <w:spacing w:after="0"/>
            </w:pPr>
            <w:r>
              <w:rPr>
                <w:rFonts w:ascii="Liberation Sans" w:hAnsi="Liberation Sans"/>
                <w:sz w:val="17"/>
              </w:rPr>
              <w:t>Approved deliverable</w:t>
            </w:r>
          </w:p>
        </w:tc>
      </w:tr>
    </w:tbl>
    <w:p>
      <w:pPr>
        <w:pStyle w:val="Heading1"/>
        <w:keepNext/>
        <w:keepLines/>
      </w:pPr>
      <w:r>
        <w:t>Purpose of this outline</w:t>
      </w:r>
    </w:p>
    <w:p>
      <w:pPr>
        <w:spacing w:after="120"/>
      </w:pPr>
      <w:r>
        <w:t>The following structure is intended as a writing blueprint for the final deliverable. Each numbered heading may be retained in the final report, while the bullets describe the minimum content, evidence and decisions expected.</w:t>
      </w:r>
    </w:p>
    <w:p>
      <w:pPr>
        <w:pStyle w:val="Heading1"/>
        <w:keepNext/>
        <w:keepLines/>
      </w:pPr>
      <w:r>
        <w:t>Proposed table of contents at a glance</w:t>
      </w:r>
    </w:p>
    <w:tbl>
      <w:tblPr>
        <w:tblW w:type="auto" w:w="0"/>
        <w:jc w:val="center"/>
        <w:tblLayout w:type="fixed"/>
        <w:tblLook w:firstColumn="1" w:firstRow="1" w:lastColumn="0" w:lastRow="0" w:noHBand="0" w:noVBand="1" w:val="04A0"/>
      </w:tblPr>
      <w:tblGrid>
        <w:gridCol w:w="1814"/>
        <w:gridCol w:w="7370"/>
      </w:tblGrid>
      <w:tr>
        <w:trPr>
          <w:tblHeader w:val="true"/>
        </w:trPr>
        <w:tc>
          <w:tcPr>
            <w:tcW w:type="dxa" w:w="4819"/>
            <w:shd w:fill="1F4E78"/>
          </w:tcPr>
          <w:p>
            <w:r>
              <w:rPr>
                <w:b/>
                <w:color w:val="FFFFFF"/>
                <w:sz w:val="18"/>
              </w:rPr>
              <w:t>Section</w:t>
            </w:r>
          </w:p>
        </w:tc>
        <w:tc>
          <w:tcPr>
            <w:tcW w:type="dxa" w:w="4819"/>
            <w:shd w:fill="1F4E78"/>
          </w:tcPr>
          <w:p>
            <w:r>
              <w:rPr>
                <w:b/>
                <w:color w:val="FFFFFF"/>
                <w:sz w:val="18"/>
              </w:rPr>
              <w:t>Purpose</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1. Executive summary</w:t>
            </w:r>
          </w:p>
        </w:tc>
        <w:tc>
          <w:tcPr>
            <w:tcW w:type="dxa" w:w="7370"/>
            <w:shd w:fill="FFFFFF"/>
            <w:tcMar>
              <w:top w:w="90" w:type="dxa"/>
              <w:start w:w="110" w:type="dxa"/>
              <w:bottom w:w="90" w:type="dxa"/>
              <w:end w:w="110" w:type="dxa"/>
            </w:tcMar>
          </w:tcPr>
          <w:p>
            <w:pPr>
              <w:spacing w:after="0"/>
            </w:pPr>
            <w:r>
              <w:rPr>
                <w:rFonts w:ascii="Liberation Sans" w:hAnsi="Liberation Sans"/>
                <w:sz w:val="17"/>
              </w:rPr>
              <w:t>Describe the proposed questionnaire, target constructs, users and next validation steps.</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2. Study objectives and research questions</w:t>
            </w:r>
          </w:p>
        </w:tc>
        <w:tc>
          <w:tcPr>
            <w:tcW w:type="dxa" w:w="7370"/>
            <w:shd w:fill="F2F4F6"/>
            <w:tcMar>
              <w:top w:w="90" w:type="dxa"/>
              <w:start w:w="110" w:type="dxa"/>
              <w:bottom w:w="90" w:type="dxa"/>
              <w:end w:w="110" w:type="dxa"/>
            </w:tcMar>
          </w:tcPr>
          <w:p>
            <w:pPr>
              <w:spacing w:after="0"/>
            </w:pPr>
            <w:r>
              <w:rPr>
                <w:rFonts w:ascii="Liberation Sans" w:hAnsi="Liberation Sans"/>
                <w:sz w:val="17"/>
              </w:rPr>
              <w:t>Translate the Activity 6 ambitions into measurable questions.</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3. Conceptual framework and construct definitions</w:t>
            </w:r>
          </w:p>
        </w:tc>
        <w:tc>
          <w:tcPr>
            <w:tcW w:type="dxa" w:w="7370"/>
            <w:shd w:fill="FFFFFF"/>
            <w:tcMar>
              <w:top w:w="90" w:type="dxa"/>
              <w:start w:w="110" w:type="dxa"/>
              <w:bottom w:w="90" w:type="dxa"/>
              <w:end w:w="110" w:type="dxa"/>
            </w:tcMar>
          </w:tcPr>
          <w:p>
            <w:pPr>
              <w:spacing w:after="0"/>
            </w:pPr>
            <w:r>
              <w:rPr>
                <w:rFonts w:ascii="Liberation Sans" w:hAnsi="Liberation Sans"/>
                <w:sz w:val="17"/>
              </w:rPr>
              <w:t>Define exactly what each scale is intended to measure.</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4. Target population and use contexts</w:t>
            </w:r>
          </w:p>
        </w:tc>
        <w:tc>
          <w:tcPr>
            <w:tcW w:type="dxa" w:w="7370"/>
            <w:shd w:fill="F2F4F6"/>
            <w:tcMar>
              <w:top w:w="90" w:type="dxa"/>
              <w:start w:w="110" w:type="dxa"/>
              <w:bottom w:w="90" w:type="dxa"/>
              <w:end w:w="110" w:type="dxa"/>
            </w:tcMar>
          </w:tcPr>
          <w:p>
            <w:pPr>
              <w:spacing w:after="0"/>
            </w:pPr>
            <w:r>
              <w:rPr>
                <w:rFonts w:ascii="Liberation Sans" w:hAnsi="Liberation Sans"/>
                <w:sz w:val="17"/>
              </w:rPr>
              <w:t>Specify who should answer the questionnaire and under which conditions.</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5. Instrument architecture</w:t>
            </w:r>
          </w:p>
        </w:tc>
        <w:tc>
          <w:tcPr>
            <w:tcW w:type="dxa" w:w="7370"/>
            <w:shd w:fill="FFFFFF"/>
            <w:tcMar>
              <w:top w:w="90" w:type="dxa"/>
              <w:start w:w="110" w:type="dxa"/>
              <w:bottom w:w="90" w:type="dxa"/>
              <w:end w:w="110" w:type="dxa"/>
            </w:tcMar>
          </w:tcPr>
          <w:p>
            <w:pPr>
              <w:spacing w:after="0"/>
            </w:pPr>
            <w:r>
              <w:rPr>
                <w:rFonts w:ascii="Liberation Sans" w:hAnsi="Liberation Sans"/>
                <w:sz w:val="17"/>
              </w:rPr>
              <w:t>Define the questionnaire flow, modules and respondent burden.</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6. Item-generation methodology</w:t>
            </w:r>
          </w:p>
        </w:tc>
        <w:tc>
          <w:tcPr>
            <w:tcW w:type="dxa" w:w="7370"/>
            <w:shd w:fill="F2F4F6"/>
            <w:tcMar>
              <w:top w:w="90" w:type="dxa"/>
              <w:start w:w="110" w:type="dxa"/>
              <w:bottom w:w="90" w:type="dxa"/>
              <w:end w:w="110" w:type="dxa"/>
            </w:tcMar>
          </w:tcPr>
          <w:p>
            <w:pPr>
              <w:spacing w:after="0"/>
            </w:pPr>
            <w:r>
              <w:rPr>
                <w:rFonts w:ascii="Liberation Sans" w:hAnsi="Liberation Sans"/>
                <w:sz w:val="17"/>
              </w:rPr>
              <w:t>Show how items are developed from theory, evidence and operator input.</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7. Response formats, scoring and interpretation</w:t>
            </w:r>
          </w:p>
        </w:tc>
        <w:tc>
          <w:tcPr>
            <w:tcW w:type="dxa" w:w="7370"/>
            <w:shd w:fill="FFFFFF"/>
            <w:tcMar>
              <w:top w:w="90" w:type="dxa"/>
              <w:start w:w="110" w:type="dxa"/>
              <w:bottom w:w="90" w:type="dxa"/>
              <w:end w:w="110" w:type="dxa"/>
            </w:tcMar>
          </w:tcPr>
          <w:p>
            <w:pPr>
              <w:spacing w:after="0"/>
            </w:pPr>
            <w:r>
              <w:rPr>
                <w:rFonts w:ascii="Liberation Sans" w:hAnsi="Liberation Sans"/>
                <w:sz w:val="17"/>
              </w:rPr>
              <w:t>Define how answers are captured and transformed into usable metrics.</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8. Draft questionnaire content by module</w:t>
            </w:r>
          </w:p>
        </w:tc>
        <w:tc>
          <w:tcPr>
            <w:tcW w:type="dxa" w:w="7370"/>
            <w:shd w:fill="F2F4F6"/>
            <w:tcMar>
              <w:top w:w="90" w:type="dxa"/>
              <w:start w:w="110" w:type="dxa"/>
              <w:bottom w:w="90" w:type="dxa"/>
              <w:end w:w="110" w:type="dxa"/>
            </w:tcMar>
          </w:tcPr>
          <w:p>
            <w:pPr>
              <w:spacing w:after="0"/>
            </w:pPr>
            <w:r>
              <w:rPr>
                <w:rFonts w:ascii="Liberation Sans" w:hAnsi="Liberation Sans"/>
                <w:sz w:val="17"/>
              </w:rPr>
              <w:t>Present the planned item groups and traceability to research questions.</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9. Content review and pilot procedure</w:t>
            </w:r>
          </w:p>
        </w:tc>
        <w:tc>
          <w:tcPr>
            <w:tcW w:type="dxa" w:w="7370"/>
            <w:shd w:fill="FFFFFF"/>
            <w:tcMar>
              <w:top w:w="90" w:type="dxa"/>
              <w:start w:w="110" w:type="dxa"/>
              <w:bottom w:w="90" w:type="dxa"/>
              <w:end w:w="110" w:type="dxa"/>
            </w:tcMar>
          </w:tcPr>
          <w:p>
            <w:pPr>
              <w:spacing w:after="0"/>
            </w:pPr>
            <w:r>
              <w:rPr>
                <w:rFonts w:ascii="Liberation Sans" w:hAnsi="Liberation Sans"/>
                <w:sz w:val="17"/>
              </w:rPr>
              <w:t>Define how the draft will be refined before the validation campaign.</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10. Validation plan for subsequent tasks</w:t>
            </w:r>
          </w:p>
        </w:tc>
        <w:tc>
          <w:tcPr>
            <w:tcW w:type="dxa" w:w="7370"/>
            <w:shd w:fill="F2F4F6"/>
            <w:tcMar>
              <w:top w:w="90" w:type="dxa"/>
              <w:start w:w="110" w:type="dxa"/>
              <w:bottom w:w="90" w:type="dxa"/>
              <w:end w:w="110" w:type="dxa"/>
            </w:tcMar>
          </w:tcPr>
          <w:p>
            <w:pPr>
              <w:spacing w:after="0"/>
            </w:pPr>
            <w:r>
              <w:rPr>
                <w:rFonts w:ascii="Liberation Sans" w:hAnsi="Liberation Sans"/>
                <w:sz w:val="17"/>
              </w:rPr>
              <w:t>Prepare the statistical work without prematurely claiming validation.</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11. Ethics, GDPR and data management</w:t>
            </w:r>
          </w:p>
        </w:tc>
        <w:tc>
          <w:tcPr>
            <w:tcW w:type="dxa" w:w="7370"/>
            <w:shd w:fill="FFFFFF"/>
            <w:tcMar>
              <w:top w:w="90" w:type="dxa"/>
              <w:start w:w="110" w:type="dxa"/>
              <w:bottom w:w="90" w:type="dxa"/>
              <w:end w:w="110" w:type="dxa"/>
            </w:tcMar>
          </w:tcPr>
          <w:p>
            <w:pPr>
              <w:spacing w:after="0"/>
            </w:pPr>
            <w:r>
              <w:rPr>
                <w:rFonts w:ascii="Liberation Sans" w:hAnsi="Liberation Sans"/>
                <w:sz w:val="17"/>
              </w:rPr>
              <w:t>Ensure lawful and respectful collection of worker perceptions.</w:t>
            </w:r>
          </w:p>
        </w:tc>
      </w:tr>
      <w:tr>
        <w:tc>
          <w:tcPr>
            <w:tcW w:type="dxa" w:w="1814"/>
            <w:shd w:fill="F2F4F6"/>
            <w:tcMar>
              <w:top w:w="90" w:type="dxa"/>
              <w:start w:w="110" w:type="dxa"/>
              <w:bottom w:w="90" w:type="dxa"/>
              <w:end w:w="110" w:type="dxa"/>
            </w:tcMar>
          </w:tcPr>
          <w:p>
            <w:pPr>
              <w:spacing w:after="0"/>
            </w:pPr>
            <w:r>
              <w:rPr>
                <w:rFonts w:ascii="Liberation Sans" w:hAnsi="Liberation Sans"/>
                <w:sz w:val="17"/>
              </w:rPr>
              <w:t>12. Administration, deployment and reporting plan</w:t>
            </w:r>
          </w:p>
        </w:tc>
        <w:tc>
          <w:tcPr>
            <w:tcW w:type="dxa" w:w="7370"/>
            <w:shd w:fill="F2F4F6"/>
            <w:tcMar>
              <w:top w:w="90" w:type="dxa"/>
              <w:start w:w="110" w:type="dxa"/>
              <w:bottom w:w="90" w:type="dxa"/>
              <w:end w:w="110" w:type="dxa"/>
            </w:tcMar>
          </w:tcPr>
          <w:p>
            <w:pPr>
              <w:spacing w:after="0"/>
            </w:pPr>
            <w:r>
              <w:rPr>
                <w:rFonts w:ascii="Liberation Sans" w:hAnsi="Liberation Sans"/>
                <w:sz w:val="17"/>
              </w:rPr>
              <w:t>Define practical operation of the questionnaire.</w:t>
            </w:r>
          </w:p>
        </w:tc>
      </w:tr>
      <w:tr>
        <w:tc>
          <w:tcPr>
            <w:tcW w:type="dxa" w:w="1814"/>
            <w:shd w:fill="FFFFFF"/>
            <w:tcMar>
              <w:top w:w="90" w:type="dxa"/>
              <w:start w:w="110" w:type="dxa"/>
              <w:bottom w:w="90" w:type="dxa"/>
              <w:end w:w="110" w:type="dxa"/>
            </w:tcMar>
          </w:tcPr>
          <w:p>
            <w:pPr>
              <w:spacing w:after="0"/>
            </w:pPr>
            <w:r>
              <w:rPr>
                <w:rFonts w:ascii="Liberation Sans" w:hAnsi="Liberation Sans"/>
                <w:sz w:val="17"/>
              </w:rPr>
              <w:t>13. Conclusions and readiness for validation</w:t>
            </w:r>
          </w:p>
        </w:tc>
        <w:tc>
          <w:tcPr>
            <w:tcW w:type="dxa" w:w="7370"/>
            <w:shd w:fill="FFFFFF"/>
            <w:tcMar>
              <w:top w:w="90" w:type="dxa"/>
              <w:start w:w="110" w:type="dxa"/>
              <w:bottom w:w="90" w:type="dxa"/>
              <w:end w:w="110" w:type="dxa"/>
            </w:tcMar>
          </w:tcPr>
          <w:p>
            <w:pPr>
              <w:spacing w:after="0"/>
            </w:pPr>
            <w:r>
              <w:rPr>
                <w:rFonts w:ascii="Liberation Sans" w:hAnsi="Liberation Sans"/>
                <w:sz w:val="17"/>
              </w:rPr>
              <w:t>State the instrument’s maturity, remaining decisions and handover to Task 6.2.</w:t>
            </w:r>
          </w:p>
        </w:tc>
      </w:tr>
    </w:tbl>
    <w:p>
      <w:r>
        <w:br w:type="page"/>
      </w:r>
    </w:p>
    <w:p>
      <w:pPr>
        <w:pStyle w:val="Heading1"/>
        <w:keepNext/>
        <w:keepLines/>
      </w:pPr>
      <w:r>
        <w:t>Detailed writing outline</w:t>
      </w:r>
    </w:p>
    <w:p>
      <w:pPr>
        <w:pStyle w:val="Heading1"/>
        <w:keepNext/>
        <w:keepLines/>
      </w:pPr>
      <w:r>
        <w:t>1. Executive summary</w:t>
      </w:r>
    </w:p>
    <w:p>
      <w:pPr>
        <w:spacing w:after="80"/>
      </w:pPr>
      <w:r>
        <w:rPr>
          <w:b/>
          <w:color w:val="1F4E78"/>
        </w:rPr>
        <w:t xml:space="preserve">Section purpose: </w:t>
      </w:r>
      <w:r>
        <w:rPr>
          <w:i/>
          <w:sz w:val="19"/>
        </w:rPr>
        <w:t>Describe the proposed questionnaire, target constructs, users and next validation steps.</w:t>
      </w:r>
    </w:p>
    <w:p>
      <w:pPr>
        <w:pStyle w:val="ListBullet"/>
      </w:pPr>
      <w:r>
        <w:t>Purpose of measuring trust, acceptance, workload and collaboration experience with AI-powered industrial robots.</w:t>
      </w:r>
    </w:p>
    <w:p>
      <w:pPr>
        <w:pStyle w:val="ListBullet"/>
      </w:pPr>
      <w:r>
        <w:t>Summary of questionnaire modules and administration mode.</w:t>
      </w:r>
    </w:p>
    <w:p>
      <w:pPr>
        <w:pStyle w:val="ListBullet"/>
      </w:pPr>
      <w:r>
        <w:t>Planned pilot, validation and revision path.</w:t>
      </w:r>
    </w:p>
    <w:p>
      <w:pPr>
        <w:pStyle w:val="Heading1"/>
        <w:keepNext/>
        <w:keepLines/>
      </w:pPr>
      <w:r>
        <w:t>2. Study objectives and research questions</w:t>
      </w:r>
    </w:p>
    <w:p>
      <w:pPr>
        <w:spacing w:after="80"/>
      </w:pPr>
      <w:r>
        <w:rPr>
          <w:b/>
          <w:color w:val="1F4E78"/>
        </w:rPr>
        <w:t xml:space="preserve">Section purpose: </w:t>
      </w:r>
      <w:r>
        <w:rPr>
          <w:i/>
          <w:sz w:val="19"/>
        </w:rPr>
        <w:t>Translate the Activity 6 ambitions into measurable questions.</w:t>
      </w:r>
    </w:p>
    <w:p>
      <w:pPr>
        <w:pStyle w:val="ListBullet"/>
      </w:pPr>
      <w:r>
        <w:t>How training and prior knowledge influence trust and acceptance.</w:t>
      </w:r>
    </w:p>
    <w:p>
      <w:pPr>
        <w:pStyle w:val="ListBullet"/>
      </w:pPr>
      <w:r>
        <w:t>How operators perceive physical safety and trust safety software.</w:t>
      </w:r>
    </w:p>
    <w:p>
      <w:pPr>
        <w:pStyle w:val="ListBullet"/>
      </w:pPr>
      <w:r>
        <w:t>Whether the human-robot workstation is perceived as effective and fluent.</w:t>
      </w:r>
    </w:p>
    <w:p>
      <w:pPr>
        <w:pStyle w:val="ListBullet"/>
      </w:pPr>
      <w:r>
        <w:t>How operators frame the robot: tool, colleague or autonomous agent.</w:t>
      </w:r>
    </w:p>
    <w:p>
      <w:pPr>
        <w:pStyle w:val="ListBullet"/>
      </w:pPr>
      <w:r>
        <w:t>How agency, role balance, stress and post-shift experience evolve.</w:t>
      </w:r>
    </w:p>
    <w:p>
      <w:pPr>
        <w:pStyle w:val="ListBullet"/>
      </w:pPr>
      <w:r>
        <w:t>How context, task and temporal dynamics affect trust.</w:t>
      </w:r>
    </w:p>
    <w:p>
      <w:pPr>
        <w:pStyle w:val="Heading1"/>
        <w:keepNext/>
        <w:keepLines/>
      </w:pPr>
      <w:r>
        <w:t>3. Conceptual framework and construct definitions</w:t>
      </w:r>
    </w:p>
    <w:p>
      <w:pPr>
        <w:spacing w:after="80"/>
      </w:pPr>
      <w:r>
        <w:rPr>
          <w:b/>
          <w:color w:val="1F4E78"/>
        </w:rPr>
        <w:t xml:space="preserve">Section purpose: </w:t>
      </w:r>
      <w:r>
        <w:rPr>
          <w:i/>
          <w:sz w:val="19"/>
        </w:rPr>
        <w:t>Define exactly what each scale is intended to measure.</w:t>
      </w:r>
    </w:p>
    <w:p>
      <w:pPr>
        <w:pStyle w:val="ListBullet"/>
      </w:pPr>
      <w:r>
        <w:rPr>
          <w:b/>
        </w:rPr>
        <w:t>Competence and preparedness.</w:t>
      </w:r>
      <w:r>
        <w:t xml:space="preserve"> Training, skills, familiarity and understanding of the workstation.</w:t>
      </w:r>
    </w:p>
    <w:p>
      <w:pPr>
        <w:pStyle w:val="ListBullet"/>
      </w:pPr>
      <w:r>
        <w:rPr>
          <w:b/>
        </w:rPr>
        <w:t>Safety trust.</w:t>
      </w:r>
      <w:r>
        <w:t xml:space="preserve"> Perceived protection from physical harm and confidence in hardware/software safety mechanisms.</w:t>
      </w:r>
    </w:p>
    <w:p>
      <w:pPr>
        <w:pStyle w:val="ListBullet"/>
      </w:pPr>
      <w:r>
        <w:rPr>
          <w:b/>
        </w:rPr>
        <w:t>Performance trust.</w:t>
      </w:r>
      <w:r>
        <w:t xml:space="preserve"> Belief that robot and operator will accomplish the task correctly and efficiently.</w:t>
      </w:r>
    </w:p>
    <w:p>
      <w:pPr>
        <w:pStyle w:val="ListBullet"/>
      </w:pPr>
      <w:r>
        <w:rPr>
          <w:b/>
        </w:rPr>
        <w:t>Transparency and predictability.</w:t>
      </w:r>
      <w:r>
        <w:t xml:space="preserve"> Understanding of robot intentions, actions and reasons.</w:t>
      </w:r>
    </w:p>
    <w:p>
      <w:pPr>
        <w:pStyle w:val="ListBullet"/>
      </w:pPr>
      <w:r>
        <w:rPr>
          <w:b/>
        </w:rPr>
        <w:t>Role, agency and team fluency.</w:t>
      </w:r>
      <w:r>
        <w:t xml:space="preserve"> Perceived leadership/equality, coordination, interruptions and mutual adaptation.</w:t>
      </w:r>
    </w:p>
    <w:p>
      <w:pPr>
        <w:pStyle w:val="ListBullet"/>
      </w:pPr>
      <w:r>
        <w:rPr>
          <w:b/>
        </w:rPr>
        <w:t>Anthropomorphic or relational framing.</w:t>
      </w:r>
      <w:r>
        <w:t xml:space="preserve"> Robot as tool versus colleague-like companion, without encouraging unsupported personification.</w:t>
      </w:r>
    </w:p>
    <w:p>
      <w:pPr>
        <w:pStyle w:val="ListBullet"/>
      </w:pPr>
      <w:r>
        <w:rPr>
          <w:b/>
        </w:rPr>
        <w:t>Workload and wellbeing.</w:t>
      </w:r>
      <w:r>
        <w:t xml:space="preserve"> Mental and physical stress before, during and after shifts.</w:t>
      </w:r>
    </w:p>
    <w:p>
      <w:pPr>
        <w:pStyle w:val="ListBullet"/>
      </w:pPr>
      <w:r>
        <w:rPr>
          <w:b/>
        </w:rPr>
        <w:t>Acceptance and future use.</w:t>
      </w:r>
      <w:r>
        <w:t xml:space="preserve"> Willingness to use, recommend and rely on the system.</w:t>
      </w:r>
    </w:p>
    <w:p>
      <w:pPr>
        <w:spacing w:before="40"/>
      </w:pPr>
      <w:r>
        <w:rPr>
          <w:b/>
          <w:color w:val="243746"/>
        </w:rPr>
        <w:t>Recommended evidence / artefacts</w:t>
      </w:r>
    </w:p>
    <w:p>
      <w:pPr>
        <w:pStyle w:val="ListBullet2"/>
      </w:pPr>
      <w:r>
        <w:t>Construct map showing hypothesised relationships and contextual moderators.</w:t>
      </w:r>
    </w:p>
    <w:p>
      <w:pPr>
        <w:pStyle w:val="Heading1"/>
        <w:keepNext/>
        <w:keepLines/>
      </w:pPr>
      <w:r>
        <w:t>4. Target population and use contexts</w:t>
      </w:r>
    </w:p>
    <w:p>
      <w:pPr>
        <w:spacing w:after="80"/>
      </w:pPr>
      <w:r>
        <w:rPr>
          <w:b/>
          <w:color w:val="1F4E78"/>
        </w:rPr>
        <w:t xml:space="preserve">Section purpose: </w:t>
      </w:r>
      <w:r>
        <w:rPr>
          <w:i/>
          <w:sz w:val="19"/>
        </w:rPr>
        <w:t>Specify who should answer the questionnaire and under which conditions.</w:t>
      </w:r>
    </w:p>
    <w:p>
      <w:pPr>
        <w:pStyle w:val="ListBullet"/>
      </w:pPr>
      <w:r>
        <w:t>Industrial operators, process experts, maintainers and supervisors who interact with AI-powered collaborative robots.</w:t>
      </w:r>
    </w:p>
    <w:p>
      <w:pPr>
        <w:pStyle w:val="ListBullet"/>
      </w:pPr>
      <w:r>
        <w:t>Inclusion/exclusion criteria and minimum exposure to the system.</w:t>
      </w:r>
    </w:p>
    <w:p>
      <w:pPr>
        <w:pStyle w:val="ListBullet"/>
      </w:pPr>
      <w:r>
        <w:t>Relevant contexts: warehouse picking, remanufacturing and ship/plate welding demonstrators.</w:t>
      </w:r>
    </w:p>
    <w:p>
      <w:pPr>
        <w:pStyle w:val="ListBullet"/>
      </w:pPr>
      <w:r>
        <w:t>Subgroups for later analysis: experience, training, age range, role, shift type and prior cobot exposure.</w:t>
      </w:r>
    </w:p>
    <w:p>
      <w:pPr>
        <w:pStyle w:val="ListBullet"/>
      </w:pPr>
      <w:r>
        <w:t>Sampling limitations in the initial consortium phase.</w:t>
      </w:r>
    </w:p>
    <w:p>
      <w:pPr>
        <w:pStyle w:val="Heading1"/>
        <w:keepNext/>
        <w:keepLines/>
      </w:pPr>
      <w:r>
        <w:t>5. Instrument architecture</w:t>
      </w:r>
    </w:p>
    <w:p>
      <w:pPr>
        <w:spacing w:after="80"/>
      </w:pPr>
      <w:r>
        <w:rPr>
          <w:b/>
          <w:color w:val="1F4E78"/>
        </w:rPr>
        <w:t xml:space="preserve">Section purpose: </w:t>
      </w:r>
      <w:r>
        <w:rPr>
          <w:i/>
          <w:sz w:val="19"/>
        </w:rPr>
        <w:t>Define the questionnaire flow, modules and respondent burden.</w:t>
      </w:r>
    </w:p>
    <w:p>
      <w:pPr>
        <w:pStyle w:val="ListBullet"/>
      </w:pPr>
      <w:r>
        <w:t>Introduction, consent, eligibility and context questions.</w:t>
      </w:r>
    </w:p>
    <w:p>
      <w:pPr>
        <w:pStyle w:val="ListBullet"/>
      </w:pPr>
      <w:r>
        <w:t>Pre-interaction baseline items.</w:t>
      </w:r>
    </w:p>
    <w:p>
      <w:pPr>
        <w:pStyle w:val="ListBullet"/>
      </w:pPr>
      <w:r>
        <w:t>During-/immediate-post-interaction modules.</w:t>
      </w:r>
    </w:p>
    <w:p>
      <w:pPr>
        <w:pStyle w:val="ListBullet"/>
      </w:pPr>
      <w:r>
        <w:t>End-of-shift or retrospective module.</w:t>
      </w:r>
    </w:p>
    <w:p>
      <w:pPr>
        <w:pStyle w:val="ListBullet"/>
      </w:pPr>
      <w:r>
        <w:t>Open-ended questions and incident reporting.</w:t>
      </w:r>
    </w:p>
    <w:p>
      <w:pPr>
        <w:pStyle w:val="ListBullet"/>
      </w:pPr>
      <w:r>
        <w:t>Estimated completion time, skip logic and optional modules.</w:t>
      </w:r>
    </w:p>
    <w:p>
      <w:pPr>
        <w:pStyle w:val="Heading1"/>
        <w:keepNext/>
        <w:keepLines/>
      </w:pPr>
      <w:r>
        <w:t>6. Item-generation methodology</w:t>
      </w:r>
    </w:p>
    <w:p>
      <w:pPr>
        <w:spacing w:after="80"/>
      </w:pPr>
      <w:r>
        <w:rPr>
          <w:b/>
          <w:color w:val="1F4E78"/>
        </w:rPr>
        <w:t xml:space="preserve">Section purpose: </w:t>
      </w:r>
      <w:r>
        <w:rPr>
          <w:i/>
          <w:sz w:val="19"/>
        </w:rPr>
        <w:t>Show how items are developed from theory, evidence and operator input.</w:t>
      </w:r>
    </w:p>
    <w:p>
      <w:pPr>
        <w:pStyle w:val="ListBullet"/>
      </w:pPr>
      <w:r>
        <w:t>Review of established trust, fluency and workload scales, including NASA-TLX-related concepts where suitable.</w:t>
      </w:r>
    </w:p>
    <w:p>
      <w:pPr>
        <w:pStyle w:val="ListBullet"/>
      </w:pPr>
      <w:r>
        <w:t>Adaptation rules for industrial HRC and AI-powered robot functions.</w:t>
      </w:r>
    </w:p>
    <w:p>
      <w:pPr>
        <w:pStyle w:val="ListBullet"/>
      </w:pPr>
      <w:r>
        <w:t>New item generation for multi-actor, context-sensitive and temporal trust.</w:t>
      </w:r>
    </w:p>
    <w:p>
      <w:pPr>
        <w:pStyle w:val="ListBullet"/>
      </w:pPr>
      <w:r>
        <w:t>Language clarity, single-idea wording, avoidance of leading questions and balanced polarity.</w:t>
      </w:r>
    </w:p>
    <w:p>
      <w:pPr>
        <w:pStyle w:val="ListBullet"/>
      </w:pPr>
      <w:r>
        <w:t>Expert review by psychology/SSH, robotics, safety and legal specialists.</w:t>
      </w:r>
    </w:p>
    <w:p>
      <w:pPr>
        <w:pStyle w:val="ListBullet"/>
      </w:pPr>
      <w:r>
        <w:t>Operator debates, focus groups or cognitive interviews.</w:t>
      </w:r>
    </w:p>
    <w:p>
      <w:pPr>
        <w:pStyle w:val="Heading1"/>
        <w:keepNext/>
        <w:keepLines/>
      </w:pPr>
      <w:r>
        <w:t>7. Response formats, scoring and interpretation</w:t>
      </w:r>
    </w:p>
    <w:p>
      <w:pPr>
        <w:spacing w:after="80"/>
      </w:pPr>
      <w:r>
        <w:rPr>
          <w:b/>
          <w:color w:val="1F4E78"/>
        </w:rPr>
        <w:t xml:space="preserve">Section purpose: </w:t>
      </w:r>
      <w:r>
        <w:rPr>
          <w:i/>
          <w:sz w:val="19"/>
        </w:rPr>
        <w:t>Define how answers are captured and transformed into usable metrics.</w:t>
      </w:r>
    </w:p>
    <w:p>
      <w:pPr>
        <w:pStyle w:val="ListBullet"/>
      </w:pPr>
      <w:r>
        <w:t>Likert scale length and anchors; treatment of “not applicable”.</w:t>
      </w:r>
    </w:p>
    <w:p>
      <w:pPr>
        <w:pStyle w:val="ListBullet"/>
      </w:pPr>
      <w:r>
        <w:t>Reverse-coded items and quality checks.</w:t>
      </w:r>
    </w:p>
    <w:p>
      <w:pPr>
        <w:pStyle w:val="ListBullet"/>
      </w:pPr>
      <w:r>
        <w:t>Construct-level score calculation and missing-data rules.</w:t>
      </w:r>
    </w:p>
    <w:p>
      <w:pPr>
        <w:pStyle w:val="ListBullet"/>
      </w:pPr>
      <w:r>
        <w:t>Interpretation bands and caution against over-interpretation before validation.</w:t>
      </w:r>
    </w:p>
    <w:p>
      <w:pPr>
        <w:pStyle w:val="ListBullet"/>
      </w:pPr>
      <w:r>
        <w:t>Links between subjective scores and objective process metrics.</w:t>
      </w:r>
    </w:p>
    <w:p>
      <w:pPr>
        <w:pStyle w:val="Heading1"/>
        <w:keepNext/>
        <w:keepLines/>
      </w:pPr>
      <w:r>
        <w:t>8. Draft questionnaire content by module</w:t>
      </w:r>
    </w:p>
    <w:p>
      <w:pPr>
        <w:spacing w:after="80"/>
      </w:pPr>
      <w:r>
        <w:rPr>
          <w:b/>
          <w:color w:val="1F4E78"/>
        </w:rPr>
        <w:t xml:space="preserve">Section purpose: </w:t>
      </w:r>
      <w:r>
        <w:rPr>
          <w:i/>
          <w:sz w:val="19"/>
        </w:rPr>
        <w:t>Present the planned item groups and traceability to research questions.</w:t>
      </w:r>
    </w:p>
    <w:p>
      <w:pPr>
        <w:pStyle w:val="ListBullet"/>
      </w:pPr>
      <w:r>
        <w:t>Training, familiarity and perceived competence.</w:t>
      </w:r>
    </w:p>
    <w:p>
      <w:pPr>
        <w:pStyle w:val="ListBullet"/>
      </w:pPr>
      <w:r>
        <w:t>Physical safety and safety-software trust.</w:t>
      </w:r>
    </w:p>
    <w:p>
      <w:pPr>
        <w:pStyle w:val="ListBullet"/>
      </w:pPr>
      <w:r>
        <w:t>Task effectiveness, quality and reliability.</w:t>
      </w:r>
    </w:p>
    <w:p>
      <w:pPr>
        <w:pStyle w:val="ListBullet"/>
      </w:pPr>
      <w:r>
        <w:t>Predictability, transparency and control/override.</w:t>
      </w:r>
    </w:p>
    <w:p>
      <w:pPr>
        <w:pStyle w:val="ListBullet"/>
      </w:pPr>
      <w:r>
        <w:t>Robot relevance, tool-versus-colleague framing and agency.</w:t>
      </w:r>
    </w:p>
    <w:p>
      <w:pPr>
        <w:pStyle w:val="ListBullet"/>
      </w:pPr>
      <w:r>
        <w:t>Team fluency, communication and role balance.</w:t>
      </w:r>
    </w:p>
    <w:p>
      <w:pPr>
        <w:pStyle w:val="ListBullet"/>
      </w:pPr>
      <w:r>
        <w:t>Mental/physical stress and workload.</w:t>
      </w:r>
    </w:p>
    <w:p>
      <w:pPr>
        <w:pStyle w:val="ListBullet"/>
      </w:pPr>
      <w:r>
        <w:t>Overall acceptance, satisfaction and future use.</w:t>
      </w:r>
    </w:p>
    <w:p>
      <w:pPr>
        <w:pStyle w:val="ListBullet"/>
      </w:pPr>
      <w:r>
        <w:t>Open comments, unexpected events and improvement suggestions.</w:t>
      </w:r>
    </w:p>
    <w:p>
      <w:pPr>
        <w:spacing w:before="40"/>
      </w:pPr>
      <w:r>
        <w:rPr>
          <w:b/>
          <w:color w:val="243746"/>
        </w:rPr>
        <w:t>Recommended evidence / artefacts</w:t>
      </w:r>
    </w:p>
    <w:p>
      <w:pPr>
        <w:pStyle w:val="ListBullet2"/>
      </w:pPr>
      <w:r>
        <w:t>Item-to-construct matrix including source/adaptation rationale and response scale.</w:t>
      </w:r>
    </w:p>
    <w:p>
      <w:pPr>
        <w:pStyle w:val="Heading1"/>
        <w:keepNext/>
        <w:keepLines/>
      </w:pPr>
      <w:r>
        <w:t>9. Content review and pilot procedure</w:t>
      </w:r>
    </w:p>
    <w:p>
      <w:pPr>
        <w:spacing w:after="80"/>
      </w:pPr>
      <w:r>
        <w:rPr>
          <w:b/>
          <w:color w:val="1F4E78"/>
        </w:rPr>
        <w:t xml:space="preserve">Section purpose: </w:t>
      </w:r>
      <w:r>
        <w:rPr>
          <w:i/>
          <w:sz w:val="19"/>
        </w:rPr>
        <w:t>Define how the draft will be refined before the validation campaign.</w:t>
      </w:r>
    </w:p>
    <w:p>
      <w:pPr>
        <w:pStyle w:val="ListBullet"/>
      </w:pPr>
      <w:r>
        <w:t>Expert-panel composition and content-validity rating.</w:t>
      </w:r>
    </w:p>
    <w:p>
      <w:pPr>
        <w:pStyle w:val="ListBullet"/>
      </w:pPr>
      <w:r>
        <w:t>Cognitive interviews with representative operators.</w:t>
      </w:r>
    </w:p>
    <w:p>
      <w:pPr>
        <w:pStyle w:val="ListBullet"/>
      </w:pPr>
      <w:r>
        <w:t>Comprehension, sensitivity, redundancy and completion-time checks.</w:t>
      </w:r>
    </w:p>
    <w:p>
      <w:pPr>
        <w:pStyle w:val="ListBullet"/>
      </w:pPr>
      <w:r>
        <w:t>Pilot administration and item-revision decision rules.</w:t>
      </w:r>
    </w:p>
    <w:p>
      <w:pPr>
        <w:pStyle w:val="ListBullet"/>
      </w:pPr>
      <w:r>
        <w:t>Versioning and approval of the instrument used in Task 6.2.</w:t>
      </w:r>
    </w:p>
    <w:p>
      <w:pPr>
        <w:pStyle w:val="Heading1"/>
        <w:keepNext/>
        <w:keepLines/>
      </w:pPr>
      <w:r>
        <w:t>10. Validation plan for subsequent tasks</w:t>
      </w:r>
    </w:p>
    <w:p>
      <w:pPr>
        <w:spacing w:after="80"/>
      </w:pPr>
      <w:r>
        <w:rPr>
          <w:b/>
          <w:color w:val="1F4E78"/>
        </w:rPr>
        <w:t xml:space="preserve">Section purpose: </w:t>
      </w:r>
      <w:r>
        <w:rPr>
          <w:i/>
          <w:sz w:val="19"/>
        </w:rPr>
        <w:t>Prepare the statistical work without prematurely claiming validation.</w:t>
      </w:r>
    </w:p>
    <w:p>
      <w:pPr>
        <w:pStyle w:val="ListBullet"/>
      </w:pPr>
      <w:r>
        <w:t>Initial target of at least 50 workers for Task 6.2 and more than 100 for the final campaign.</w:t>
      </w:r>
    </w:p>
    <w:p>
      <w:pPr>
        <w:pStyle w:val="ListBullet"/>
      </w:pPr>
      <w:r>
        <w:t>Reliability: internal consistency and, where feasible, test-retest stability.</w:t>
      </w:r>
    </w:p>
    <w:p>
      <w:pPr>
        <w:pStyle w:val="ListBullet"/>
      </w:pPr>
      <w:r>
        <w:t>Construct validity: exploratory/confirmatory factor analysis, convergent and discriminant evidence.</w:t>
      </w:r>
    </w:p>
    <w:p>
      <w:pPr>
        <w:pStyle w:val="ListBullet"/>
      </w:pPr>
      <w:r>
        <w:t>Criterion validity against objective performance, workload or interaction indicators.</w:t>
      </w:r>
    </w:p>
    <w:p>
      <w:pPr>
        <w:pStyle w:val="ListBullet"/>
      </w:pPr>
      <w:r>
        <w:t>Measurement invariance across relevant operator groups and contexts.</w:t>
      </w:r>
    </w:p>
    <w:p>
      <w:pPr>
        <w:pStyle w:val="ListBullet"/>
      </w:pPr>
      <w:r>
        <w:t>Item-reduction and final-form selection rules.</w:t>
      </w:r>
    </w:p>
    <w:p>
      <w:pPr>
        <w:pStyle w:val="Heading1"/>
        <w:keepNext/>
        <w:keepLines/>
      </w:pPr>
      <w:r>
        <w:t>11. Ethics, GDPR and data management</w:t>
      </w:r>
    </w:p>
    <w:p>
      <w:pPr>
        <w:spacing w:after="80"/>
      </w:pPr>
      <w:r>
        <w:rPr>
          <w:b/>
          <w:color w:val="1F4E78"/>
        </w:rPr>
        <w:t xml:space="preserve">Section purpose: </w:t>
      </w:r>
      <w:r>
        <w:rPr>
          <w:i/>
          <w:sz w:val="19"/>
        </w:rPr>
        <w:t>Ensure lawful and respectful collection of worker perceptions.</w:t>
      </w:r>
    </w:p>
    <w:p>
      <w:pPr>
        <w:pStyle w:val="ListBullet"/>
      </w:pPr>
      <w:r>
        <w:t>Voluntary participation, informed consent and freedom to withdraw.</w:t>
      </w:r>
    </w:p>
    <w:p>
      <w:pPr>
        <w:pStyle w:val="ListBullet"/>
      </w:pPr>
      <w:r>
        <w:t>Data minimisation, pseudonymisation/anonymisation and role-based access.</w:t>
      </w:r>
    </w:p>
    <w:p>
      <w:pPr>
        <w:pStyle w:val="ListBullet"/>
      </w:pPr>
      <w:r>
        <w:t>Sensitive workplace dynamics and protection against employer retaliation or re-identification.</w:t>
      </w:r>
    </w:p>
    <w:p>
      <w:pPr>
        <w:pStyle w:val="ListBullet"/>
      </w:pPr>
      <w:r>
        <w:t>Data retention, publication of aggregate statistics and dataset-sharing assessment.</w:t>
      </w:r>
    </w:p>
    <w:p>
      <w:pPr>
        <w:pStyle w:val="ListBullet"/>
      </w:pPr>
      <w:r>
        <w:t>Contact point for questions and complaints.</w:t>
      </w:r>
    </w:p>
    <w:p>
      <w:pPr>
        <w:pStyle w:val="Heading1"/>
        <w:keepNext/>
        <w:keepLines/>
      </w:pPr>
      <w:r>
        <w:t>12. Administration, deployment and reporting plan</w:t>
      </w:r>
    </w:p>
    <w:p>
      <w:pPr>
        <w:spacing w:after="80"/>
      </w:pPr>
      <w:r>
        <w:rPr>
          <w:b/>
          <w:color w:val="1F4E78"/>
        </w:rPr>
        <w:t xml:space="preserve">Section purpose: </w:t>
      </w:r>
      <w:r>
        <w:rPr>
          <w:i/>
          <w:sz w:val="19"/>
        </w:rPr>
        <w:t>Define practical operation of the questionnaire.</w:t>
      </w:r>
    </w:p>
    <w:p>
      <w:pPr>
        <w:pStyle w:val="ListBullet"/>
      </w:pPr>
      <w:r>
        <w:t>Online and, if needed, paper-assisted versions.</w:t>
      </w:r>
    </w:p>
    <w:p>
      <w:pPr>
        <w:pStyle w:val="ListBullet"/>
      </w:pPr>
      <w:r>
        <w:t>Languages, translation/back-translation and accessibility.</w:t>
      </w:r>
    </w:p>
    <w:p>
      <w:pPr>
        <w:pStyle w:val="ListBullet"/>
      </w:pPr>
      <w:r>
        <w:t>Administration timing relative to demonstrations and shifts.</w:t>
      </w:r>
    </w:p>
    <w:p>
      <w:pPr>
        <w:pStyle w:val="ListBullet"/>
      </w:pPr>
      <w:r>
        <w:t>Response monitoring, data-quality checks and secure export.</w:t>
      </w:r>
    </w:p>
    <w:p>
      <w:pPr>
        <w:pStyle w:val="ListBullet"/>
      </w:pPr>
      <w:r>
        <w:t>Reporting format for partners and linkage to the project knowledge base/control framework.</w:t>
      </w:r>
    </w:p>
    <w:p>
      <w:pPr>
        <w:pStyle w:val="Heading1"/>
        <w:keepNext/>
        <w:keepLines/>
      </w:pPr>
      <w:r>
        <w:t>13. Conclusions and readiness for validation</w:t>
      </w:r>
    </w:p>
    <w:p>
      <w:pPr>
        <w:spacing w:after="80"/>
      </w:pPr>
      <w:r>
        <w:rPr>
          <w:b/>
          <w:color w:val="1F4E78"/>
        </w:rPr>
        <w:t xml:space="preserve">Section purpose: </w:t>
      </w:r>
      <w:r>
        <w:rPr>
          <w:i/>
          <w:sz w:val="19"/>
        </w:rPr>
        <w:t>State the instrument’s maturity, remaining decisions and handover to Task 6.2.</w:t>
      </w:r>
    </w:p>
    <w:p>
      <w:pPr>
        <w:pStyle w:val="ListBullet"/>
      </w:pPr>
      <w:r>
        <w:t>Approved construct set and draft item count.</w:t>
      </w:r>
    </w:p>
    <w:p>
      <w:pPr>
        <w:pStyle w:val="ListBullet"/>
      </w:pPr>
      <w:r>
        <w:t>Issues requiring ethics or consortium decision.</w:t>
      </w:r>
    </w:p>
    <w:p>
      <w:pPr>
        <w:pStyle w:val="ListBullet"/>
      </w:pPr>
      <w:r>
        <w:t>Pilot schedule and responsible teams.</w:t>
      </w:r>
    </w:p>
    <w:p>
      <w:pPr>
        <w:pStyle w:val="ListBullet"/>
      </w:pPr>
      <w:r>
        <w:t>Criteria for releasing questionnaire version 1.0.</w:t>
      </w:r>
    </w:p>
    <w:p>
      <w:pPr>
        <w:pStyle w:val="Heading1"/>
        <w:keepNext/>
        <w:keepLines/>
      </w:pPr>
      <w:r>
        <w:t>Completion checklist</w:t>
      </w:r>
    </w:p>
    <w:p>
      <w:pPr>
        <w:pStyle w:val="ListBullet"/>
      </w:pPr>
      <w:r>
        <w:t>[ ] The final title, due date, lead beneficiary and dissemination level are confirmed.</w:t>
      </w:r>
    </w:p>
    <w:p>
      <w:pPr>
        <w:pStyle w:val="ListBullet"/>
      </w:pPr>
      <w:r>
        <w:t>[ ] All claims are traceable to project records, scientific sources or test evidence.</w:t>
      </w:r>
    </w:p>
    <w:p>
      <w:pPr>
        <w:pStyle w:val="ListBullet"/>
      </w:pPr>
      <w:r>
        <w:t>[ ] Dependencies and contributions from other activities are explicitly acknowledged.</w:t>
      </w:r>
    </w:p>
    <w:p>
      <w:pPr>
        <w:pStyle w:val="ListBullet"/>
      </w:pPr>
      <w:r>
        <w:t>[ ] KPIs have definitions, baselines, measurement methods and responsible owners.</w:t>
      </w:r>
    </w:p>
    <w:p>
      <w:pPr>
        <w:pStyle w:val="ListBullet"/>
      </w:pPr>
      <w:r>
        <w:t>[ ] Ethics, GDPR, safety, security and IPR considerations are addressed where applicable.</w:t>
      </w:r>
    </w:p>
    <w:p>
      <w:pPr>
        <w:pStyle w:val="ListBullet"/>
      </w:pPr>
      <w:r>
        <w:t>[ ] The document has passed internal technical, quality and management review.</w:t>
      </w:r>
    </w:p>
    <w:p>
      <w:pPr>
        <w:pStyle w:val="Heading1"/>
        <w:keepNext/>
        <w:keepLines/>
      </w:pPr>
      <w:r>
        <w:t>Suggested annexes</w:t>
      </w:r>
    </w:p>
    <w:p>
      <w:pPr>
        <w:pStyle w:val="ListBullet"/>
      </w:pPr>
      <w:r>
        <w:t>Annex A - Complete draft questionnaire.</w:t>
      </w:r>
    </w:p>
    <w:p>
      <w:pPr>
        <w:pStyle w:val="ListBullet"/>
      </w:pPr>
      <w:r>
        <w:t>Annex B - Item-to-construct traceability matrix.</w:t>
      </w:r>
    </w:p>
    <w:p>
      <w:pPr>
        <w:pStyle w:val="ListBullet"/>
      </w:pPr>
      <w:r>
        <w:t>Annex C - Participant information and informed-consent text.</w:t>
      </w:r>
    </w:p>
    <w:p>
      <w:pPr>
        <w:pStyle w:val="ListBullet"/>
      </w:pPr>
      <w:r>
        <w:t>Annex D - Cognitive-interview / focus-group guide.</w:t>
      </w:r>
    </w:p>
    <w:p>
      <w:pPr>
        <w:pStyle w:val="ListBullet"/>
      </w:pPr>
      <w:r>
        <w:t>Annex E - Data dictionary and scoring specification.</w:t>
      </w:r>
    </w:p>
    <w:p>
      <w:pPr>
        <w:pStyle w:val="ListBullet"/>
      </w:pPr>
      <w:r>
        <w:t>Annex F - Ethics and GDPR assessment checklist.</w:t>
      </w:r>
    </w:p>
    <w:p>
      <w:pPr>
        <w:pStyle w:val="Heading1"/>
        <w:keepNext/>
        <w:keepLines/>
      </w:pPr>
      <w:r>
        <w:t>Source mapping</w:t>
      </w:r>
    </w:p>
    <w:p>
      <w:r>
        <w:rPr>
          <w:b/>
        </w:rPr>
        <w:t xml:space="preserve">Primary project-description basis: </w:t>
      </w:r>
      <w:r>
        <w:t>Section E.3, p. 45; technical baseline in Section A.6, pp. 22-24.</w:t>
      </w:r>
    </w:p>
    <w:p>
      <w:r>
        <w:rPr>
          <w:b/>
        </w:rPr>
        <w:t xml:space="preserve">Boundary note: </w:t>
      </w:r>
      <w:r>
        <w:t>D6.1 should document the construct model, item-development process and draft instrument. Statistical validation and final deployment results belong to Tasks 6.2-6.4.</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087"/>
      <w:gridCol w:w="2551"/>
    </w:tblGrid>
    <w:tr>
      <w:tc>
        <w:tcPr>
          <w:tcW w:type="dxa" w:w="4819"/>
        </w:tcPr>
        <w:p>
          <w:r>
            <w:rPr>
              <w:rFonts w:ascii="Liberation Sans" w:hAnsi="Liberation Sans"/>
              <w:color w:val="667788"/>
              <w:sz w:val="15"/>
            </w:rPr>
            <w:t>Planning for Artificial Robotic Intelligence and Beyond | 20 July 2026</w:t>
          </w:r>
        </w:p>
      </w:tc>
      <w:tc>
        <w:tcPr>
          <w:tcW w:type="dxa" w:w="4819"/>
        </w:tcPr>
        <w:p>
          <w:pPr>
            <w:jc w:val="right"/>
          </w:pPr>
          <w:r>
            <w:rPr>
              <w:rFonts w:ascii="Liberation Sans" w:hAnsi="Liberation Sans"/>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953"/>
      <w:gridCol w:w="3685"/>
    </w:tblGrid>
    <w:tr>
      <w:tc>
        <w:tcPr>
          <w:tcW w:type="dxa" w:w="4819"/>
          <w:shd w:fill="1F4E78"/>
          <w:tcMar>
            <w:top w:w="55" w:type="dxa"/>
            <w:start w:w="90" w:type="dxa"/>
            <w:bottom w:w="55" w:type="dxa"/>
            <w:end w:w="90" w:type="dxa"/>
          </w:tcMar>
          <w:vAlign w:val="center"/>
        </w:tcPr>
        <w:p>
          <w:r>
            <w:rPr>
              <w:rFonts w:ascii="Liberation Sans" w:hAnsi="Liberation Sans"/>
              <w:b/>
              <w:color w:val="FFFFFF"/>
              <w:sz w:val="18"/>
            </w:rPr>
            <w:t>PLAN4ARI</w:t>
          </w:r>
        </w:p>
      </w:tc>
      <w:tc>
        <w:tcPr>
          <w:tcW w:type="dxa" w:w="4819"/>
          <w:shd w:fill="1F4E78"/>
          <w:tcMar>
            <w:top w:w="55" w:type="dxa"/>
            <w:start w:w="90" w:type="dxa"/>
            <w:bottom w:w="55" w:type="dxa"/>
            <w:end w:w="90" w:type="dxa"/>
          </w:tcMar>
          <w:vAlign w:val="center"/>
        </w:tcPr>
        <w:p>
          <w:pPr>
            <w:jc w:val="right"/>
          </w:pPr>
          <w:r>
            <w:rPr>
              <w:rFonts w:ascii="Liberation Sans" w:hAnsi="Liberation Sans"/>
              <w:color w:val="FFFFFF"/>
              <w:sz w:val="17"/>
            </w:rPr>
            <w:t>Deliverable D6.1 - Draft Outline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4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243746"/>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Liberation Sans" w:hAnsi="Liberation Sans"/>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Liberation Sans" w:hAnsi="Liberation Sans"/>
      <w:sz w:val="19"/>
    </w:rPr>
  </w:style>
  <w:style w:type="paragraph" w:styleId="ListBullet2">
    <w:name w:val="List Bullet 2"/>
    <w:basedOn w:val="Normal"/>
    <w:uiPriority w:val="99"/>
    <w:unhideWhenUsed/>
    <w:rsid w:val="00326F90"/>
    <w:pPr>
      <w:numPr>
        <w:numId w:val="2"/>
      </w:numPr>
      <w:spacing w:after="40" w:line="252" w:lineRule="auto"/>
      <w:contextualSpacing/>
    </w:pPr>
    <w:rPr>
      <w:rFonts w:ascii="Liberation Sans" w:hAnsi="Liberation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Liberation Sans" w:hAnsi="Liberation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E48AD17-4971-4588-A4B0-0FB25D8B4AA7}"/>
</file>

<file path=customXml/itemProps3.xml><?xml version="1.0" encoding="utf-8"?>
<ds:datastoreItem xmlns:ds="http://schemas.openxmlformats.org/officeDocument/2006/customXml" ds:itemID="{ABA14D51-270E-4113-8713-7D116CAAADBB}"/>
</file>

<file path=customXml/itemProps4.xml><?xml version="1.0" encoding="utf-8"?>
<ds:datastoreItem xmlns:ds="http://schemas.openxmlformats.org/officeDocument/2006/customXml" ds:itemID="{E5E843AD-1A41-4401-9464-E4B8AFB0C4E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Plan4ARI Deliverable D6.1 - Subjective Evaluation Questionnaire Design for AI-Powered Human-Robot Collaboration - Draft Outline</dc:title>
  <dc:subject>Draft deliverable outline based on the Plan4ARI Project Description</dc:subject>
  <dc:creator>OpenAI</dc:creator>
  <cp:keywords>Plan4ARI, deliverable, outline, robotics, FISA</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0x01010093319B0B20B3DE41BEF41CFACEAC753C</vt:lpwstr>
  </property>
</Properties>
</file>