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Liberation Sans" w:hAnsi="Liberation Sans"/>
          <w:b/>
          <w:color w:val="1F4E78"/>
          <w:sz w:val="36"/>
        </w:rPr>
        <w:t>PLAN4ARI</w:t>
      </w:r>
    </w:p>
    <w:p>
      <w:pPr>
        <w:pStyle w:val="Title"/>
        <w:jc w:val="center"/>
        <w:keepNext/>
        <w:keepLines/>
      </w:pPr>
      <w:r>
        <w:t>Deliverable D7.1</w:t>
        <w:br/>
      </w:r>
      <w:r>
        <w:rPr>
          <w:sz w:val="40"/>
        </w:rPr>
        <w:t>Warehouse Random-Object Picking Demonstrator - Specification, Integration and Validation Report</w:t>
      </w:r>
    </w:p>
    <w:p>
      <w:pPr>
        <w:jc w:val="center"/>
      </w:pPr>
      <w:r>
        <w:rPr>
          <w:rFonts w:ascii="Liberation Sans" w:hAnsi="Liberation Sans"/>
          <w:b/>
          <w:color w:val="243746"/>
          <w:sz w:val="26"/>
        </w:rPr>
        <w:t>DRAFT OUTLINE</w:t>
      </w:r>
    </w:p>
    <w:p>
      <w:pPr>
        <w:jc w:val="center"/>
      </w:pPr>
      <w:r>
        <w:rPr>
          <w:rFonts w:ascii="Liberation Sans" w:hAnsi="Liberation Sans"/>
          <w:i/>
          <w:sz w:val="22"/>
        </w:rPr>
        <w:t>Planning for Artificial Robotic Intelligence and Beyond</w:t>
      </w:r>
    </w:p>
    <w:p/>
    <w:tbl>
      <w:tblPr>
        <w:tblW w:type="auto" w:w="0"/>
        <w:jc w:val="center"/>
        <w:tblLayout w:type="fixed"/>
        <w:tblLook w:firstColumn="1" w:firstRow="1" w:lastColumn="0" w:lastRow="0" w:noHBand="0" w:noVBand="1" w:val="04A0"/>
      </w:tblPr>
      <w:tblGrid>
        <w:gridCol w:w="2835"/>
        <w:gridCol w:w="6350"/>
      </w:tblGrid>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acronym</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Plan4ARI</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duration</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48 months</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Work package / activity</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Activity 7 - Targeted Demonstrator</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Task basis</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Task 7.1 Picking random objects from a warehouse</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Activity period</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M36-M48</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Suggested delivery point</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M48 for the final demonstrator report; an internal specification may be issued earlier (confirm)</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Document status</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Proposed outline - Version 0.1</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Lead beneficiary</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To be confirmed</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Dissemination level</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To be confirmed</w:t>
            </w:r>
          </w:p>
        </w:tc>
      </w:tr>
    </w:tbl>
    <w:p/>
    <w:tbl>
      <w:tblPr>
        <w:tblW w:type="auto" w:w="0"/>
        <w:jc w:val="center"/>
        <w:tblLook w:firstColumn="1" w:firstRow="1" w:lastColumn="0" w:lastRow="0" w:noHBand="0" w:noVBand="1" w:val="04A0"/>
      </w:tblPr>
      <w:tblGrid>
        <w:gridCol w:w="9638"/>
      </w:tblGrid>
      <w:tr>
        <w:tc>
          <w:tcPr>
            <w:tcW w:type="dxa" w:w="9638"/>
            <w:shd w:fill="EEF5FA"/>
            <w:tcMar>
              <w:top w:w="130" w:type="dxa"/>
              <w:start w:w="150" w:type="dxa"/>
              <w:bottom w:w="130" w:type="dxa"/>
              <w:end w:w="150" w:type="dxa"/>
            </w:tcMar>
          </w:tcPr>
          <w:p>
            <w:r>
              <w:rPr>
                <w:b/>
                <w:color w:val="1F4E78"/>
              </w:rPr>
              <w:t xml:space="preserve">Working assumption. </w:t>
            </w:r>
            <w:r>
              <w:rPr>
                <w:sz w:val="18"/>
              </w:rPr>
              <w:t>This outline is inferred from the Plan4ARI Project Description. The official deliverable title, due date, lead beneficiary and dissemination level should be checked against the final Grant Agreement and consortium decisions.</w:t>
            </w:r>
          </w:p>
        </w:tc>
      </w:tr>
    </w:tbl>
    <w:p>
      <w:pPr>
        <w:spacing w:before="360"/>
        <w:jc w:val="center"/>
      </w:pPr>
      <w:r>
        <w:rPr>
          <w:rFonts w:ascii="Liberation Sans" w:hAnsi="Liberation Sans"/>
          <w:color w:val="667788"/>
          <w:sz w:val="16"/>
        </w:rPr>
        <w:t>Source basis: Plan4ARI Project Description, especially Section E.3 (pp. 38-48), with supporting technical sections A.3-A.6.</w:t>
      </w:r>
    </w:p>
    <w:p>
      <w:r>
        <w:br w:type="page"/>
      </w:r>
    </w:p>
    <w:p>
      <w:pPr>
        <w:pStyle w:val="Heading1"/>
        <w:keepNext/>
        <w:keepLines/>
      </w:pPr>
      <w:r>
        <w:t>Document control</w:t>
      </w:r>
    </w:p>
    <w:tbl>
      <w:tblPr>
        <w:tblW w:type="auto" w:w="0"/>
        <w:jc w:val="center"/>
        <w:tblLayout w:type="fixed"/>
        <w:tblLook w:firstColumn="1" w:firstRow="1" w:lastColumn="0" w:lastRow="0" w:noHBand="0" w:noVBand="1" w:val="04A0"/>
      </w:tblPr>
      <w:tblGrid>
        <w:gridCol w:w="1191"/>
        <w:gridCol w:w="1701"/>
        <w:gridCol w:w="3061"/>
        <w:gridCol w:w="3458"/>
      </w:tblGrid>
      <w:tr>
        <w:trPr>
          <w:tblHeader w:val="true"/>
        </w:trPr>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Version</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Date</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Author / reviewer</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Change description</w:t>
            </w:r>
          </w:p>
        </w:tc>
      </w:tr>
      <w:tr>
        <w:tc>
          <w:tcPr>
            <w:tcW w:type="dxa" w:w="1191"/>
            <w:shd w:fill="FFFFFF"/>
            <w:tcMar>
              <w:top w:w="90" w:type="dxa"/>
              <w:start w:w="110" w:type="dxa"/>
              <w:bottom w:w="90" w:type="dxa"/>
              <w:end w:w="110" w:type="dxa"/>
            </w:tcMar>
          </w:tcPr>
          <w:p>
            <w:pPr>
              <w:spacing w:after="0"/>
            </w:pPr>
            <w:r>
              <w:rPr>
                <w:rFonts w:ascii="Liberation Sans" w:hAnsi="Liberation Sans"/>
                <w:sz w:val="17"/>
              </w:rPr>
              <w:t>0.1</w:t>
            </w:r>
          </w:p>
        </w:tc>
        <w:tc>
          <w:tcPr>
            <w:tcW w:type="dxa" w:w="1701"/>
            <w:shd w:fill="FFFFFF"/>
            <w:tcMar>
              <w:top w:w="90" w:type="dxa"/>
              <w:start w:w="110" w:type="dxa"/>
              <w:bottom w:w="90" w:type="dxa"/>
              <w:end w:w="110" w:type="dxa"/>
            </w:tcMar>
          </w:tcPr>
          <w:p>
            <w:pPr>
              <w:spacing w:after="0"/>
            </w:pPr>
            <w:r>
              <w:rPr>
                <w:rFonts w:ascii="Liberation Sans" w:hAnsi="Liberation Sans"/>
                <w:sz w:val="17"/>
              </w:rPr>
              <w:t>20 July 2026</w:t>
            </w:r>
          </w:p>
        </w:tc>
        <w:tc>
          <w:tcPr>
            <w:tcW w:type="dxa" w:w="3061"/>
            <w:shd w:fill="FFFFFF"/>
            <w:tcMar>
              <w:top w:w="90" w:type="dxa"/>
              <w:start w:w="110" w:type="dxa"/>
              <w:bottom w:w="90" w:type="dxa"/>
              <w:end w:w="110" w:type="dxa"/>
            </w:tcMar>
          </w:tcPr>
          <w:p>
            <w:pPr>
              <w:spacing w:after="0"/>
            </w:pPr>
            <w:r>
              <w:rPr>
                <w:rFonts w:ascii="Liberation Sans" w:hAnsi="Liberation Sans"/>
                <w:sz w:val="17"/>
              </w:rPr>
              <w:t>TBC</w:t>
            </w:r>
          </w:p>
        </w:tc>
        <w:tc>
          <w:tcPr>
            <w:tcW w:type="dxa" w:w="3458"/>
            <w:shd w:fill="FFFFFF"/>
            <w:tcMar>
              <w:top w:w="90" w:type="dxa"/>
              <w:start w:w="110" w:type="dxa"/>
              <w:bottom w:w="90" w:type="dxa"/>
              <w:end w:w="110" w:type="dxa"/>
            </w:tcMar>
          </w:tcPr>
          <w:p>
            <w:pPr>
              <w:spacing w:after="0"/>
            </w:pPr>
            <w:r>
              <w:rPr>
                <w:rFonts w:ascii="Liberation Sans" w:hAnsi="Liberation Sans"/>
                <w:sz w:val="17"/>
              </w:rPr>
              <w:t>Initial draft outline</w:t>
            </w:r>
          </w:p>
        </w:tc>
      </w:tr>
      <w:tr>
        <w:tc>
          <w:tcPr>
            <w:tcW w:type="dxa" w:w="1191"/>
            <w:shd w:fill="F2F4F6"/>
            <w:tcMar>
              <w:top w:w="90" w:type="dxa"/>
              <w:start w:w="110" w:type="dxa"/>
              <w:bottom w:w="90" w:type="dxa"/>
              <w:end w:w="110" w:type="dxa"/>
            </w:tcMar>
          </w:tcPr>
          <w:p>
            <w:pPr>
              <w:spacing w:after="0"/>
            </w:pPr>
            <w:r>
              <w:rPr>
                <w:rFonts w:ascii="Liberation Sans" w:hAnsi="Liberation Sans"/>
                <w:sz w:val="17"/>
              </w:rPr>
              <w:t>1.0</w:t>
            </w:r>
          </w:p>
        </w:tc>
        <w:tc>
          <w:tcPr>
            <w:tcW w:type="dxa" w:w="1701"/>
            <w:shd w:fill="F2F4F6"/>
            <w:tcMar>
              <w:top w:w="90" w:type="dxa"/>
              <w:start w:w="110" w:type="dxa"/>
              <w:bottom w:w="90" w:type="dxa"/>
              <w:end w:w="110" w:type="dxa"/>
            </w:tcMar>
          </w:tcPr>
          <w:p>
            <w:pPr>
              <w:spacing w:after="0"/>
            </w:pPr>
            <w:r>
              <w:rPr>
                <w:rFonts w:ascii="Liberation Sans" w:hAnsi="Liberation Sans"/>
                <w:sz w:val="17"/>
              </w:rPr>
              <w:t>TBC</w:t>
            </w:r>
          </w:p>
        </w:tc>
        <w:tc>
          <w:tcPr>
            <w:tcW w:type="dxa" w:w="3061"/>
            <w:shd w:fill="F2F4F6"/>
            <w:tcMar>
              <w:top w:w="90" w:type="dxa"/>
              <w:start w:w="110" w:type="dxa"/>
              <w:bottom w:w="90" w:type="dxa"/>
              <w:end w:w="110" w:type="dxa"/>
            </w:tcMar>
          </w:tcPr>
          <w:p>
            <w:pPr>
              <w:spacing w:after="0"/>
            </w:pPr>
            <w:r>
              <w:rPr>
                <w:rFonts w:ascii="Liberation Sans" w:hAnsi="Liberation Sans"/>
                <w:sz w:val="17"/>
              </w:rPr>
              <w:t>TBC</w:t>
            </w:r>
          </w:p>
        </w:tc>
        <w:tc>
          <w:tcPr>
            <w:tcW w:type="dxa" w:w="3458"/>
            <w:shd w:fill="F2F4F6"/>
            <w:tcMar>
              <w:top w:w="90" w:type="dxa"/>
              <w:start w:w="110" w:type="dxa"/>
              <w:bottom w:w="90" w:type="dxa"/>
              <w:end w:w="110" w:type="dxa"/>
            </w:tcMar>
          </w:tcPr>
          <w:p>
            <w:pPr>
              <w:spacing w:after="0"/>
            </w:pPr>
            <w:r>
              <w:rPr>
                <w:rFonts w:ascii="Liberation Sans" w:hAnsi="Liberation Sans"/>
                <w:sz w:val="17"/>
              </w:rPr>
              <w:t>Approved deliverable</w:t>
            </w:r>
          </w:p>
        </w:tc>
      </w:tr>
    </w:tbl>
    <w:p>
      <w:pPr>
        <w:pStyle w:val="Heading1"/>
        <w:keepNext/>
        <w:keepLines/>
      </w:pPr>
      <w:r>
        <w:t>Purpose of this outline</w:t>
      </w:r>
    </w:p>
    <w:p>
      <w:pPr>
        <w:spacing w:after="120"/>
      </w:pPr>
      <w:r>
        <w:t>The following structure is intended as a writing blueprint for the final deliverable. Each numbered heading may be retained in the final report, while the bullets describe the minimum content, evidence and decisions expected.</w:t>
      </w:r>
    </w:p>
    <w:p>
      <w:pPr>
        <w:pStyle w:val="Heading1"/>
        <w:keepNext/>
        <w:keepLines/>
      </w:pPr>
      <w:r>
        <w:t>Proposed table of contents at a glance</w:t>
      </w:r>
    </w:p>
    <w:tbl>
      <w:tblPr>
        <w:tblW w:type="auto" w:w="0"/>
        <w:jc w:val="center"/>
        <w:tblLayout w:type="fixed"/>
        <w:tblLook w:firstColumn="1" w:firstRow="1" w:lastColumn="0" w:lastRow="0" w:noHBand="0" w:noVBand="1" w:val="04A0"/>
      </w:tblPr>
      <w:tblGrid>
        <w:gridCol w:w="1814"/>
        <w:gridCol w:w="7370"/>
      </w:tblGrid>
      <w:tr>
        <w:trPr>
          <w:tblHeader w:val="true"/>
        </w:trPr>
        <w:tc>
          <w:tcPr>
            <w:tcW w:type="dxa" w:w="4819"/>
            <w:shd w:fill="1F4E78"/>
          </w:tcPr>
          <w:p>
            <w:r>
              <w:rPr>
                <w:b/>
                <w:color w:val="FFFFFF"/>
                <w:sz w:val="18"/>
              </w:rPr>
              <w:t>Section</w:t>
            </w:r>
          </w:p>
        </w:tc>
        <w:tc>
          <w:tcPr>
            <w:tcW w:type="dxa" w:w="4819"/>
            <w:shd w:fill="1F4E78"/>
          </w:tcPr>
          <w:p>
            <w:r>
              <w:rPr>
                <w:b/>
                <w:color w:val="FFFFFF"/>
                <w:sz w:val="18"/>
              </w:rPr>
              <w:t>Purpose</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 Executive summary</w:t>
            </w:r>
          </w:p>
        </w:tc>
        <w:tc>
          <w:tcPr>
            <w:tcW w:type="dxa" w:w="7370"/>
            <w:shd w:fill="FFFFFF"/>
            <w:tcMar>
              <w:top w:w="90" w:type="dxa"/>
              <w:start w:w="110" w:type="dxa"/>
              <w:bottom w:w="90" w:type="dxa"/>
              <w:end w:w="110" w:type="dxa"/>
            </w:tcMar>
          </w:tcPr>
          <w:p>
            <w:pPr>
              <w:spacing w:after="0"/>
            </w:pPr>
            <w:r>
              <w:rPr>
                <w:rFonts w:ascii="Liberation Sans" w:hAnsi="Liberation Sans"/>
                <w:sz w:val="17"/>
              </w:rPr>
              <w:t>Summarise the demonstrator, integrated technologies, validation results and readiness.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2. Use-case definition and industrial relevance</w:t>
            </w:r>
          </w:p>
        </w:tc>
        <w:tc>
          <w:tcPr>
            <w:tcW w:type="dxa" w:w="7370"/>
            <w:shd w:fill="F2F4F6"/>
            <w:tcMar>
              <w:top w:w="90" w:type="dxa"/>
              <w:start w:w="110" w:type="dxa"/>
              <w:bottom w:w="90" w:type="dxa"/>
              <w:end w:w="110" w:type="dxa"/>
            </w:tcMar>
          </w:tcPr>
          <w:p>
            <w:pPr>
              <w:spacing w:after="0"/>
            </w:pPr>
            <w:r>
              <w:rPr>
                <w:rFonts w:ascii="Liberation Sans" w:hAnsi="Liberation Sans"/>
                <w:sz w:val="17"/>
              </w:rPr>
              <w:t>Describe the operational problem and representative warehouse workflow.</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3. Demonstrator objectives and requirements</w:t>
            </w:r>
          </w:p>
        </w:tc>
        <w:tc>
          <w:tcPr>
            <w:tcW w:type="dxa" w:w="7370"/>
            <w:shd w:fill="FFFFFF"/>
            <w:tcMar>
              <w:top w:w="90" w:type="dxa"/>
              <w:start w:w="110" w:type="dxa"/>
              <w:bottom w:w="90" w:type="dxa"/>
              <w:end w:w="110" w:type="dxa"/>
            </w:tcMar>
          </w:tcPr>
          <w:p>
            <w:pPr>
              <w:spacing w:after="0"/>
            </w:pPr>
            <w:r>
              <w:rPr>
                <w:rFonts w:ascii="Liberation Sans" w:hAnsi="Liberation Sans"/>
                <w:sz w:val="17"/>
              </w:rPr>
              <w:t>Turn the narrative use case into measurable system requirements.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4. Demonstrator system architecture</w:t>
            </w:r>
          </w:p>
        </w:tc>
        <w:tc>
          <w:tcPr>
            <w:tcW w:type="dxa" w:w="7370"/>
            <w:shd w:fill="F2F4F6"/>
            <w:tcMar>
              <w:top w:w="90" w:type="dxa"/>
              <w:start w:w="110" w:type="dxa"/>
              <w:bottom w:w="90" w:type="dxa"/>
              <w:end w:w="110" w:type="dxa"/>
            </w:tcMar>
          </w:tcPr>
          <w:p>
            <w:pPr>
              <w:spacing w:after="0"/>
            </w:pPr>
            <w:r>
              <w:rPr>
                <w:rFonts w:ascii="Liberation Sans" w:hAnsi="Liberation Sans"/>
                <w:sz w:val="17"/>
              </w:rPr>
              <w:t>Document the integrated hardware/software configuration.</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5. Knowledge-base creation and object teaching</w:t>
            </w:r>
          </w:p>
        </w:tc>
        <w:tc>
          <w:tcPr>
            <w:tcW w:type="dxa" w:w="7370"/>
            <w:shd w:fill="FFFFFF"/>
            <w:tcMar>
              <w:top w:w="90" w:type="dxa"/>
              <w:start w:w="110" w:type="dxa"/>
              <w:bottom w:w="90" w:type="dxa"/>
              <w:end w:w="110" w:type="dxa"/>
            </w:tcMar>
          </w:tcPr>
          <w:p>
            <w:pPr>
              <w:spacing w:after="0"/>
            </w:pPr>
            <w:r>
              <w:rPr>
                <w:rFonts w:ascii="Liberation Sans" w:hAnsi="Liberation Sans"/>
                <w:sz w:val="17"/>
              </w:rPr>
              <w:t>Explain how the operator defines the domain and possible objects.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6. Natural-language task specification and task planning</w:t>
            </w:r>
          </w:p>
        </w:tc>
        <w:tc>
          <w:tcPr>
            <w:tcW w:type="dxa" w:w="7370"/>
            <w:shd w:fill="F2F4F6"/>
            <w:tcMar>
              <w:top w:w="90" w:type="dxa"/>
              <w:start w:w="110" w:type="dxa"/>
              <w:bottom w:w="90" w:type="dxa"/>
              <w:end w:w="110" w:type="dxa"/>
            </w:tcMar>
          </w:tcPr>
          <w:p>
            <w:pPr>
              <w:spacing w:after="0"/>
            </w:pPr>
            <w:r>
              <w:rPr>
                <w:rFonts w:ascii="Liberation Sans" w:hAnsi="Liberation Sans"/>
                <w:sz w:val="17"/>
              </w:rPr>
              <w:t>Describe the user interaction from command to an executable task plan.</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7. Perception, localisation and pose estimation</w:t>
            </w:r>
          </w:p>
        </w:tc>
        <w:tc>
          <w:tcPr>
            <w:tcW w:type="dxa" w:w="7370"/>
            <w:shd w:fill="FFFFFF"/>
            <w:tcMar>
              <w:top w:w="90" w:type="dxa"/>
              <w:start w:w="110" w:type="dxa"/>
              <w:bottom w:w="90" w:type="dxa"/>
              <w:end w:w="110" w:type="dxa"/>
            </w:tcMar>
          </w:tcPr>
          <w:p>
            <w:pPr>
              <w:spacing w:after="0"/>
            </w:pPr>
            <w:r>
              <w:rPr>
                <w:rFonts w:ascii="Liberation Sans" w:hAnsi="Liberation Sans"/>
                <w:sz w:val="17"/>
              </w:rPr>
              <w:t>Show how the system identifies the robot, humans, objects and target poses.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8. Motion planning, execution and low-level control</w:t>
            </w:r>
          </w:p>
        </w:tc>
        <w:tc>
          <w:tcPr>
            <w:tcW w:type="dxa" w:w="7370"/>
            <w:shd w:fill="F2F4F6"/>
            <w:tcMar>
              <w:top w:w="90" w:type="dxa"/>
              <w:start w:w="110" w:type="dxa"/>
              <w:bottom w:w="90" w:type="dxa"/>
              <w:end w:w="110" w:type="dxa"/>
            </w:tcMar>
          </w:tcPr>
          <w:p>
            <w:pPr>
              <w:spacing w:after="0"/>
            </w:pPr>
            <w:r>
              <w:rPr>
                <w:rFonts w:ascii="Liberation Sans" w:hAnsi="Liberation Sans"/>
                <w:sz w:val="17"/>
              </w:rPr>
              <w:t>Document trajectory generation and safe execution in the dynamic scene.</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9. Safety engineering and operational procedures</w:t>
            </w:r>
          </w:p>
        </w:tc>
        <w:tc>
          <w:tcPr>
            <w:tcW w:type="dxa" w:w="7370"/>
            <w:shd w:fill="FFFFFF"/>
            <w:tcMar>
              <w:top w:w="90" w:type="dxa"/>
              <w:start w:w="110" w:type="dxa"/>
              <w:bottom w:w="90" w:type="dxa"/>
              <w:end w:w="110" w:type="dxa"/>
            </w:tcMar>
          </w:tcPr>
          <w:p>
            <w:pPr>
              <w:spacing w:after="0"/>
            </w:pPr>
            <w:r>
              <w:rPr>
                <w:rFonts w:ascii="Liberation Sans" w:hAnsi="Liberation Sans"/>
                <w:sz w:val="17"/>
              </w:rPr>
              <w:t>Demonstrate that the test setup and human interaction are systematically controlled.</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10. Integration and commissioning</w:t>
            </w:r>
          </w:p>
        </w:tc>
        <w:tc>
          <w:tcPr>
            <w:tcW w:type="dxa" w:w="7370"/>
            <w:shd w:fill="F2F4F6"/>
            <w:tcMar>
              <w:top w:w="90" w:type="dxa"/>
              <w:start w:w="110" w:type="dxa"/>
              <w:bottom w:w="90" w:type="dxa"/>
              <w:end w:w="110" w:type="dxa"/>
            </w:tcMar>
          </w:tcPr>
          <w:p>
            <w:pPr>
              <w:spacing w:after="0"/>
            </w:pPr>
            <w:r>
              <w:rPr>
                <w:rFonts w:ascii="Liberation Sans" w:hAnsi="Liberation Sans"/>
                <w:sz w:val="17"/>
              </w:rPr>
              <w:t>Record how components were brought together and verified before formal testing.</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11. Validation methodology</w:t>
            </w:r>
          </w:p>
        </w:tc>
        <w:tc>
          <w:tcPr>
            <w:tcW w:type="dxa" w:w="7370"/>
            <w:shd w:fill="FFFFFF"/>
            <w:tcMar>
              <w:top w:w="90" w:type="dxa"/>
              <w:start w:w="110" w:type="dxa"/>
              <w:bottom w:w="90" w:type="dxa"/>
              <w:end w:w="110" w:type="dxa"/>
            </w:tcMar>
          </w:tcPr>
          <w:p>
            <w:pPr>
              <w:spacing w:after="0"/>
            </w:pPr>
            <w:r>
              <w:rPr>
                <w:rFonts w:ascii="Liberation Sans" w:hAnsi="Liberation Sans"/>
                <w:sz w:val="17"/>
              </w:rPr>
              <w:t>Define a reproducible test campaign with representative variability.</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12. KPIs and acceptance criteria</w:t>
            </w:r>
          </w:p>
        </w:tc>
        <w:tc>
          <w:tcPr>
            <w:tcW w:type="dxa" w:w="7370"/>
            <w:shd w:fill="F2F4F6"/>
            <w:tcMar>
              <w:top w:w="90" w:type="dxa"/>
              <w:start w:w="110" w:type="dxa"/>
              <w:bottom w:w="90" w:type="dxa"/>
              <w:end w:w="110" w:type="dxa"/>
            </w:tcMar>
          </w:tcPr>
          <w:p>
            <w:pPr>
              <w:spacing w:after="0"/>
            </w:pPr>
            <w:r>
              <w:rPr>
                <w:rFonts w:ascii="Liberation Sans" w:hAnsi="Liberation Sans"/>
                <w:sz w:val="17"/>
              </w:rPr>
              <w:t>Make the demonstrator assessment measurable and traceable.</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13. Results and analysis</w:t>
            </w:r>
          </w:p>
        </w:tc>
        <w:tc>
          <w:tcPr>
            <w:tcW w:type="dxa" w:w="7370"/>
            <w:shd w:fill="FFFFFF"/>
            <w:tcMar>
              <w:top w:w="90" w:type="dxa"/>
              <w:start w:w="110" w:type="dxa"/>
              <w:bottom w:w="90" w:type="dxa"/>
              <w:end w:w="110" w:type="dxa"/>
            </w:tcMar>
          </w:tcPr>
          <w:p>
            <w:pPr>
              <w:spacing w:after="0"/>
            </w:pPr>
            <w:r>
              <w:rPr>
                <w:rFonts w:ascii="Liberation Sans" w:hAnsi="Liberation Sans"/>
                <w:sz w:val="17"/>
              </w:rPr>
              <w:t>Present evidence, deviations and root causes.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14. Conclusions, limitations and exploitation outlook</w:t>
            </w:r>
          </w:p>
        </w:tc>
        <w:tc>
          <w:tcPr>
            <w:tcW w:type="dxa" w:w="7370"/>
            <w:shd w:fill="F2F4F6"/>
            <w:tcMar>
              <w:top w:w="90" w:type="dxa"/>
              <w:start w:w="110" w:type="dxa"/>
              <w:bottom w:w="90" w:type="dxa"/>
              <w:end w:w="110" w:type="dxa"/>
            </w:tcMar>
          </w:tcPr>
          <w:p>
            <w:pPr>
              <w:spacing w:after="0"/>
            </w:pPr>
            <w:r>
              <w:rPr>
                <w:rFonts w:ascii="Liberation Sans" w:hAnsi="Liberation Sans"/>
                <w:sz w:val="17"/>
              </w:rPr>
              <w:t>Conclude on demonstrator maturity and future industrialisation.</w:t>
            </w:r>
          </w:p>
        </w:tc>
      </w:tr>
    </w:tbl>
    <w:p>
      <w:r>
        <w:br w:type="page"/>
      </w:r>
    </w:p>
    <w:p>
      <w:pPr>
        <w:pStyle w:val="Heading1"/>
        <w:keepNext/>
        <w:keepLines/>
      </w:pPr>
      <w:r>
        <w:t>Detailed writing outline</w:t>
      </w:r>
    </w:p>
    <w:p>
      <w:pPr>
        <w:pStyle w:val="Heading1"/>
        <w:keepNext/>
        <w:keepLines/>
      </w:pPr>
      <w:r>
        <w:t>1. Executive summary</w:t>
      </w:r>
    </w:p>
    <w:p>
      <w:pPr>
        <w:spacing w:after="80"/>
      </w:pPr>
      <w:r>
        <w:rPr>
          <w:b/>
          <w:color w:val="1F4E78"/>
        </w:rPr>
        <w:t xml:space="preserve">Section purpose: </w:t>
      </w:r>
      <w:r>
        <w:rPr>
          <w:i/>
          <w:sz w:val="19"/>
        </w:rPr>
        <w:t>Summarise the demonstrator, integrated technologies, validation results and readiness.</w:t>
      </w:r>
    </w:p>
    <w:p>
      <w:pPr>
        <w:pStyle w:val="ListBullet"/>
      </w:pPr>
      <w:r>
        <w:t>Industrial problem and value of automating heterogeneous warehouse picking.</w:t>
      </w:r>
    </w:p>
    <w:p>
      <w:pPr>
        <w:pStyle w:val="ListBullet"/>
      </w:pPr>
      <w:r>
        <w:t>System configuration and Plan4ARI modules demonstrated.</w:t>
      </w:r>
    </w:p>
    <w:p>
      <w:pPr>
        <w:pStyle w:val="ListBullet"/>
      </w:pPr>
      <w:r>
        <w:t>Headline KPI results, safety outcomes and user feedback.</w:t>
      </w:r>
    </w:p>
    <w:p>
      <w:pPr>
        <w:pStyle w:val="ListBullet"/>
      </w:pPr>
      <w:r>
        <w:t>Limitations and recommended next steps.</w:t>
      </w:r>
    </w:p>
    <w:p>
      <w:pPr>
        <w:pStyle w:val="Heading1"/>
        <w:keepNext/>
        <w:keepLines/>
      </w:pPr>
      <w:r>
        <w:t>2. Use-case definition and industrial relevance</w:t>
      </w:r>
    </w:p>
    <w:p>
      <w:pPr>
        <w:spacing w:after="80"/>
      </w:pPr>
      <w:r>
        <w:rPr>
          <w:b/>
          <w:color w:val="1F4E78"/>
        </w:rPr>
        <w:t xml:space="preserve">Section purpose: </w:t>
      </w:r>
      <w:r>
        <w:rPr>
          <w:i/>
          <w:sz w:val="19"/>
        </w:rPr>
        <w:t>Describe the operational problem and representative warehouse workflow.</w:t>
      </w:r>
    </w:p>
    <w:p>
      <w:pPr>
        <w:pStyle w:val="ListBullet"/>
      </w:pPr>
      <w:r>
        <w:t>High-mix object handling driven by e-commerce and dynamic, unfenced environments.</w:t>
      </w:r>
    </w:p>
    <w:p>
      <w:pPr>
        <w:pStyle w:val="ListBullet"/>
      </w:pPr>
      <w:r>
        <w:t>Object diversity: soft goods, clothes, non-standard packaging and clutter.</w:t>
      </w:r>
    </w:p>
    <w:p>
      <w:pPr>
        <w:pStyle w:val="ListBullet"/>
      </w:pPr>
      <w:r>
        <w:t>Nominal mission: pick a specified object from location A and place it at location B.</w:t>
      </w:r>
    </w:p>
    <w:p>
      <w:pPr>
        <w:pStyle w:val="ListBullet"/>
      </w:pPr>
      <w:r>
        <w:t>Human roles, traffic and permitted interventions.</w:t>
      </w:r>
    </w:p>
    <w:p>
      <w:pPr>
        <w:pStyle w:val="ListBullet"/>
      </w:pPr>
      <w:r>
        <w:t>Expected productivity, ergonomics and adoption benefits.</w:t>
      </w:r>
    </w:p>
    <w:p>
      <w:pPr>
        <w:pStyle w:val="Heading1"/>
        <w:keepNext/>
        <w:keepLines/>
      </w:pPr>
      <w:r>
        <w:t>3. Demonstrator objectives and requirements</w:t>
      </w:r>
    </w:p>
    <w:p>
      <w:pPr>
        <w:spacing w:after="80"/>
      </w:pPr>
      <w:r>
        <w:rPr>
          <w:b/>
          <w:color w:val="1F4E78"/>
        </w:rPr>
        <w:t xml:space="preserve">Section purpose: </w:t>
      </w:r>
      <w:r>
        <w:rPr>
          <w:i/>
          <w:sz w:val="19"/>
        </w:rPr>
        <w:t>Turn the narrative use case into measurable system requirements.</w:t>
      </w:r>
    </w:p>
    <w:p>
      <w:pPr>
        <w:pStyle w:val="ListBullet"/>
      </w:pPr>
      <w:r>
        <w:t>Functional requirements for object teaching, natural-language commands, planning, perception, manipulation and placement.</w:t>
      </w:r>
    </w:p>
    <w:p>
      <w:pPr>
        <w:pStyle w:val="ListBullet"/>
      </w:pPr>
      <w:r>
        <w:t>Performance requirements for localisation, pose estimation, planning latency, cycle time and pick success.</w:t>
      </w:r>
    </w:p>
    <w:p>
      <w:pPr>
        <w:pStyle w:val="ListBullet"/>
      </w:pPr>
      <w:r>
        <w:t>Safety requirements for human tracking, collision avoidance, stop/recovery and workspace access.</w:t>
      </w:r>
    </w:p>
    <w:p>
      <w:pPr>
        <w:pStyle w:val="ListBullet"/>
      </w:pPr>
      <w:r>
        <w:t>Usability and trust requirements for non-robotic expert operators.</w:t>
      </w:r>
    </w:p>
    <w:p>
      <w:pPr>
        <w:pStyle w:val="ListBullet"/>
      </w:pPr>
      <w:r>
        <w:t>Environmental, network, compute and maintainability requirements.</w:t>
      </w:r>
    </w:p>
    <w:p>
      <w:pPr>
        <w:spacing w:before="40"/>
      </w:pPr>
      <w:r>
        <w:rPr>
          <w:b/>
          <w:color w:val="243746"/>
        </w:rPr>
        <w:t>Recommended evidence / artefacts</w:t>
      </w:r>
    </w:p>
    <w:p>
      <w:pPr>
        <w:pStyle w:val="ListBullet2"/>
      </w:pPr>
      <w:r>
        <w:t>Requirements traceability matrix mapping each requirement to a Plan4ARI module and test case.</w:t>
      </w:r>
    </w:p>
    <w:p>
      <w:pPr>
        <w:pStyle w:val="Heading1"/>
        <w:keepNext/>
        <w:keepLines/>
      </w:pPr>
      <w:r>
        <w:t>4. Demonstrator system architecture</w:t>
      </w:r>
    </w:p>
    <w:p>
      <w:pPr>
        <w:spacing w:after="80"/>
      </w:pPr>
      <w:r>
        <w:rPr>
          <w:b/>
          <w:color w:val="1F4E78"/>
        </w:rPr>
        <w:t xml:space="preserve">Section purpose: </w:t>
      </w:r>
      <w:r>
        <w:rPr>
          <w:i/>
          <w:sz w:val="19"/>
        </w:rPr>
        <w:t>Document the integrated hardware/software configuration.</w:t>
      </w:r>
    </w:p>
    <w:p>
      <w:pPr>
        <w:pStyle w:val="ListBullet"/>
      </w:pPr>
      <w:r>
        <w:t>Mobile manipulator, end effector, warehouse containers and object set.</w:t>
      </w:r>
    </w:p>
    <w:p>
      <w:pPr>
        <w:pStyle w:val="ListBullet"/>
      </w:pPr>
      <w:r>
        <w:t>Open IPC, Core IPC, MI.RA/Dexter, ROS2 nodes and communication paths.</w:t>
      </w:r>
    </w:p>
    <w:p>
      <w:pPr>
        <w:pStyle w:val="ListBullet"/>
      </w:pPr>
      <w:r>
        <w:t>Radar/3D camera network and coordinate frames.</w:t>
      </w:r>
    </w:p>
    <w:p>
      <w:pPr>
        <w:pStyle w:val="ListBullet"/>
      </w:pPr>
      <w:r>
        <w:t>Knowledge base, task planner, motion planner, controller and trust-evaluation interfaces.</w:t>
      </w:r>
    </w:p>
    <w:p>
      <w:pPr>
        <w:pStyle w:val="ListBullet"/>
      </w:pPr>
      <w:r>
        <w:t>Cybersecurity, logging, data storage and operator interface.</w:t>
      </w:r>
    </w:p>
    <w:p>
      <w:pPr>
        <w:spacing w:before="40"/>
      </w:pPr>
      <w:r>
        <w:rPr>
          <w:b/>
          <w:color w:val="243746"/>
        </w:rPr>
        <w:t>Recommended evidence / artefacts</w:t>
      </w:r>
    </w:p>
    <w:p>
      <w:pPr>
        <w:pStyle w:val="ListBullet2"/>
      </w:pPr>
      <w:r>
        <w:t>Architecture diagram and bill of materials/software versions.</w:t>
      </w:r>
    </w:p>
    <w:p>
      <w:pPr>
        <w:pStyle w:val="Heading1"/>
        <w:keepNext/>
        <w:keepLines/>
      </w:pPr>
      <w:r>
        <w:t>5. Knowledge-base creation and object teaching</w:t>
      </w:r>
    </w:p>
    <w:p>
      <w:pPr>
        <w:spacing w:after="80"/>
      </w:pPr>
      <w:r>
        <w:rPr>
          <w:b/>
          <w:color w:val="1F4E78"/>
        </w:rPr>
        <w:t xml:space="preserve">Section purpose: </w:t>
      </w:r>
      <w:r>
        <w:rPr>
          <w:i/>
          <w:sz w:val="19"/>
        </w:rPr>
        <w:t>Explain how the operator defines the domain and possible objects.</w:t>
      </w:r>
    </w:p>
    <w:p>
      <w:pPr>
        <w:pStyle w:val="ListBullet"/>
      </w:pPr>
      <w:r>
        <w:t>Object classes, properties, grasp/handling constraints and destination rules.</w:t>
      </w:r>
    </w:p>
    <w:p>
      <w:pPr>
        <w:pStyle w:val="ListBullet"/>
      </w:pPr>
      <w:r>
        <w:t>Natural-language or low-code process for teaching objects and warehouse actions.</w:t>
      </w:r>
    </w:p>
    <w:p>
      <w:pPr>
        <w:pStyle w:val="ListBullet"/>
      </w:pPr>
      <w:r>
        <w:t>Human validation and error-correction workflow.</w:t>
      </w:r>
    </w:p>
    <w:p>
      <w:pPr>
        <w:pStyle w:val="ListBullet"/>
      </w:pPr>
      <w:r>
        <w:t>Knowledge-base completeness and consistency checks.</w:t>
      </w:r>
    </w:p>
    <w:p>
      <w:pPr>
        <w:pStyle w:val="ListBullet"/>
      </w:pPr>
      <w:r>
        <w:t>Change management when new object types are introduced.</w:t>
      </w:r>
    </w:p>
    <w:p>
      <w:pPr>
        <w:pStyle w:val="Heading1"/>
        <w:keepNext/>
        <w:keepLines/>
      </w:pPr>
      <w:r>
        <w:t>6. Natural-language task specification and task planning</w:t>
      </w:r>
    </w:p>
    <w:p>
      <w:pPr>
        <w:spacing w:after="80"/>
      </w:pPr>
      <w:r>
        <w:rPr>
          <w:b/>
          <w:color w:val="1F4E78"/>
        </w:rPr>
        <w:t xml:space="preserve">Section purpose: </w:t>
      </w:r>
      <w:r>
        <w:rPr>
          <w:i/>
          <w:sz w:val="19"/>
        </w:rPr>
        <w:t>Describe the user interaction from command to an executable task plan.</w:t>
      </w:r>
    </w:p>
    <w:p>
      <w:pPr>
        <w:pStyle w:val="ListBullet"/>
      </w:pPr>
      <w:r>
        <w:t>Example command flow such as selecting a coloured garment in one box and placing it in another.</w:t>
      </w:r>
    </w:p>
    <w:p>
      <w:pPr>
        <w:pStyle w:val="ListBullet"/>
      </w:pPr>
      <w:r>
        <w:t>Intent parsing, object reference resolution and ambiguity handling.</w:t>
      </w:r>
    </w:p>
    <w:p>
      <w:pPr>
        <w:pStyle w:val="ListBullet"/>
      </w:pPr>
      <w:r>
        <w:t>PDDL2/behaviour-tree or equivalent representations and validation.</w:t>
      </w:r>
    </w:p>
    <w:p>
      <w:pPr>
        <w:pStyle w:val="ListBullet"/>
      </w:pPr>
      <w:r>
        <w:t>Task allocation across one or more manipulators.</w:t>
      </w:r>
    </w:p>
    <w:p>
      <w:pPr>
        <w:pStyle w:val="ListBullet"/>
      </w:pPr>
      <w:r>
        <w:t>Online monitoring and task-level replanning.</w:t>
      </w:r>
    </w:p>
    <w:p>
      <w:pPr>
        <w:pStyle w:val="Heading1"/>
        <w:keepNext/>
        <w:keepLines/>
      </w:pPr>
      <w:r>
        <w:t>7. Perception, localisation and pose estimation</w:t>
      </w:r>
    </w:p>
    <w:p>
      <w:pPr>
        <w:spacing w:after="80"/>
      </w:pPr>
      <w:r>
        <w:rPr>
          <w:b/>
          <w:color w:val="1F4E78"/>
        </w:rPr>
        <w:t xml:space="preserve">Section purpose: </w:t>
      </w:r>
      <w:r>
        <w:rPr>
          <w:i/>
          <w:sz w:val="19"/>
        </w:rPr>
        <w:t>Show how the system identifies the robot, humans, objects and target poses.</w:t>
      </w:r>
    </w:p>
    <w:p>
      <w:pPr>
        <w:pStyle w:val="ListBullet"/>
      </w:pPr>
      <w:r>
        <w:t>Robot localisation within the warehouse scene.</w:t>
      </w:r>
    </w:p>
    <w:p>
      <w:pPr>
        <w:pStyle w:val="ListBullet"/>
      </w:pPr>
      <w:r>
        <w:t>Radar-camera fusion and scene update rate.</w:t>
      </w:r>
    </w:p>
    <w:p>
      <w:pPr>
        <w:pStyle w:val="ListBullet"/>
      </w:pPr>
      <w:r>
        <w:t>Semantic/instance segmentation for heterogeneous objects.</w:t>
      </w:r>
    </w:p>
    <w:p>
      <w:pPr>
        <w:pStyle w:val="ListBullet"/>
      </w:pPr>
      <w:r>
        <w:t>6D pose or grasp-target estimation and confidence handling.</w:t>
      </w:r>
    </w:p>
    <w:p>
      <w:pPr>
        <w:pStyle w:val="ListBullet"/>
      </w:pPr>
      <w:r>
        <w:t>Failure modes, operator assistance and recovery.</w:t>
      </w:r>
    </w:p>
    <w:p>
      <w:pPr>
        <w:pStyle w:val="Heading1"/>
        <w:keepNext/>
        <w:keepLines/>
      </w:pPr>
      <w:r>
        <w:t>8. Motion planning, execution and low-level control</w:t>
      </w:r>
    </w:p>
    <w:p>
      <w:pPr>
        <w:spacing w:after="80"/>
      </w:pPr>
      <w:r>
        <w:rPr>
          <w:b/>
          <w:color w:val="1F4E78"/>
        </w:rPr>
        <w:t xml:space="preserve">Section purpose: </w:t>
      </w:r>
      <w:r>
        <w:rPr>
          <w:i/>
          <w:sz w:val="19"/>
        </w:rPr>
        <w:t>Document trajectory generation and safe execution in the dynamic scene.</w:t>
      </w:r>
    </w:p>
    <w:p>
      <w:pPr>
        <w:pStyle w:val="ListBullet"/>
      </w:pPr>
      <w:r>
        <w:t>Offline path planning and optimisation.</w:t>
      </w:r>
    </w:p>
    <w:p>
      <w:pPr>
        <w:pStyle w:val="ListBullet"/>
      </w:pPr>
      <w:r>
        <w:t>Online replanning when humans or movable obstacles affect the path.</w:t>
      </w:r>
    </w:p>
    <w:p>
      <w:pPr>
        <w:pStyle w:val="ListBullet"/>
      </w:pPr>
      <w:r>
        <w:t>Human-aware safety cost and velocity adaptation.</w:t>
      </w:r>
    </w:p>
    <w:p>
      <w:pPr>
        <w:pStyle w:val="ListBullet"/>
      </w:pPr>
      <w:r>
        <w:t>MPC micro-interpolation or other Core IPC functions used.</w:t>
      </w:r>
    </w:p>
    <w:p>
      <w:pPr>
        <w:pStyle w:val="ListBullet"/>
      </w:pPr>
      <w:r>
        <w:t>Low-level controller configuration and grasp/place execution.</w:t>
      </w:r>
    </w:p>
    <w:p>
      <w:pPr>
        <w:pStyle w:val="ListBullet"/>
      </w:pPr>
      <w:r>
        <w:t>Fallback behaviour when replanning or perception is infeasible.</w:t>
      </w:r>
    </w:p>
    <w:p>
      <w:pPr>
        <w:pStyle w:val="Heading1"/>
        <w:keepNext/>
        <w:keepLines/>
      </w:pPr>
      <w:r>
        <w:t>9. Safety engineering and operational procedures</w:t>
      </w:r>
    </w:p>
    <w:p>
      <w:pPr>
        <w:spacing w:after="80"/>
      </w:pPr>
      <w:r>
        <w:rPr>
          <w:b/>
          <w:color w:val="1F4E78"/>
        </w:rPr>
        <w:t xml:space="preserve">Section purpose: </w:t>
      </w:r>
      <w:r>
        <w:rPr>
          <w:i/>
          <w:sz w:val="19"/>
        </w:rPr>
        <w:t>Demonstrate that the test setup and human interaction are systematically controlled.</w:t>
      </w:r>
    </w:p>
    <w:p>
      <w:pPr>
        <w:pStyle w:val="ListBullet"/>
      </w:pPr>
      <w:r>
        <w:t>Hazard identification and risk-reduction measures.</w:t>
      </w:r>
    </w:p>
    <w:p>
      <w:pPr>
        <w:pStyle w:val="ListBullet"/>
      </w:pPr>
      <w:r>
        <w:t>Safety-system architecture and distinction between research perception and certified safeguards.</w:t>
      </w:r>
    </w:p>
    <w:p>
      <w:pPr>
        <w:pStyle w:val="ListBullet"/>
      </w:pPr>
      <w:r>
        <w:t>Speed/separation or stop strategies and reset/restart rules.</w:t>
      </w:r>
    </w:p>
    <w:p>
      <w:pPr>
        <w:pStyle w:val="ListBullet"/>
      </w:pPr>
      <w:r>
        <w:t>Operator training, access rules, emergency procedures and incident reporting.</w:t>
      </w:r>
    </w:p>
    <w:p>
      <w:pPr>
        <w:pStyle w:val="ListBullet"/>
      </w:pPr>
      <w:r>
        <w:t>Validation evidence and residual-risk communication.</w:t>
      </w:r>
    </w:p>
    <w:p>
      <w:pPr>
        <w:pStyle w:val="Heading1"/>
        <w:keepNext/>
        <w:keepLines/>
      </w:pPr>
      <w:r>
        <w:t>10. Integration and commissioning</w:t>
      </w:r>
    </w:p>
    <w:p>
      <w:pPr>
        <w:spacing w:after="80"/>
      </w:pPr>
      <w:r>
        <w:rPr>
          <w:b/>
          <w:color w:val="1F4E78"/>
        </w:rPr>
        <w:t xml:space="preserve">Section purpose: </w:t>
      </w:r>
      <w:r>
        <w:rPr>
          <w:i/>
          <w:sz w:val="19"/>
        </w:rPr>
        <w:t>Record how components were brought together and verified before formal testing.</w:t>
      </w:r>
    </w:p>
    <w:p>
      <w:pPr>
        <w:pStyle w:val="ListBullet"/>
      </w:pPr>
      <w:r>
        <w:t>Integration sequence and interface tests.</w:t>
      </w:r>
    </w:p>
    <w:p>
      <w:pPr>
        <w:pStyle w:val="ListBullet"/>
      </w:pPr>
      <w:r>
        <w:t>Calibration, time synchronisation and network configuration.</w:t>
      </w:r>
    </w:p>
    <w:p>
      <w:pPr>
        <w:pStyle w:val="ListBullet"/>
      </w:pPr>
      <w:r>
        <w:t>Software versions, deployment packages and CI/release process.</w:t>
      </w:r>
    </w:p>
    <w:p>
      <w:pPr>
        <w:pStyle w:val="ListBullet"/>
      </w:pPr>
      <w:r>
        <w:t>Dry runs, fault injection and readiness review.</w:t>
      </w:r>
    </w:p>
    <w:p>
      <w:pPr>
        <w:pStyle w:val="ListBullet"/>
      </w:pPr>
      <w:r>
        <w:t>Known issues and workarounds at test start.</w:t>
      </w:r>
    </w:p>
    <w:p>
      <w:pPr>
        <w:pStyle w:val="Heading1"/>
        <w:keepNext/>
        <w:keepLines/>
      </w:pPr>
      <w:r>
        <w:t>11. Validation methodology</w:t>
      </w:r>
    </w:p>
    <w:p>
      <w:pPr>
        <w:spacing w:after="80"/>
      </w:pPr>
      <w:r>
        <w:rPr>
          <w:b/>
          <w:color w:val="1F4E78"/>
        </w:rPr>
        <w:t xml:space="preserve">Section purpose: </w:t>
      </w:r>
      <w:r>
        <w:rPr>
          <w:i/>
          <w:sz w:val="19"/>
        </w:rPr>
        <w:t>Define a reproducible test campaign with representative variability.</w:t>
      </w:r>
    </w:p>
    <w:p>
      <w:pPr>
        <w:pStyle w:val="ListBullet"/>
      </w:pPr>
      <w:r>
        <w:t>Object categories, clutter levels, box configurations and pick/place distances.</w:t>
      </w:r>
    </w:p>
    <w:p>
      <w:pPr>
        <w:pStyle w:val="ListBullet"/>
      </w:pPr>
      <w:r>
        <w:t>Natural-language command variants and ambiguity cases.</w:t>
      </w:r>
    </w:p>
    <w:p>
      <w:pPr>
        <w:pStyle w:val="ListBullet"/>
      </w:pPr>
      <w:r>
        <w:t>Human presence, path-crossing and scene-change scenarios.</w:t>
      </w:r>
    </w:p>
    <w:p>
      <w:pPr>
        <w:pStyle w:val="ListBullet"/>
      </w:pPr>
      <w:r>
        <w:t>Number of repetitions, randomisation and success/failure definitions.</w:t>
      </w:r>
    </w:p>
    <w:p>
      <w:pPr>
        <w:pStyle w:val="ListBullet"/>
      </w:pPr>
      <w:r>
        <w:t>Baseline or comparison configuration.</w:t>
      </w:r>
    </w:p>
    <w:p>
      <w:pPr>
        <w:pStyle w:val="ListBullet"/>
      </w:pPr>
      <w:r>
        <w:t>Data capture, video evidence and anomaly classification.</w:t>
      </w:r>
    </w:p>
    <w:p>
      <w:pPr>
        <w:pStyle w:val="Heading1"/>
        <w:keepNext/>
        <w:keepLines/>
      </w:pPr>
      <w:r>
        <w:t>12. KPIs and acceptance criteria</w:t>
      </w:r>
    </w:p>
    <w:p>
      <w:pPr>
        <w:spacing w:after="80"/>
      </w:pPr>
      <w:r>
        <w:rPr>
          <w:b/>
          <w:color w:val="1F4E78"/>
        </w:rPr>
        <w:t xml:space="preserve">Section purpose: </w:t>
      </w:r>
      <w:r>
        <w:rPr>
          <w:i/>
          <w:sz w:val="19"/>
        </w:rPr>
        <w:t>Make the demonstrator assessment measurable and traceable.</w:t>
      </w:r>
    </w:p>
    <w:p>
      <w:pPr>
        <w:pStyle w:val="ListBullet"/>
      </w:pPr>
      <w:r>
        <w:t>Command interpretation and plan-generation success.</w:t>
      </w:r>
    </w:p>
    <w:p>
      <w:pPr>
        <w:pStyle w:val="ListBullet"/>
      </w:pPr>
      <w:r>
        <w:t>Knowledge-base creation effort and programming-time reduction.</w:t>
      </w:r>
    </w:p>
    <w:p>
      <w:pPr>
        <w:pStyle w:val="ListBullet"/>
      </w:pPr>
      <w:r>
        <w:t>Robot localisation and object pose accuracy.</w:t>
      </w:r>
    </w:p>
    <w:p>
      <w:pPr>
        <w:pStyle w:val="ListBullet"/>
      </w:pPr>
      <w:r>
        <w:t>Pick success, placement accuracy, cycle time and throughput.</w:t>
      </w:r>
    </w:p>
    <w:p>
      <w:pPr>
        <w:pStyle w:val="ListBullet"/>
      </w:pPr>
      <w:r>
        <w:t>Planning/replanning latency, safety stops and collision-free execution.</w:t>
      </w:r>
    </w:p>
    <w:p>
      <w:pPr>
        <w:pStyle w:val="ListBullet"/>
      </w:pPr>
      <w:r>
        <w:t>System availability, recovery time and compute load.</w:t>
      </w:r>
    </w:p>
    <w:p>
      <w:pPr>
        <w:pStyle w:val="ListBullet"/>
      </w:pPr>
      <w:r>
        <w:t>Operator usability, workload, trust and acceptance from Activity 6.</w:t>
      </w:r>
    </w:p>
    <w:p>
      <w:pPr>
        <w:pStyle w:val="ListBullet"/>
      </w:pPr>
      <w:r>
        <w:t>Pass/fail thresholds agreed before testing.</w:t>
      </w:r>
    </w:p>
    <w:p>
      <w:pPr>
        <w:pStyle w:val="Heading1"/>
        <w:keepNext/>
        <w:keepLines/>
      </w:pPr>
      <w:r>
        <w:t>13. Results and analysis</w:t>
      </w:r>
    </w:p>
    <w:p>
      <w:pPr>
        <w:spacing w:after="80"/>
      </w:pPr>
      <w:r>
        <w:rPr>
          <w:b/>
          <w:color w:val="1F4E78"/>
        </w:rPr>
        <w:t xml:space="preserve">Section purpose: </w:t>
      </w:r>
      <w:r>
        <w:rPr>
          <w:i/>
          <w:sz w:val="19"/>
        </w:rPr>
        <w:t>Present evidence, deviations and root causes.</w:t>
      </w:r>
    </w:p>
    <w:p>
      <w:pPr>
        <w:pStyle w:val="ListBullet"/>
      </w:pPr>
      <w:r>
        <w:t>Results by scenario and KPI with confidence intervals or variability.</w:t>
      </w:r>
    </w:p>
    <w:p>
      <w:pPr>
        <w:pStyle w:val="ListBullet"/>
      </w:pPr>
      <w:r>
        <w:t>Comparison against baselines and project targets.</w:t>
      </w:r>
    </w:p>
    <w:p>
      <w:pPr>
        <w:pStyle w:val="ListBullet"/>
      </w:pPr>
      <w:r>
        <w:t>Failure analysis by perception, planning, control, integration or human factors.</w:t>
      </w:r>
    </w:p>
    <w:p>
      <w:pPr>
        <w:pStyle w:val="ListBullet"/>
      </w:pPr>
      <w:r>
        <w:t>Safety events, near misses and recovery performance.</w:t>
      </w:r>
    </w:p>
    <w:p>
      <w:pPr>
        <w:pStyle w:val="ListBullet"/>
      </w:pPr>
      <w:r>
        <w:t>Operator questionnaire results in aggregate.</w:t>
      </w:r>
    </w:p>
    <w:p>
      <w:pPr>
        <w:pStyle w:val="ListBullet"/>
      </w:pPr>
      <w:r>
        <w:t>Lessons learned and transferability to other warehouses.</w:t>
      </w:r>
    </w:p>
    <w:p>
      <w:pPr>
        <w:pStyle w:val="Heading1"/>
        <w:keepNext/>
        <w:keepLines/>
      </w:pPr>
      <w:r>
        <w:t>14. Conclusions, limitations and exploitation outlook</w:t>
      </w:r>
    </w:p>
    <w:p>
      <w:pPr>
        <w:spacing w:after="80"/>
      </w:pPr>
      <w:r>
        <w:rPr>
          <w:b/>
          <w:color w:val="1F4E78"/>
        </w:rPr>
        <w:t xml:space="preserve">Section purpose: </w:t>
      </w:r>
      <w:r>
        <w:rPr>
          <w:i/>
          <w:sz w:val="19"/>
        </w:rPr>
        <w:t>Conclude on demonstrator maturity and future industrialisation.</w:t>
      </w:r>
    </w:p>
    <w:p>
      <w:pPr>
        <w:pStyle w:val="ListBullet"/>
      </w:pPr>
      <w:r>
        <w:t>Requirement coverage and overall success statement.</w:t>
      </w:r>
    </w:p>
    <w:p>
      <w:pPr>
        <w:pStyle w:val="ListBullet"/>
      </w:pPr>
      <w:r>
        <w:t>Residual technical and safety limitations.</w:t>
      </w:r>
    </w:p>
    <w:p>
      <w:pPr>
        <w:pStyle w:val="ListBullet"/>
      </w:pPr>
      <w:r>
        <w:t>Recommendations for scalability, new object classes and fleet operation.</w:t>
      </w:r>
    </w:p>
    <w:p>
      <w:pPr>
        <w:pStyle w:val="ListBullet"/>
      </w:pPr>
      <w:r>
        <w:t>Implications for COMAU productisation and further pilots.</w:t>
      </w:r>
    </w:p>
    <w:p>
      <w:pPr>
        <w:pStyle w:val="ListBullet"/>
      </w:pPr>
      <w:r>
        <w:t>Actions feeding dissemination and exploitation activities.</w:t>
      </w:r>
    </w:p>
    <w:p>
      <w:pPr>
        <w:pStyle w:val="Heading1"/>
        <w:keepNext/>
        <w:keepLines/>
      </w:pPr>
      <w:r>
        <w:t>Completion checklist</w:t>
      </w:r>
    </w:p>
    <w:p>
      <w:pPr>
        <w:pStyle w:val="ListBullet"/>
      </w:pPr>
      <w:r>
        <w:t>[ ] The final title, due date, lead beneficiary and dissemination level are confirmed.</w:t>
      </w:r>
    </w:p>
    <w:p>
      <w:pPr>
        <w:pStyle w:val="ListBullet"/>
      </w:pPr>
      <w:r>
        <w:t>[ ] All claims are traceable to project records, scientific sources or test evidence.</w:t>
      </w:r>
    </w:p>
    <w:p>
      <w:pPr>
        <w:pStyle w:val="ListBullet"/>
      </w:pPr>
      <w:r>
        <w:t>[ ] Dependencies and contributions from other activities are explicitly acknowledged.</w:t>
      </w:r>
    </w:p>
    <w:p>
      <w:pPr>
        <w:pStyle w:val="ListBullet"/>
      </w:pPr>
      <w:r>
        <w:t>[ ] KPIs have definitions, baselines, measurement methods and responsible owners.</w:t>
      </w:r>
    </w:p>
    <w:p>
      <w:pPr>
        <w:pStyle w:val="ListBullet"/>
      </w:pPr>
      <w:r>
        <w:t>[ ] Ethics, GDPR, safety, security and IPR considerations are addressed where applicable.</w:t>
      </w:r>
    </w:p>
    <w:p>
      <w:pPr>
        <w:pStyle w:val="ListBullet"/>
      </w:pPr>
      <w:r>
        <w:t>[ ] The document has passed internal technical, quality and management review.</w:t>
      </w:r>
    </w:p>
    <w:p>
      <w:pPr>
        <w:pStyle w:val="Heading1"/>
        <w:keepNext/>
        <w:keepLines/>
      </w:pPr>
      <w:r>
        <w:t>Suggested annexes</w:t>
      </w:r>
    </w:p>
    <w:p>
      <w:pPr>
        <w:pStyle w:val="ListBullet"/>
      </w:pPr>
      <w:r>
        <w:t>Annex A - Demonstrator requirements and traceability matrix.</w:t>
      </w:r>
    </w:p>
    <w:p>
      <w:pPr>
        <w:pStyle w:val="ListBullet"/>
      </w:pPr>
      <w:r>
        <w:t>Annex B - System architecture, network and interface diagrams.</w:t>
      </w:r>
    </w:p>
    <w:p>
      <w:pPr>
        <w:pStyle w:val="ListBullet"/>
      </w:pPr>
      <w:r>
        <w:t>Annex C - Warehouse layout, object catalogue and test configurations.</w:t>
      </w:r>
    </w:p>
    <w:p>
      <w:pPr>
        <w:pStyle w:val="ListBullet"/>
      </w:pPr>
      <w:r>
        <w:t>Annex D - Risk assessment and safety validation evidence.</w:t>
      </w:r>
    </w:p>
    <w:p>
      <w:pPr>
        <w:pStyle w:val="ListBullet"/>
      </w:pPr>
      <w:r>
        <w:t>Annex E - Test cases, raw result tables and anomaly logs.</w:t>
      </w:r>
    </w:p>
    <w:p>
      <w:pPr>
        <w:pStyle w:val="ListBullet"/>
      </w:pPr>
      <w:r>
        <w:t>Annex F - User instructions and operator training material.</w:t>
      </w:r>
    </w:p>
    <w:p>
      <w:pPr>
        <w:pStyle w:val="ListBullet"/>
      </w:pPr>
      <w:r>
        <w:t>Annex G - Links/list of photos and demonstration videos.</w:t>
      </w:r>
    </w:p>
    <w:p>
      <w:pPr>
        <w:pStyle w:val="Heading1"/>
        <w:keepNext/>
        <w:keepLines/>
      </w:pPr>
      <w:r>
        <w:t>Source mapping</w:t>
      </w:r>
    </w:p>
    <w:p>
      <w:r>
        <w:rPr>
          <w:b/>
        </w:rPr>
        <w:t xml:space="preserve">Primary project-description basis: </w:t>
      </w:r>
      <w:r>
        <w:t>Section E.3, p. 46; project architecture and technical modules in Sections A.2-A.6.</w:t>
      </w:r>
    </w:p>
    <w:p>
      <w:r>
        <w:rPr>
          <w:b/>
        </w:rPr>
        <w:t xml:space="preserve">Boundary note: </w:t>
      </w:r>
      <w:r>
        <w:t>The report should focus on the warehouse-picking demonstrator and cross-reference the technical deliverables of Activities 2-6 rather than re-documenting their full methods.</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087"/>
      <w:gridCol w:w="2551"/>
    </w:tblGrid>
    <w:tr>
      <w:tc>
        <w:tcPr>
          <w:tcW w:type="dxa" w:w="4819"/>
        </w:tcPr>
        <w:p>
          <w:r>
            <w:rPr>
              <w:rFonts w:ascii="Liberation Sans" w:hAnsi="Liberation Sans"/>
              <w:color w:val="667788"/>
              <w:sz w:val="15"/>
            </w:rPr>
            <w:t>Planning for Artificial Robotic Intelligence and Beyond | 20 July 2026</w:t>
          </w:r>
        </w:p>
      </w:tc>
      <w:tc>
        <w:tcPr>
          <w:tcW w:type="dxa" w:w="4819"/>
        </w:tcPr>
        <w:p>
          <w:pPr>
            <w:jc w:val="right"/>
          </w:pPr>
          <w:r>
            <w:rPr>
              <w:rFonts w:ascii="Liberation Sans" w:hAnsi="Liberation Sans"/>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953"/>
      <w:gridCol w:w="3685"/>
    </w:tblGrid>
    <w:tr>
      <w:tc>
        <w:tcPr>
          <w:tcW w:type="dxa" w:w="4819"/>
          <w:shd w:fill="1F4E78"/>
          <w:tcMar>
            <w:top w:w="55" w:type="dxa"/>
            <w:start w:w="90" w:type="dxa"/>
            <w:bottom w:w="55" w:type="dxa"/>
            <w:end w:w="90" w:type="dxa"/>
          </w:tcMar>
          <w:vAlign w:val="center"/>
        </w:tcPr>
        <w:p>
          <w:r>
            <w:rPr>
              <w:rFonts w:ascii="Liberation Sans" w:hAnsi="Liberation Sans"/>
              <w:b/>
              <w:color w:val="FFFFFF"/>
              <w:sz w:val="18"/>
            </w:rPr>
            <w:t>PLAN4ARI</w:t>
          </w:r>
        </w:p>
      </w:tc>
      <w:tc>
        <w:tcPr>
          <w:tcW w:type="dxa" w:w="4819"/>
          <w:shd w:fill="1F4E78"/>
          <w:tcMar>
            <w:top w:w="55" w:type="dxa"/>
            <w:start w:w="90" w:type="dxa"/>
            <w:bottom w:w="55" w:type="dxa"/>
            <w:end w:w="90" w:type="dxa"/>
          </w:tcMar>
          <w:vAlign w:val="center"/>
        </w:tcPr>
        <w:p>
          <w:pPr>
            <w:jc w:val="right"/>
          </w:pPr>
          <w:r>
            <w:rPr>
              <w:rFonts w:ascii="Liberation Sans" w:hAnsi="Liberation Sans"/>
              <w:color w:val="FFFFFF"/>
              <w:sz w:val="17"/>
            </w:rPr>
            <w:t>Deliverable D7.1 - Draft Outline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243746"/>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Liberation Sans" w:hAnsi="Liberation Sans"/>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Liberation Sans" w:hAnsi="Liberation Sans"/>
      <w:sz w:val="19"/>
    </w:rPr>
  </w:style>
  <w:style w:type="paragraph" w:styleId="ListBullet2">
    <w:name w:val="List Bullet 2"/>
    <w:basedOn w:val="Normal"/>
    <w:uiPriority w:val="99"/>
    <w:unhideWhenUsed/>
    <w:rsid w:val="00326F90"/>
    <w:pPr>
      <w:numPr>
        <w:numId w:val="2"/>
      </w:numPr>
      <w:spacing w:after="40" w:line="252" w:lineRule="auto"/>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E4BEF55-47E5-4149-959A-293A37981E59}"/>
</file>

<file path=customXml/itemProps3.xml><?xml version="1.0" encoding="utf-8"?>
<ds:datastoreItem xmlns:ds="http://schemas.openxmlformats.org/officeDocument/2006/customXml" ds:itemID="{72168465-BD20-410F-8DB2-FF9FBFA6D75C}"/>
</file>

<file path=customXml/itemProps4.xml><?xml version="1.0" encoding="utf-8"?>
<ds:datastoreItem xmlns:ds="http://schemas.openxmlformats.org/officeDocument/2006/customXml" ds:itemID="{1A8359B5-A640-4495-94F5-D89ED79EBC2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Deliverable D7.1 - Warehouse Random-Object Picking Demonstrator - Specification, Integration and Validation Report - Draft Outline</dc:title>
  <dc:subject>Draft deliverable outline based on the Plan4ARI Project Description</dc:subject>
  <dc:creator>OpenAI</dc:creator>
  <cp:keywords>Plan4ARI, deliverable, outline, robotics, FISA</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