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4F434" w14:textId="77777777" w:rsidR="006F7F45" w:rsidRDefault="005D2748">
      <w:pPr>
        <w:spacing w:before="600"/>
        <w:jc w:val="center"/>
        <w:rPr>
          <w:rFonts w:hint="eastAsia"/>
        </w:rPr>
      </w:pPr>
      <w:r>
        <w:rPr>
          <w:b/>
          <w:color w:val="1F4E78"/>
          <w:sz w:val="36"/>
        </w:rPr>
        <w:t>PLAN4ARI</w:t>
      </w:r>
    </w:p>
    <w:p w14:paraId="2D9963B5" w14:textId="0A3B12F2" w:rsidR="006F7F45" w:rsidRDefault="005D2748">
      <w:pPr>
        <w:pStyle w:val="Title"/>
        <w:keepNext/>
        <w:keepLines/>
        <w:jc w:val="center"/>
      </w:pPr>
      <w:r>
        <w:t>Deliverable D8.1</w:t>
      </w:r>
      <w:r>
        <w:br/>
      </w:r>
      <w:r>
        <w:rPr>
          <w:sz w:val="40"/>
        </w:rPr>
        <w:t>Communication Strategy, Channels</w:t>
      </w:r>
      <w:r w:rsidR="00F434A7">
        <w:rPr>
          <w:sz w:val="40"/>
        </w:rPr>
        <w:t>,</w:t>
      </w:r>
      <w:r>
        <w:rPr>
          <w:sz w:val="40"/>
        </w:rPr>
        <w:t xml:space="preserve"> and Materials Plan</w:t>
      </w:r>
    </w:p>
    <w:p w14:paraId="7092D10C" w14:textId="77777777" w:rsidR="006F7F45" w:rsidRDefault="005D2748">
      <w:pPr>
        <w:jc w:val="center"/>
        <w:rPr>
          <w:rFonts w:hint="eastAsia"/>
        </w:rPr>
      </w:pPr>
      <w:r>
        <w:rPr>
          <w:b/>
          <w:sz w:val="26"/>
        </w:rPr>
        <w:t>DRAFT OUTLINE</w:t>
      </w:r>
    </w:p>
    <w:p w14:paraId="4B6A9F56" w14:textId="77777777" w:rsidR="006F7F45" w:rsidRDefault="005D2748">
      <w:pPr>
        <w:jc w:val="center"/>
        <w:rPr>
          <w:rFonts w:hint="eastAsia"/>
        </w:rPr>
      </w:pPr>
      <w:r>
        <w:rPr>
          <w:i/>
          <w:sz w:val="22"/>
        </w:rPr>
        <w:t>Planning for Artificial Robotic Intelligence and Beyond</w:t>
      </w:r>
    </w:p>
    <w:p w14:paraId="546F8853" w14:textId="77777777" w:rsidR="006F7F45" w:rsidRDefault="006F7F4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6F7F45" w14:paraId="10849A5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DA913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Project acronym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C1E56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Plan4ARI</w:t>
            </w:r>
          </w:p>
        </w:tc>
      </w:tr>
      <w:tr w:rsidR="006F7F45" w14:paraId="2C9B2B4A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0DD6E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Project duration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BB427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48 months</w:t>
            </w:r>
          </w:p>
        </w:tc>
      </w:tr>
      <w:tr w:rsidR="006F7F45" w14:paraId="42B5333A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877AB" w14:textId="4CAE68A7" w:rsidR="006F7F45" w:rsidRDefault="005D2748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 xml:space="preserve">Work </w:t>
            </w:r>
            <w:r w:rsidR="00F434A7">
              <w:rPr>
                <w:b/>
                <w:sz w:val="18"/>
              </w:rPr>
              <w:t>package/activity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3C765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Activity 8 - Communication and Dissemination</w:t>
            </w:r>
          </w:p>
        </w:tc>
      </w:tr>
      <w:tr w:rsidR="006F7F45" w14:paraId="1AE8FA4F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B0120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Task basis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70649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Task 8.1 Communication activities</w:t>
            </w:r>
          </w:p>
        </w:tc>
      </w:tr>
      <w:tr w:rsidR="006F7F45" w14:paraId="38561ABF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76FBA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Activity period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63A44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M1-M48</w:t>
            </w:r>
          </w:p>
        </w:tc>
      </w:tr>
      <w:tr w:rsidR="006F7F45" w14:paraId="7191DD72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CD545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Suggested delivery point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EA7A2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Initial plan in the project start-up phase, with periodic updates through M48 (confirm)</w:t>
            </w:r>
          </w:p>
        </w:tc>
      </w:tr>
      <w:tr w:rsidR="006F7F45" w14:paraId="31B49DFC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95854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Document status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E3003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Proposed outline - Version 0.1</w:t>
            </w:r>
          </w:p>
        </w:tc>
      </w:tr>
      <w:tr w:rsidR="006F7F45" w14:paraId="105B7882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D9D8B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Lead beneficiary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1C4E7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To be confirmed</w:t>
            </w:r>
          </w:p>
        </w:tc>
      </w:tr>
      <w:tr w:rsidR="006F7F45" w14:paraId="214E0AEB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ADB9C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Dissemination level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7C35A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To be confirmed</w:t>
            </w:r>
          </w:p>
        </w:tc>
      </w:tr>
    </w:tbl>
    <w:p w14:paraId="4A05AE31" w14:textId="77777777" w:rsidR="006F7F45" w:rsidRDefault="006F7F45">
      <w:pPr>
        <w:rPr>
          <w:rFonts w:hint="eastAsia"/>
        </w:rPr>
      </w:pPr>
    </w:p>
    <w:p w14:paraId="2FBDFA10" w14:textId="77777777" w:rsidR="006F7F45" w:rsidRDefault="005D2748">
      <w:pPr>
        <w:rPr>
          <w:rFonts w:hint="eastAsia"/>
        </w:rPr>
      </w:pPr>
      <w:r>
        <w:br w:type="page"/>
      </w:r>
    </w:p>
    <w:p w14:paraId="262F0344" w14:textId="77777777" w:rsidR="006F7F45" w:rsidRDefault="005D2748">
      <w:pPr>
        <w:pStyle w:val="Heading1"/>
      </w:pPr>
      <w:r>
        <w:lastRenderedPageBreak/>
        <w:t>Document control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3061"/>
        <w:gridCol w:w="3458"/>
      </w:tblGrid>
      <w:tr w:rsidR="006F7F45" w14:paraId="4FFC2C77" w14:textId="77777777">
        <w:trPr>
          <w:tblHeader/>
          <w:jc w:val="center"/>
        </w:trPr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9D1E2B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9B48FD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4BE501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Author / reviewer</w:t>
            </w:r>
          </w:p>
        </w:tc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9D420F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Change description</w:t>
            </w:r>
          </w:p>
        </w:tc>
      </w:tr>
      <w:tr w:rsidR="006F7F45" w14:paraId="7B08D071" w14:textId="77777777">
        <w:trPr>
          <w:jc w:val="center"/>
        </w:trPr>
        <w:tc>
          <w:tcPr>
            <w:tcW w:w="119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42A42E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0.1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A12F1C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20 July 2026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991A10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TBC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89D04D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Initial draft outline</w:t>
            </w:r>
          </w:p>
        </w:tc>
      </w:tr>
      <w:tr w:rsidR="006F7F45" w14:paraId="691FB121" w14:textId="77777777">
        <w:trPr>
          <w:jc w:val="center"/>
        </w:trPr>
        <w:tc>
          <w:tcPr>
            <w:tcW w:w="1191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318147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1.0</w:t>
            </w:r>
          </w:p>
        </w:tc>
        <w:tc>
          <w:tcPr>
            <w:tcW w:w="1701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394EF2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TBC</w:t>
            </w:r>
          </w:p>
        </w:tc>
        <w:tc>
          <w:tcPr>
            <w:tcW w:w="3061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965EB2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TBC</w:t>
            </w:r>
          </w:p>
        </w:tc>
        <w:tc>
          <w:tcPr>
            <w:tcW w:w="3458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BBC920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Approved deliverable</w:t>
            </w:r>
          </w:p>
        </w:tc>
      </w:tr>
    </w:tbl>
    <w:p w14:paraId="7FDB3D64" w14:textId="77777777" w:rsidR="006F7F45" w:rsidRDefault="005D2748">
      <w:pPr>
        <w:pStyle w:val="Heading1"/>
      </w:pPr>
      <w:r>
        <w:t>Purpose of this outline</w:t>
      </w:r>
    </w:p>
    <w:p w14:paraId="18CF0F94" w14:textId="77777777" w:rsidR="006F7F45" w:rsidRDefault="005D2748">
      <w:pPr>
        <w:spacing w:after="120"/>
        <w:rPr>
          <w:rFonts w:hint="eastAsia"/>
        </w:rPr>
      </w:pPr>
      <w:r>
        <w:t>The following structure is intended as a writing blueprint for the final deliverable. Each numbered heading may be retained in the final report, while the bullets describe the minimum content, evidence and decisions expected.</w:t>
      </w:r>
    </w:p>
    <w:p w14:paraId="5A956A1E" w14:textId="77777777" w:rsidR="006F7F45" w:rsidRDefault="005D2748">
      <w:pPr>
        <w:pStyle w:val="Heading1"/>
      </w:pPr>
      <w:r>
        <w:t>Proposed table of contents at a glance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7370"/>
      </w:tblGrid>
      <w:tr w:rsidR="006F7F45" w14:paraId="5F0DCC04" w14:textId="77777777">
        <w:trPr>
          <w:tblHeader/>
          <w:jc w:val="center"/>
        </w:trPr>
        <w:tc>
          <w:tcPr>
            <w:tcW w:w="4819" w:type="dxa"/>
            <w:shd w:val="clear" w:color="auto" w:fill="1F4E78"/>
          </w:tcPr>
          <w:p w14:paraId="3114FA6F" w14:textId="77777777" w:rsidR="006F7F45" w:rsidRDefault="005D274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4819" w:type="dxa"/>
            <w:shd w:val="clear" w:color="auto" w:fill="1F4E78"/>
          </w:tcPr>
          <w:p w14:paraId="0CD83FA1" w14:textId="77777777" w:rsidR="006F7F45" w:rsidRDefault="005D274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F7F45" w14:paraId="68BBCF66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58AF10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1. Executive summary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40CB15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Summarise communication goals, audiences, channels, responsibilities and success indicators.</w:t>
            </w:r>
          </w:p>
        </w:tc>
      </w:tr>
      <w:tr w:rsidR="006F7F45" w14:paraId="0332EBAA" w14:textId="77777777">
        <w:trPr>
          <w:jc w:val="center"/>
        </w:trPr>
        <w:tc>
          <w:tcPr>
            <w:tcW w:w="1814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10761E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2. Communication objectives and principles</w:t>
            </w:r>
          </w:p>
        </w:tc>
        <w:tc>
          <w:tcPr>
            <w:tcW w:w="737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900C40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Define what communication should achieve and how it should be conducted.</w:t>
            </w:r>
          </w:p>
        </w:tc>
      </w:tr>
      <w:tr w:rsidR="006F7F45" w14:paraId="644088AB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878856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3. Audience segmentation and information needs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863233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Tailor messages and formats to distinct stakeholder groups.</w:t>
            </w:r>
          </w:p>
        </w:tc>
      </w:tr>
      <w:tr w:rsidR="006F7F45" w14:paraId="095B6FAB" w14:textId="77777777">
        <w:trPr>
          <w:jc w:val="center"/>
        </w:trPr>
        <w:tc>
          <w:tcPr>
            <w:tcW w:w="1814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C80687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4. Key messages and narrative architecture</w:t>
            </w:r>
          </w:p>
        </w:tc>
        <w:tc>
          <w:tcPr>
            <w:tcW w:w="737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AF2CEF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Create consistent project language across all channels.</w:t>
            </w:r>
          </w:p>
        </w:tc>
      </w:tr>
      <w:tr w:rsidR="006F7F45" w14:paraId="007C5818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D7B85C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5. Brand, visual identity and editorial standards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C84E9A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Ensure recognisable and compliant public-facing materials.</w:t>
            </w:r>
          </w:p>
        </w:tc>
      </w:tr>
      <w:tr w:rsidR="006F7F45" w14:paraId="360388F1" w14:textId="77777777">
        <w:trPr>
          <w:jc w:val="center"/>
        </w:trPr>
        <w:tc>
          <w:tcPr>
            <w:tcW w:w="1814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4C44A5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6. Project website</w:t>
            </w:r>
          </w:p>
        </w:tc>
        <w:tc>
          <w:tcPr>
            <w:tcW w:w="737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24310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Define the website as the authoritative public information hub.</w:t>
            </w:r>
          </w:p>
        </w:tc>
      </w:tr>
      <w:tr w:rsidR="006F7F45" w14:paraId="56094FC1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A94E02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7. Communication materials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226F01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Plan the production and maintenance of reusable project assets.</w:t>
            </w:r>
          </w:p>
        </w:tc>
      </w:tr>
      <w:tr w:rsidR="006F7F45" w14:paraId="3982124A" w14:textId="77777777">
        <w:trPr>
          <w:jc w:val="center"/>
        </w:trPr>
        <w:tc>
          <w:tcPr>
            <w:tcW w:w="1814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458983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8. Digital media and editorial calendar</w:t>
            </w:r>
          </w:p>
        </w:tc>
        <w:tc>
          <w:tcPr>
            <w:tcW w:w="737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B93DBC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Create a regular, coordinated stream of project updates.</w:t>
            </w:r>
          </w:p>
        </w:tc>
      </w:tr>
      <w:tr w:rsidR="006F7F45" w14:paraId="329FE138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04752D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9. Media relations and public events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102674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Prepare proactive and reactive engagement with external audiences.</w:t>
            </w:r>
          </w:p>
        </w:tc>
      </w:tr>
      <w:tr w:rsidR="006F7F45" w14:paraId="56D01732" w14:textId="77777777">
        <w:trPr>
          <w:jc w:val="center"/>
        </w:trPr>
        <w:tc>
          <w:tcPr>
            <w:tcW w:w="1814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8FFA36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10. Governance and publication workflow</w:t>
            </w:r>
          </w:p>
        </w:tc>
        <w:tc>
          <w:tcPr>
            <w:tcW w:w="737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EAD6D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Define who creates, reviews, approves and publishes content.</w:t>
            </w:r>
          </w:p>
        </w:tc>
      </w:tr>
      <w:tr w:rsidR="006F7F45" w14:paraId="4CDE9DBB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16C8E3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11. KPI framework and monitoring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255945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Measure communication reach, engagement, quality and conversion.</w:t>
            </w:r>
          </w:p>
        </w:tc>
      </w:tr>
      <w:tr w:rsidR="006F7F45" w14:paraId="746D2380" w14:textId="77777777">
        <w:trPr>
          <w:jc w:val="center"/>
        </w:trPr>
        <w:tc>
          <w:tcPr>
            <w:tcW w:w="1814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55FDE8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12. Legal, ethics, accessibility and risk management</w:t>
            </w:r>
          </w:p>
        </w:tc>
        <w:tc>
          <w:tcPr>
            <w:tcW w:w="737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FA6121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Protect participants, partners and project credibility.</w:t>
            </w:r>
          </w:p>
        </w:tc>
      </w:tr>
      <w:tr w:rsidR="006F7F45" w14:paraId="18154FAB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F7D0A6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13. Implementation plan and resources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0C408D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Translate strategy into an actionable M1-M48 schedule.</w:t>
            </w:r>
          </w:p>
        </w:tc>
      </w:tr>
      <w:tr w:rsidR="006F7F45" w14:paraId="5DE60AAC" w14:textId="77777777">
        <w:trPr>
          <w:jc w:val="center"/>
        </w:trPr>
        <w:tc>
          <w:tcPr>
            <w:tcW w:w="1814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9E22EC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14. Conclusions and immediate actions</w:t>
            </w:r>
          </w:p>
        </w:tc>
        <w:tc>
          <w:tcPr>
            <w:tcW w:w="737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AE7C5E" w14:textId="77777777" w:rsidR="006F7F45" w:rsidRDefault="005D2748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Confirm ownership and the first communication actions.</w:t>
            </w:r>
          </w:p>
        </w:tc>
      </w:tr>
    </w:tbl>
    <w:p w14:paraId="5D34513C" w14:textId="77777777" w:rsidR="006F7F45" w:rsidRDefault="005D2748">
      <w:pPr>
        <w:rPr>
          <w:rFonts w:hint="eastAsia"/>
        </w:rPr>
      </w:pPr>
      <w:r>
        <w:br w:type="page"/>
      </w:r>
    </w:p>
    <w:p w14:paraId="3B1D4217" w14:textId="77777777" w:rsidR="006F7F45" w:rsidRDefault="005D2748">
      <w:pPr>
        <w:pStyle w:val="Heading1"/>
      </w:pPr>
      <w:r>
        <w:lastRenderedPageBreak/>
        <w:t>Detailed writing outline</w:t>
      </w:r>
    </w:p>
    <w:p w14:paraId="6C7D3748" w14:textId="77777777" w:rsidR="006F7F45" w:rsidRDefault="005D2748">
      <w:pPr>
        <w:pStyle w:val="Heading1"/>
      </w:pPr>
      <w:r>
        <w:t>1. Executive summary</w:t>
      </w:r>
    </w:p>
    <w:p w14:paraId="1ABEB793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Summarise communication goals, audiences, channels, responsibilities and success indicators.</w:t>
      </w:r>
    </w:p>
    <w:p w14:paraId="219543F7" w14:textId="77777777" w:rsidR="006F7F45" w:rsidRDefault="005D2748">
      <w:pPr>
        <w:pStyle w:val="ListBullet"/>
        <w:rPr>
          <w:rFonts w:hint="eastAsia"/>
        </w:rPr>
      </w:pPr>
      <w:r>
        <w:t>Core project narrative and intended public value.</w:t>
      </w:r>
    </w:p>
    <w:p w14:paraId="765D3218" w14:textId="77777777" w:rsidR="006F7F45" w:rsidRDefault="005D2748">
      <w:pPr>
        <w:pStyle w:val="ListBullet"/>
        <w:rPr>
          <w:rFonts w:hint="eastAsia"/>
        </w:rPr>
      </w:pPr>
      <w:r>
        <w:t>Priority audiences and channel mix.</w:t>
      </w:r>
    </w:p>
    <w:p w14:paraId="7057BAFA" w14:textId="77777777" w:rsidR="006F7F45" w:rsidRDefault="005D2748">
      <w:pPr>
        <w:pStyle w:val="ListBullet"/>
        <w:rPr>
          <w:rFonts w:hint="eastAsia"/>
        </w:rPr>
      </w:pPr>
      <w:r>
        <w:t>Key outputs: website, press releases, presentation, digital poster, brochure, videos and digital-media posts.</w:t>
      </w:r>
    </w:p>
    <w:p w14:paraId="70ACF730" w14:textId="77777777" w:rsidR="006F7F45" w:rsidRDefault="005D2748">
      <w:pPr>
        <w:pStyle w:val="ListBullet"/>
        <w:rPr>
          <w:rFonts w:hint="eastAsia"/>
        </w:rPr>
      </w:pPr>
      <w:r>
        <w:t>Governance, publication rhythm and KPI approach.</w:t>
      </w:r>
    </w:p>
    <w:p w14:paraId="3693DBB5" w14:textId="77777777" w:rsidR="006F7F45" w:rsidRDefault="005D2748">
      <w:pPr>
        <w:pStyle w:val="Heading1"/>
      </w:pPr>
      <w:r>
        <w:t>2. Communication objectives and principles</w:t>
      </w:r>
    </w:p>
    <w:p w14:paraId="61607E8D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Define what communication should achieve and how it should be conducted.</w:t>
      </w:r>
    </w:p>
    <w:p w14:paraId="4DE3D238" w14:textId="77777777" w:rsidR="006F7F45" w:rsidRDefault="005D2748">
      <w:pPr>
        <w:pStyle w:val="ListBullet"/>
        <w:rPr>
          <w:rFonts w:hint="eastAsia"/>
        </w:rPr>
      </w:pPr>
      <w:r>
        <w:t>Increase awareness of Plan4ARI objectives, progress and results.</w:t>
      </w:r>
    </w:p>
    <w:p w14:paraId="380496DF" w14:textId="77777777" w:rsidR="006F7F45" w:rsidRDefault="005D2748">
      <w:pPr>
        <w:pStyle w:val="ListBullet"/>
        <w:rPr>
          <w:rFonts w:hint="eastAsia"/>
        </w:rPr>
      </w:pPr>
      <w:r>
        <w:t>Explain Artificial Robotic Intelligence in accessible, accurate language.</w:t>
      </w:r>
    </w:p>
    <w:p w14:paraId="231CAB66" w14:textId="77777777" w:rsidR="006F7F45" w:rsidRDefault="005D2748">
      <w:pPr>
        <w:pStyle w:val="ListBullet"/>
        <w:rPr>
          <w:rFonts w:hint="eastAsia"/>
        </w:rPr>
      </w:pPr>
      <w:r>
        <w:t>Build trust by addressing safety, human-centricity, ethics and realistic limitations.</w:t>
      </w:r>
    </w:p>
    <w:p w14:paraId="1DE83F59" w14:textId="77777777" w:rsidR="006F7F45" w:rsidRDefault="005D2748">
      <w:pPr>
        <w:pStyle w:val="ListBullet"/>
        <w:rPr>
          <w:rFonts w:hint="eastAsia"/>
        </w:rPr>
      </w:pPr>
      <w:r>
        <w:t>Support visibility of public funding and participating organisations.</w:t>
      </w:r>
    </w:p>
    <w:p w14:paraId="71D30442" w14:textId="77777777" w:rsidR="006F7F45" w:rsidRDefault="005D2748">
      <w:pPr>
        <w:pStyle w:val="ListBullet"/>
        <w:rPr>
          <w:rFonts w:hint="eastAsia"/>
        </w:rPr>
      </w:pPr>
      <w:r>
        <w:t>Coordinate communication with dissemination and exploitation without disclosing confidential information.</w:t>
      </w:r>
    </w:p>
    <w:p w14:paraId="47574A64" w14:textId="77777777" w:rsidR="006F7F45" w:rsidRDefault="005D2748">
      <w:pPr>
        <w:pStyle w:val="ListBullet"/>
        <w:rPr>
          <w:rFonts w:hint="eastAsia"/>
        </w:rPr>
      </w:pPr>
      <w:r>
        <w:t>Principles: accuracy, accessibility, inclusiveness, transparency, timeliness and evidence.</w:t>
      </w:r>
    </w:p>
    <w:p w14:paraId="7ACDC640" w14:textId="77777777" w:rsidR="006F7F45" w:rsidRDefault="005D2748">
      <w:pPr>
        <w:pStyle w:val="Heading1"/>
      </w:pPr>
      <w:r>
        <w:t>3. Audience segmentation and information needs</w:t>
      </w:r>
    </w:p>
    <w:p w14:paraId="433B82FB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Tailor messages and formats to distinct stakeholder groups.</w:t>
      </w:r>
    </w:p>
    <w:p w14:paraId="5D1CA93B" w14:textId="77777777" w:rsidR="006F7F45" w:rsidRDefault="005D2748">
      <w:pPr>
        <w:pStyle w:val="ListBullet"/>
        <w:rPr>
          <w:rFonts w:hint="eastAsia"/>
        </w:rPr>
      </w:pPr>
      <w:r>
        <w:t>General public and workers.</w:t>
      </w:r>
    </w:p>
    <w:p w14:paraId="2F95124E" w14:textId="77777777" w:rsidR="006F7F45" w:rsidRDefault="005D2748">
      <w:pPr>
        <w:pStyle w:val="ListBullet"/>
        <w:rPr>
          <w:rFonts w:hint="eastAsia"/>
        </w:rPr>
      </w:pPr>
      <w:r>
        <w:t>Manufacturing SMEs and large industrial users.</w:t>
      </w:r>
    </w:p>
    <w:p w14:paraId="04EBF3F6" w14:textId="77777777" w:rsidR="006F7F45" w:rsidRDefault="005D2748">
      <w:pPr>
        <w:pStyle w:val="ListBullet"/>
        <w:rPr>
          <w:rFonts w:hint="eastAsia"/>
        </w:rPr>
      </w:pPr>
      <w:r>
        <w:t>Robot integrators, technology providers and developers.</w:t>
      </w:r>
    </w:p>
    <w:p w14:paraId="6AFACBA1" w14:textId="77777777" w:rsidR="006F7F45" w:rsidRDefault="005D2748">
      <w:pPr>
        <w:pStyle w:val="ListBullet"/>
        <w:rPr>
          <w:rFonts w:hint="eastAsia"/>
        </w:rPr>
      </w:pPr>
      <w:r>
        <w:t>Policy makers, standardisation and safety communities.</w:t>
      </w:r>
    </w:p>
    <w:p w14:paraId="3262C039" w14:textId="77777777" w:rsidR="006F7F45" w:rsidRDefault="005D2748">
      <w:pPr>
        <w:pStyle w:val="ListBullet"/>
        <w:rPr>
          <w:rFonts w:hint="eastAsia"/>
        </w:rPr>
      </w:pPr>
      <w:r>
        <w:t>Researchers, students and educators.</w:t>
      </w:r>
    </w:p>
    <w:p w14:paraId="1175115E" w14:textId="77777777" w:rsidR="006F7F45" w:rsidRDefault="005D2748">
      <w:pPr>
        <w:pStyle w:val="ListBullet"/>
        <w:rPr>
          <w:rFonts w:hint="eastAsia"/>
        </w:rPr>
      </w:pPr>
      <w:r>
        <w:t>Media, trade press and regional/national innovation ecosystems.</w:t>
      </w:r>
    </w:p>
    <w:p w14:paraId="532801A3" w14:textId="77777777" w:rsidR="006F7F45" w:rsidRDefault="005D2748">
      <w:pPr>
        <w:pStyle w:val="ListBullet"/>
        <w:rPr>
          <w:rFonts w:hint="eastAsia"/>
        </w:rPr>
      </w:pPr>
      <w:r>
        <w:t>Project partners, Advisory Board and funding institution.</w:t>
      </w:r>
    </w:p>
    <w:p w14:paraId="40D3B6C9" w14:textId="77777777" w:rsidR="006F7F45" w:rsidRDefault="005D2748">
      <w:pPr>
        <w:spacing w:before="40"/>
        <w:rPr>
          <w:rFonts w:hint="eastAsia"/>
        </w:rPr>
      </w:pPr>
      <w:r>
        <w:rPr>
          <w:b/>
        </w:rPr>
        <w:t>Recommended evidence / artefacts</w:t>
      </w:r>
    </w:p>
    <w:p w14:paraId="15181E6E" w14:textId="77777777" w:rsidR="006F7F45" w:rsidRDefault="005D2748">
      <w:pPr>
        <w:pStyle w:val="ListBullet2"/>
        <w:rPr>
          <w:rFonts w:hint="eastAsia"/>
        </w:rPr>
      </w:pPr>
      <w:r>
        <w:t>Audience personas or matrix covering interests, barriers, messages, channels and call to action.</w:t>
      </w:r>
    </w:p>
    <w:p w14:paraId="59541A88" w14:textId="77777777" w:rsidR="006F7F45" w:rsidRDefault="005D2748">
      <w:pPr>
        <w:pStyle w:val="Heading1"/>
      </w:pPr>
      <w:r>
        <w:t>4. Key messages and narrative architecture</w:t>
      </w:r>
    </w:p>
    <w:p w14:paraId="0A8AB292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Create consistent project language across all channels.</w:t>
      </w:r>
    </w:p>
    <w:p w14:paraId="05F13261" w14:textId="77777777" w:rsidR="006F7F45" w:rsidRDefault="005D2748">
      <w:pPr>
        <w:pStyle w:val="ListBullet"/>
        <w:rPr>
          <w:rFonts w:hint="eastAsia"/>
        </w:rPr>
      </w:pPr>
      <w:r>
        <w:t>Problem statement: difficulty of programming and safely operating advanced robots in dynamic manufacturing.</w:t>
      </w:r>
    </w:p>
    <w:p w14:paraId="11267494" w14:textId="77777777" w:rsidR="006F7F45" w:rsidRDefault="005D2748">
      <w:pPr>
        <w:pStyle w:val="ListBullet"/>
        <w:rPr>
          <w:rFonts w:hint="eastAsia"/>
        </w:rPr>
      </w:pPr>
      <w:r>
        <w:t>Solution narrative: natural interaction, task planning, sensing, motion planning, neural control and trustworthiness as an integrated ARI stack.</w:t>
      </w:r>
    </w:p>
    <w:p w14:paraId="0B53143B" w14:textId="77777777" w:rsidR="006F7F45" w:rsidRDefault="005D2748">
      <w:pPr>
        <w:pStyle w:val="ListBullet"/>
        <w:rPr>
          <w:rFonts w:hint="eastAsia"/>
        </w:rPr>
      </w:pPr>
      <w:r>
        <w:t>Human-centric message: robots as safe companions that improve working conditions rather than remove human agency.</w:t>
      </w:r>
    </w:p>
    <w:p w14:paraId="0D3BD355" w14:textId="77777777" w:rsidR="006F7F45" w:rsidRDefault="005D2748">
      <w:pPr>
        <w:pStyle w:val="ListBullet"/>
        <w:rPr>
          <w:rFonts w:hint="eastAsia"/>
        </w:rPr>
      </w:pPr>
      <w:r>
        <w:t>Impact messages for productivity, flexibility, safety, job quality and European competitiveness.</w:t>
      </w:r>
    </w:p>
    <w:p w14:paraId="4B272AB0" w14:textId="77777777" w:rsidR="006F7F45" w:rsidRDefault="005D2748">
      <w:pPr>
        <w:pStyle w:val="ListBullet"/>
        <w:rPr>
          <w:rFonts w:hint="eastAsia"/>
        </w:rPr>
      </w:pPr>
      <w:r>
        <w:t>Claims that require qualification or evidence.</w:t>
      </w:r>
    </w:p>
    <w:p w14:paraId="389D6E5D" w14:textId="77777777" w:rsidR="006F7F45" w:rsidRDefault="005D2748">
      <w:pPr>
        <w:pStyle w:val="ListBullet"/>
        <w:rPr>
          <w:rFonts w:hint="eastAsia"/>
        </w:rPr>
      </w:pPr>
      <w:r>
        <w:t>Plain-language glossary and approved terminology.</w:t>
      </w:r>
    </w:p>
    <w:p w14:paraId="0A9FCA1E" w14:textId="77777777" w:rsidR="006F7F45" w:rsidRDefault="005D2748">
      <w:pPr>
        <w:pStyle w:val="Heading1"/>
      </w:pPr>
      <w:r>
        <w:t>5. Brand, visual identity and editorial standards</w:t>
      </w:r>
    </w:p>
    <w:p w14:paraId="2F199CB1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Ensure recognisable and compliant public-facing materials.</w:t>
      </w:r>
    </w:p>
    <w:p w14:paraId="049D0A32" w14:textId="77777777" w:rsidR="006F7F45" w:rsidRDefault="005D2748">
      <w:pPr>
        <w:pStyle w:val="ListBullet"/>
        <w:rPr>
          <w:rFonts w:hint="eastAsia"/>
        </w:rPr>
      </w:pPr>
      <w:r>
        <w:t>Project logo usage, colour palette, typography and partner/funder acknowledgement.</w:t>
      </w:r>
    </w:p>
    <w:p w14:paraId="179CD61D" w14:textId="77777777" w:rsidR="006F7F45" w:rsidRDefault="005D2748">
      <w:pPr>
        <w:pStyle w:val="ListBullet"/>
        <w:rPr>
          <w:rFonts w:hint="eastAsia"/>
        </w:rPr>
      </w:pPr>
      <w:r>
        <w:t>Templates for slides, posters, brochures, social posts and videos.</w:t>
      </w:r>
    </w:p>
    <w:p w14:paraId="76CEE7FB" w14:textId="77777777" w:rsidR="006F7F45" w:rsidRDefault="005D2748">
      <w:pPr>
        <w:pStyle w:val="ListBullet"/>
        <w:rPr>
          <w:rFonts w:hint="eastAsia"/>
        </w:rPr>
      </w:pPr>
      <w:r>
        <w:t>Tone of voice and accessibility standards.</w:t>
      </w:r>
    </w:p>
    <w:p w14:paraId="7AA67307" w14:textId="77777777" w:rsidR="006F7F45" w:rsidRDefault="005D2748">
      <w:pPr>
        <w:pStyle w:val="ListBullet"/>
        <w:rPr>
          <w:rFonts w:hint="eastAsia"/>
        </w:rPr>
      </w:pPr>
      <w:r>
        <w:t>Rules for technical accuracy, inclusive language and gender representation.</w:t>
      </w:r>
    </w:p>
    <w:p w14:paraId="5E97D4A5" w14:textId="77777777" w:rsidR="006F7F45" w:rsidRDefault="005D2748">
      <w:pPr>
        <w:pStyle w:val="ListBullet"/>
        <w:rPr>
          <w:rFonts w:hint="eastAsia"/>
        </w:rPr>
      </w:pPr>
      <w:r>
        <w:t>Image, video, music and third-party content licensing.</w:t>
      </w:r>
    </w:p>
    <w:p w14:paraId="01C59696" w14:textId="77777777" w:rsidR="006F7F45" w:rsidRDefault="005D2748">
      <w:pPr>
        <w:pStyle w:val="Heading1"/>
      </w:pPr>
      <w:r>
        <w:t>6. Project website</w:t>
      </w:r>
    </w:p>
    <w:p w14:paraId="142EA766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Define the website as the authoritative public information hub.</w:t>
      </w:r>
    </w:p>
    <w:p w14:paraId="5CD8C2A8" w14:textId="77777777" w:rsidR="006F7F45" w:rsidRDefault="005D2748">
      <w:pPr>
        <w:pStyle w:val="ListBullet"/>
        <w:rPr>
          <w:rFonts w:hint="eastAsia"/>
        </w:rPr>
      </w:pPr>
      <w:r>
        <w:t>Launch target at M1 and minimum viable content.</w:t>
      </w:r>
    </w:p>
    <w:p w14:paraId="02B08645" w14:textId="77777777" w:rsidR="006F7F45" w:rsidRDefault="005D2748">
      <w:pPr>
        <w:pStyle w:val="ListBullet"/>
        <w:rPr>
          <w:rFonts w:hint="eastAsia"/>
        </w:rPr>
      </w:pPr>
      <w:r>
        <w:lastRenderedPageBreak/>
        <w:t>Information architecture: project, objectives, partners, activities, news, results, public deliverables, events, media and contact.</w:t>
      </w:r>
    </w:p>
    <w:p w14:paraId="491BB35F" w14:textId="77777777" w:rsidR="006F7F45" w:rsidRDefault="005D2748">
      <w:pPr>
        <w:pStyle w:val="ListBullet"/>
        <w:rPr>
          <w:rFonts w:hint="eastAsia"/>
        </w:rPr>
      </w:pPr>
      <w:r>
        <w:t>Content ownership, approval, update frequency and archival.</w:t>
      </w:r>
    </w:p>
    <w:p w14:paraId="46BD2718" w14:textId="77777777" w:rsidR="006F7F45" w:rsidRDefault="005D2748">
      <w:pPr>
        <w:pStyle w:val="ListBullet"/>
        <w:rPr>
          <w:rFonts w:hint="eastAsia"/>
        </w:rPr>
      </w:pPr>
      <w:r>
        <w:t>Accessibility, mobile responsiveness, privacy/cookie notices and analytics.</w:t>
      </w:r>
    </w:p>
    <w:p w14:paraId="61919D8E" w14:textId="77777777" w:rsidR="006F7F45" w:rsidRDefault="005D2748">
      <w:pPr>
        <w:pStyle w:val="ListBullet"/>
        <w:rPr>
          <w:rFonts w:hint="eastAsia"/>
        </w:rPr>
      </w:pPr>
      <w:r>
        <w:t>Long-term hosting and maintenance after project completion.</w:t>
      </w:r>
    </w:p>
    <w:p w14:paraId="2A56489F" w14:textId="77777777" w:rsidR="006F7F45" w:rsidRDefault="005D2748">
      <w:pPr>
        <w:spacing w:before="40"/>
        <w:rPr>
          <w:rFonts w:hint="eastAsia"/>
        </w:rPr>
      </w:pPr>
      <w:r>
        <w:rPr>
          <w:b/>
        </w:rPr>
        <w:t>Recommended evidence / artefacts</w:t>
      </w:r>
    </w:p>
    <w:p w14:paraId="4B2CD527" w14:textId="77777777" w:rsidR="006F7F45" w:rsidRDefault="005D2748">
      <w:pPr>
        <w:pStyle w:val="ListBullet2"/>
        <w:rPr>
          <w:rFonts w:hint="eastAsia"/>
        </w:rPr>
      </w:pPr>
      <w:r>
        <w:t>Website sitemap and responsibility matrix.</w:t>
      </w:r>
    </w:p>
    <w:p w14:paraId="11FA0765" w14:textId="77777777" w:rsidR="006F7F45" w:rsidRDefault="005D2748">
      <w:pPr>
        <w:pStyle w:val="Heading1"/>
      </w:pPr>
      <w:r>
        <w:t>7. Communication materials</w:t>
      </w:r>
    </w:p>
    <w:p w14:paraId="3FFA7972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Plan the production and maintenance of reusable project assets.</w:t>
      </w:r>
    </w:p>
    <w:p w14:paraId="0711D665" w14:textId="77777777" w:rsidR="006F7F45" w:rsidRDefault="005D2748">
      <w:pPr>
        <w:pStyle w:val="ListBullet"/>
        <w:rPr>
          <w:rFonts w:hint="eastAsia"/>
        </w:rPr>
      </w:pPr>
      <w:r>
        <w:t>Project presentation deck and short elevator pitch.</w:t>
      </w:r>
    </w:p>
    <w:p w14:paraId="525A9B36" w14:textId="77777777" w:rsidR="006F7F45" w:rsidRDefault="005D2748">
      <w:pPr>
        <w:pStyle w:val="ListBullet"/>
        <w:rPr>
          <w:rFonts w:hint="eastAsia"/>
        </w:rPr>
      </w:pPr>
      <w:r>
        <w:t>Digital poster and print-on-demand brochure.</w:t>
      </w:r>
    </w:p>
    <w:p w14:paraId="79013B22" w14:textId="77777777" w:rsidR="006F7F45" w:rsidRDefault="005D2748">
      <w:pPr>
        <w:pStyle w:val="ListBullet"/>
        <w:rPr>
          <w:rFonts w:hint="eastAsia"/>
        </w:rPr>
      </w:pPr>
      <w:r>
        <w:t>Press-release templates and media kit.</w:t>
      </w:r>
    </w:p>
    <w:p w14:paraId="3F46835C" w14:textId="77777777" w:rsidR="006F7F45" w:rsidRDefault="005D2748">
      <w:pPr>
        <w:pStyle w:val="ListBullet"/>
        <w:rPr>
          <w:rFonts w:hint="eastAsia"/>
        </w:rPr>
      </w:pPr>
      <w:r>
        <w:t>Explainer visuals, diagrams and frequently asked questions.</w:t>
      </w:r>
    </w:p>
    <w:p w14:paraId="0F2A2B94" w14:textId="77777777" w:rsidR="006F7F45" w:rsidRDefault="005D2748">
      <w:pPr>
        <w:pStyle w:val="ListBullet"/>
        <w:rPr>
          <w:rFonts w:hint="eastAsia"/>
        </w:rPr>
      </w:pPr>
      <w:r>
        <w:t>Project-concept and demonstrator videos, captions and transcripts.</w:t>
      </w:r>
    </w:p>
    <w:p w14:paraId="5FD6875C" w14:textId="77777777" w:rsidR="006F7F45" w:rsidRDefault="005D2748">
      <w:pPr>
        <w:pStyle w:val="ListBullet"/>
        <w:rPr>
          <w:rFonts w:hint="eastAsia"/>
        </w:rPr>
      </w:pPr>
      <w:r>
        <w:t>Partner-localised or translated variants.</w:t>
      </w:r>
    </w:p>
    <w:p w14:paraId="4413AFE9" w14:textId="77777777" w:rsidR="006F7F45" w:rsidRDefault="005D2748">
      <w:pPr>
        <w:pStyle w:val="ListBullet"/>
        <w:rPr>
          <w:rFonts w:hint="eastAsia"/>
        </w:rPr>
      </w:pPr>
      <w:r>
        <w:t>Asset versioning, storage and approval.</w:t>
      </w:r>
    </w:p>
    <w:p w14:paraId="42504F2B" w14:textId="77777777" w:rsidR="006F7F45" w:rsidRDefault="005D2748">
      <w:pPr>
        <w:pStyle w:val="Heading1"/>
      </w:pPr>
      <w:r>
        <w:t>8. Digital media and editorial calendar</w:t>
      </w:r>
    </w:p>
    <w:p w14:paraId="1DF9F014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Create a regular, coordinated stream of project updates.</w:t>
      </w:r>
    </w:p>
    <w:p w14:paraId="187BDF5F" w14:textId="77777777" w:rsidR="006F7F45" w:rsidRDefault="005D2748">
      <w:pPr>
        <w:pStyle w:val="ListBullet"/>
        <w:rPr>
          <w:rFonts w:hint="eastAsia"/>
        </w:rPr>
      </w:pPr>
      <w:r>
        <w:t>Approved social and professional channels and account ownership.</w:t>
      </w:r>
    </w:p>
    <w:p w14:paraId="63350A83" w14:textId="77777777" w:rsidR="006F7F45" w:rsidRDefault="005D2748">
      <w:pPr>
        <w:pStyle w:val="ListBullet"/>
        <w:rPr>
          <w:rFonts w:hint="eastAsia"/>
        </w:rPr>
      </w:pPr>
      <w:r>
        <w:t>Content categories: milestones, people, technical explainers, events, publications, demonstrators and impact stories.</w:t>
      </w:r>
    </w:p>
    <w:p w14:paraId="04E13CFA" w14:textId="77777777" w:rsidR="006F7F45" w:rsidRDefault="005D2748">
      <w:pPr>
        <w:pStyle w:val="ListBullet"/>
        <w:rPr>
          <w:rFonts w:hint="eastAsia"/>
        </w:rPr>
      </w:pPr>
      <w:r>
        <w:t>Posting cadence and rolling editorial calendar.</w:t>
      </w:r>
    </w:p>
    <w:p w14:paraId="4FED0030" w14:textId="77777777" w:rsidR="006F7F45" w:rsidRDefault="005D2748">
      <w:pPr>
        <w:pStyle w:val="ListBullet"/>
        <w:rPr>
          <w:rFonts w:hint="eastAsia"/>
        </w:rPr>
      </w:pPr>
      <w:r>
        <w:t>Hashtags, tagging, partner amplification and community management.</w:t>
      </w:r>
    </w:p>
    <w:p w14:paraId="522D0236" w14:textId="77777777" w:rsidR="006F7F45" w:rsidRDefault="005D2748">
      <w:pPr>
        <w:pStyle w:val="ListBullet"/>
        <w:rPr>
          <w:rFonts w:hint="eastAsia"/>
        </w:rPr>
      </w:pPr>
      <w:r>
        <w:t>Response and moderation rules for questions or criticism.</w:t>
      </w:r>
    </w:p>
    <w:p w14:paraId="23BAA41E" w14:textId="77777777" w:rsidR="006F7F45" w:rsidRDefault="005D2748">
      <w:pPr>
        <w:pStyle w:val="ListBullet"/>
        <w:rPr>
          <w:rFonts w:hint="eastAsia"/>
        </w:rPr>
      </w:pPr>
      <w:r>
        <w:t>Campaigns around key milestones and demonstrator launches.</w:t>
      </w:r>
    </w:p>
    <w:p w14:paraId="4A36C5D9" w14:textId="77777777" w:rsidR="006F7F45" w:rsidRDefault="005D2748">
      <w:pPr>
        <w:pStyle w:val="Heading1"/>
      </w:pPr>
      <w:r>
        <w:t>9. Media relations and public events</w:t>
      </w:r>
    </w:p>
    <w:p w14:paraId="32510374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Prepare proactive and reactive engagement with external audiences.</w:t>
      </w:r>
    </w:p>
    <w:p w14:paraId="68FE4903" w14:textId="77777777" w:rsidR="006F7F45" w:rsidRDefault="005D2748">
      <w:pPr>
        <w:pStyle w:val="ListBullet"/>
        <w:rPr>
          <w:rFonts w:hint="eastAsia"/>
        </w:rPr>
      </w:pPr>
      <w:r>
        <w:t>Media list and trade-press priorities.</w:t>
      </w:r>
    </w:p>
    <w:p w14:paraId="7E43EA0D" w14:textId="77777777" w:rsidR="006F7F45" w:rsidRDefault="005D2748">
      <w:pPr>
        <w:pStyle w:val="ListBullet"/>
        <w:rPr>
          <w:rFonts w:hint="eastAsia"/>
        </w:rPr>
      </w:pPr>
      <w:r>
        <w:t>Press-release approval and spokesperson protocol.</w:t>
      </w:r>
    </w:p>
    <w:p w14:paraId="0E76FF7E" w14:textId="77777777" w:rsidR="006F7F45" w:rsidRDefault="005D2748">
      <w:pPr>
        <w:pStyle w:val="ListBullet"/>
        <w:rPr>
          <w:rFonts w:hint="eastAsia"/>
        </w:rPr>
      </w:pPr>
      <w:r>
        <w:t>Briefings, interviews, open days, demonstrations and public workshops.</w:t>
      </w:r>
    </w:p>
    <w:p w14:paraId="0634478A" w14:textId="77777777" w:rsidR="006F7F45" w:rsidRDefault="005D2748">
      <w:pPr>
        <w:pStyle w:val="ListBullet"/>
        <w:rPr>
          <w:rFonts w:hint="eastAsia"/>
        </w:rPr>
      </w:pPr>
      <w:r>
        <w:t>Coordination with trade fairs and scientific events without duplicating Task 8.2 reporting.</w:t>
      </w:r>
    </w:p>
    <w:p w14:paraId="1EA9268B" w14:textId="77777777" w:rsidR="006F7F45" w:rsidRDefault="005D2748">
      <w:pPr>
        <w:pStyle w:val="ListBullet"/>
        <w:rPr>
          <w:rFonts w:hint="eastAsia"/>
        </w:rPr>
      </w:pPr>
      <w:r>
        <w:t>Media monitoring and correction of inaccuracies.</w:t>
      </w:r>
    </w:p>
    <w:p w14:paraId="5A3858D1" w14:textId="77777777" w:rsidR="006F7F45" w:rsidRDefault="005D2748">
      <w:pPr>
        <w:pStyle w:val="Heading1"/>
      </w:pPr>
      <w:r>
        <w:t>10. Governance and publication workflow</w:t>
      </w:r>
    </w:p>
    <w:p w14:paraId="3EB43E37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Define who creates, reviews, approves and publishes content.</w:t>
      </w:r>
    </w:p>
    <w:p w14:paraId="23C39A3A" w14:textId="77777777" w:rsidR="006F7F45" w:rsidRDefault="005D2748">
      <w:pPr>
        <w:pStyle w:val="ListBullet"/>
        <w:rPr>
          <w:rFonts w:hint="eastAsia"/>
        </w:rPr>
      </w:pPr>
      <w:r>
        <w:t>Communication lead and partner communication contacts.</w:t>
      </w:r>
    </w:p>
    <w:p w14:paraId="2200592C" w14:textId="77777777" w:rsidR="006F7F45" w:rsidRDefault="005D2748">
      <w:pPr>
        <w:pStyle w:val="ListBullet"/>
        <w:rPr>
          <w:rFonts w:hint="eastAsia"/>
        </w:rPr>
      </w:pPr>
      <w:r>
        <w:t>Content request, drafting, technical review, legal/IPR review and final approval.</w:t>
      </w:r>
    </w:p>
    <w:p w14:paraId="0269A602" w14:textId="77777777" w:rsidR="006F7F45" w:rsidRDefault="005D2748">
      <w:pPr>
        <w:pStyle w:val="ListBullet"/>
        <w:rPr>
          <w:rFonts w:hint="eastAsia"/>
        </w:rPr>
      </w:pPr>
      <w:r>
        <w:t>Service levels and urgent-publication procedure.</w:t>
      </w:r>
    </w:p>
    <w:p w14:paraId="2A1256F8" w14:textId="77777777" w:rsidR="006F7F45" w:rsidRDefault="005D2748">
      <w:pPr>
        <w:pStyle w:val="ListBullet"/>
        <w:rPr>
          <w:rFonts w:hint="eastAsia"/>
        </w:rPr>
      </w:pPr>
      <w:r>
        <w:t>Confidentiality, embargoes, background/foreground ownership and partner attribution.</w:t>
      </w:r>
    </w:p>
    <w:p w14:paraId="1C9F4370" w14:textId="77777777" w:rsidR="006F7F45" w:rsidRDefault="005D2748">
      <w:pPr>
        <w:pStyle w:val="ListBullet"/>
        <w:rPr>
          <w:rFonts w:hint="eastAsia"/>
        </w:rPr>
      </w:pPr>
      <w:r>
        <w:t>Evidence archiving for periodic reporting.</w:t>
      </w:r>
    </w:p>
    <w:p w14:paraId="24EAD3EA" w14:textId="77777777" w:rsidR="006F7F45" w:rsidRDefault="005D2748">
      <w:pPr>
        <w:spacing w:before="40"/>
        <w:rPr>
          <w:rFonts w:hint="eastAsia"/>
        </w:rPr>
      </w:pPr>
      <w:r>
        <w:rPr>
          <w:b/>
        </w:rPr>
        <w:t>Recommended evidence / artefacts</w:t>
      </w:r>
    </w:p>
    <w:p w14:paraId="5FD082A3" w14:textId="77777777" w:rsidR="006F7F45" w:rsidRDefault="005D2748">
      <w:pPr>
        <w:pStyle w:val="ListBullet2"/>
        <w:rPr>
          <w:rFonts w:hint="eastAsia"/>
        </w:rPr>
      </w:pPr>
      <w:r>
        <w:t>Swim-lane workflow for routine posts, press releases and videos.</w:t>
      </w:r>
    </w:p>
    <w:p w14:paraId="5D307DC1" w14:textId="77777777" w:rsidR="006F7F45" w:rsidRDefault="005D2748">
      <w:pPr>
        <w:pStyle w:val="Heading1"/>
      </w:pPr>
      <w:r>
        <w:t>11. KPI framework and monitoring</w:t>
      </w:r>
    </w:p>
    <w:p w14:paraId="28554D73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Measure communication reach, engagement, quality and conversion.</w:t>
      </w:r>
    </w:p>
    <w:p w14:paraId="6B8903AD" w14:textId="77777777" w:rsidR="006F7F45" w:rsidRDefault="005D2748">
      <w:pPr>
        <w:pStyle w:val="ListBullet"/>
        <w:rPr>
          <w:rFonts w:hint="eastAsia"/>
        </w:rPr>
      </w:pPr>
      <w:r>
        <w:t>Output indicators: website/news items, posts, press releases, materials and videos produced.</w:t>
      </w:r>
    </w:p>
    <w:p w14:paraId="025EE7F5" w14:textId="77777777" w:rsidR="006F7F45" w:rsidRDefault="005D2748">
      <w:pPr>
        <w:pStyle w:val="ListBullet"/>
        <w:rPr>
          <w:rFonts w:hint="eastAsia"/>
        </w:rPr>
      </w:pPr>
      <w:r>
        <w:t>Reach indicators: page views, unique visitors, impressions, video views and media mentions.</w:t>
      </w:r>
    </w:p>
    <w:p w14:paraId="0DF548E5" w14:textId="77777777" w:rsidR="006F7F45" w:rsidRDefault="005D2748">
      <w:pPr>
        <w:pStyle w:val="ListBullet"/>
        <w:rPr>
          <w:rFonts w:hint="eastAsia"/>
        </w:rPr>
      </w:pPr>
      <w:r>
        <w:t>Engagement indicators: click-through, downloads, shares, comments, enquiries and event participation.</w:t>
      </w:r>
    </w:p>
    <w:p w14:paraId="15FA3716" w14:textId="77777777" w:rsidR="006F7F45" w:rsidRDefault="005D2748">
      <w:pPr>
        <w:pStyle w:val="ListBullet"/>
        <w:rPr>
          <w:rFonts w:hint="eastAsia"/>
        </w:rPr>
      </w:pPr>
      <w:r>
        <w:t>Audience-quality indicators: stakeholder type, geography and relevance.</w:t>
      </w:r>
    </w:p>
    <w:p w14:paraId="3B2012D2" w14:textId="77777777" w:rsidR="006F7F45" w:rsidRDefault="005D2748">
      <w:pPr>
        <w:pStyle w:val="ListBullet"/>
        <w:rPr>
          <w:rFonts w:hint="eastAsia"/>
        </w:rPr>
      </w:pPr>
      <w:r>
        <w:t>Qualitative feedback, sentiment and lessons learned.</w:t>
      </w:r>
    </w:p>
    <w:p w14:paraId="587ED53C" w14:textId="77777777" w:rsidR="006F7F45" w:rsidRDefault="005D2748">
      <w:pPr>
        <w:pStyle w:val="ListBullet"/>
        <w:rPr>
          <w:rFonts w:hint="eastAsia"/>
        </w:rPr>
      </w:pPr>
      <w:r>
        <w:t>Quarterly dashboard, target setting and corrective actions.</w:t>
      </w:r>
    </w:p>
    <w:p w14:paraId="14C73B90" w14:textId="77777777" w:rsidR="006F7F45" w:rsidRDefault="005D2748">
      <w:pPr>
        <w:pStyle w:val="Heading1"/>
      </w:pPr>
      <w:r>
        <w:lastRenderedPageBreak/>
        <w:t>12. Legal, ethics, accessibility and risk management</w:t>
      </w:r>
    </w:p>
    <w:p w14:paraId="3A44B1D8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Protect participants, partners and project credibility.</w:t>
      </w:r>
    </w:p>
    <w:p w14:paraId="78677D96" w14:textId="77777777" w:rsidR="006F7F45" w:rsidRDefault="005D2748">
      <w:pPr>
        <w:pStyle w:val="ListBullet"/>
        <w:rPr>
          <w:rFonts w:hint="eastAsia"/>
        </w:rPr>
      </w:pPr>
      <w:r>
        <w:t>GDPR, mailing-list consent, contact forms and analytics privacy.</w:t>
      </w:r>
    </w:p>
    <w:p w14:paraId="3549E6B1" w14:textId="77777777" w:rsidR="006F7F45" w:rsidRDefault="005D2748">
      <w:pPr>
        <w:pStyle w:val="ListBullet"/>
        <w:rPr>
          <w:rFonts w:hint="eastAsia"/>
        </w:rPr>
      </w:pPr>
      <w:r>
        <w:t>Photo/video consent for workers and demonstrator participants.</w:t>
      </w:r>
    </w:p>
    <w:p w14:paraId="6F23F03C" w14:textId="77777777" w:rsidR="006F7F45" w:rsidRDefault="005D2748">
      <w:pPr>
        <w:pStyle w:val="ListBullet"/>
        <w:rPr>
          <w:rFonts w:hint="eastAsia"/>
        </w:rPr>
      </w:pPr>
      <w:r>
        <w:t>Confidentiality, export/security concerns and IPR clearance.</w:t>
      </w:r>
    </w:p>
    <w:p w14:paraId="50C42921" w14:textId="77777777" w:rsidR="006F7F45" w:rsidRDefault="005D2748">
      <w:pPr>
        <w:pStyle w:val="ListBullet"/>
        <w:rPr>
          <w:rFonts w:hint="eastAsia"/>
        </w:rPr>
      </w:pPr>
      <w:r>
        <w:t>Accessibility of web, documents and audiovisual content.</w:t>
      </w:r>
    </w:p>
    <w:p w14:paraId="106AB03B" w14:textId="77777777" w:rsidR="006F7F45" w:rsidRDefault="005D2748">
      <w:pPr>
        <w:pStyle w:val="ListBullet"/>
        <w:rPr>
          <w:rFonts w:hint="eastAsia"/>
        </w:rPr>
      </w:pPr>
      <w:r>
        <w:t>Misinformation, hype, reputational risk and crisis-response procedure.</w:t>
      </w:r>
    </w:p>
    <w:p w14:paraId="67F787B8" w14:textId="77777777" w:rsidR="006F7F45" w:rsidRDefault="005D2748">
      <w:pPr>
        <w:pStyle w:val="ListBullet"/>
        <w:rPr>
          <w:rFonts w:hint="eastAsia"/>
        </w:rPr>
      </w:pPr>
      <w:r>
        <w:t>Safety communication that does not imply certification beyond evidence.</w:t>
      </w:r>
    </w:p>
    <w:p w14:paraId="1E1E9834" w14:textId="77777777" w:rsidR="006F7F45" w:rsidRDefault="005D2748">
      <w:pPr>
        <w:pStyle w:val="Heading1"/>
      </w:pPr>
      <w:r>
        <w:t>13. Implementation plan and resources</w:t>
      </w:r>
    </w:p>
    <w:p w14:paraId="16C1CE1F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Translate strategy into an actionable M1-M48 schedule.</w:t>
      </w:r>
    </w:p>
    <w:p w14:paraId="240D3CD3" w14:textId="77777777" w:rsidR="006F7F45" w:rsidRDefault="005D2748">
      <w:pPr>
        <w:pStyle w:val="ListBullet"/>
        <w:rPr>
          <w:rFonts w:hint="eastAsia"/>
        </w:rPr>
      </w:pPr>
      <w:r>
        <w:t>Start-up actions for website and core materials.</w:t>
      </w:r>
    </w:p>
    <w:p w14:paraId="2AE34205" w14:textId="77777777" w:rsidR="006F7F45" w:rsidRDefault="005D2748">
      <w:pPr>
        <w:pStyle w:val="ListBullet"/>
        <w:rPr>
          <w:rFonts w:hint="eastAsia"/>
        </w:rPr>
      </w:pPr>
      <w:r>
        <w:t>Annual/phase-based communication priorities.</w:t>
      </w:r>
    </w:p>
    <w:p w14:paraId="6B688BB6" w14:textId="77777777" w:rsidR="006F7F45" w:rsidRDefault="005D2748">
      <w:pPr>
        <w:pStyle w:val="ListBullet"/>
        <w:rPr>
          <w:rFonts w:hint="eastAsia"/>
        </w:rPr>
      </w:pPr>
      <w:r>
        <w:t>Roles, estimated effort, external suppliers and budget assumptions.</w:t>
      </w:r>
    </w:p>
    <w:p w14:paraId="24C4B36A" w14:textId="77777777" w:rsidR="006F7F45" w:rsidRDefault="005D2748">
      <w:pPr>
        <w:pStyle w:val="ListBullet"/>
        <w:rPr>
          <w:rFonts w:hint="eastAsia"/>
        </w:rPr>
      </w:pPr>
      <w:r>
        <w:t>Content dependencies on technical activities and demonstrators.</w:t>
      </w:r>
    </w:p>
    <w:p w14:paraId="2923AB5F" w14:textId="77777777" w:rsidR="006F7F45" w:rsidRDefault="005D2748">
      <w:pPr>
        <w:pStyle w:val="ListBullet"/>
        <w:rPr>
          <w:rFonts w:hint="eastAsia"/>
        </w:rPr>
      </w:pPr>
      <w:r>
        <w:t>Review points and plan updates.</w:t>
      </w:r>
    </w:p>
    <w:p w14:paraId="58722863" w14:textId="77777777" w:rsidR="006F7F45" w:rsidRDefault="005D2748">
      <w:pPr>
        <w:pStyle w:val="Heading1"/>
      </w:pPr>
      <w:r>
        <w:t>14. Conclusions and immediate actions</w:t>
      </w:r>
    </w:p>
    <w:p w14:paraId="2E8445BE" w14:textId="77777777" w:rsidR="006F7F45" w:rsidRDefault="005D2748">
      <w:pPr>
        <w:spacing w:after="80"/>
        <w:rPr>
          <w:rFonts w:hint="eastAsia"/>
        </w:rPr>
      </w:pPr>
      <w:r>
        <w:rPr>
          <w:b/>
          <w:color w:val="1F4E78"/>
        </w:rPr>
        <w:t xml:space="preserve">Section purpose: </w:t>
      </w:r>
      <w:r>
        <w:rPr>
          <w:i/>
          <w:sz w:val="19"/>
        </w:rPr>
        <w:t>Confirm ownership and the first communication actions.</w:t>
      </w:r>
    </w:p>
    <w:p w14:paraId="23745375" w14:textId="77777777" w:rsidR="006F7F45" w:rsidRDefault="005D2748">
      <w:pPr>
        <w:pStyle w:val="ListBullet"/>
        <w:rPr>
          <w:rFonts w:hint="eastAsia"/>
        </w:rPr>
      </w:pPr>
      <w:r>
        <w:t>Approved channel set and minimum launch package.</w:t>
      </w:r>
    </w:p>
    <w:p w14:paraId="40B26348" w14:textId="77777777" w:rsidR="006F7F45" w:rsidRDefault="005D2748">
      <w:pPr>
        <w:pStyle w:val="ListBullet"/>
        <w:rPr>
          <w:rFonts w:hint="eastAsia"/>
        </w:rPr>
      </w:pPr>
      <w:r>
        <w:t>Named content owners and approval contacts.</w:t>
      </w:r>
    </w:p>
    <w:p w14:paraId="16978857" w14:textId="77777777" w:rsidR="006F7F45" w:rsidRDefault="005D2748">
      <w:pPr>
        <w:pStyle w:val="ListBullet"/>
        <w:rPr>
          <w:rFonts w:hint="eastAsia"/>
        </w:rPr>
      </w:pPr>
      <w:r>
        <w:t>First three months of planned content.</w:t>
      </w:r>
    </w:p>
    <w:p w14:paraId="4E563A83" w14:textId="77777777" w:rsidR="006F7F45" w:rsidRDefault="005D2748">
      <w:pPr>
        <w:pStyle w:val="ListBullet"/>
        <w:rPr>
          <w:rFonts w:hint="eastAsia"/>
        </w:rPr>
      </w:pPr>
      <w:r>
        <w:t>Open decisions and due dates.</w:t>
      </w:r>
    </w:p>
    <w:p w14:paraId="5D0F8350" w14:textId="77777777" w:rsidR="006F7F45" w:rsidRDefault="005D2748">
      <w:pPr>
        <w:pStyle w:val="Heading1"/>
      </w:pPr>
      <w:r>
        <w:t>Completion checklist</w:t>
      </w:r>
    </w:p>
    <w:p w14:paraId="372D7818" w14:textId="77777777" w:rsidR="006F7F45" w:rsidRDefault="005D2748">
      <w:pPr>
        <w:pStyle w:val="ListBullet"/>
        <w:rPr>
          <w:rFonts w:hint="eastAsia"/>
        </w:rPr>
      </w:pPr>
      <w:r>
        <w:t>[ ] The final title, due date, lead beneficiary and dissemination level are confirmed.</w:t>
      </w:r>
    </w:p>
    <w:p w14:paraId="6664F700" w14:textId="77777777" w:rsidR="006F7F45" w:rsidRDefault="005D2748">
      <w:pPr>
        <w:pStyle w:val="ListBullet"/>
        <w:rPr>
          <w:rFonts w:hint="eastAsia"/>
        </w:rPr>
      </w:pPr>
      <w:r>
        <w:t>[ ] All claims are traceable to project records, scientific sources or test evidence.</w:t>
      </w:r>
    </w:p>
    <w:p w14:paraId="4A64A360" w14:textId="77777777" w:rsidR="006F7F45" w:rsidRDefault="005D2748">
      <w:pPr>
        <w:pStyle w:val="ListBullet"/>
        <w:rPr>
          <w:rFonts w:hint="eastAsia"/>
        </w:rPr>
      </w:pPr>
      <w:r>
        <w:t>[ ] Dependencies and contributions from other activities are explicitly acknowledged.</w:t>
      </w:r>
    </w:p>
    <w:p w14:paraId="11DC74B1" w14:textId="77777777" w:rsidR="006F7F45" w:rsidRDefault="005D2748">
      <w:pPr>
        <w:pStyle w:val="ListBullet"/>
        <w:rPr>
          <w:rFonts w:hint="eastAsia"/>
        </w:rPr>
      </w:pPr>
      <w:r>
        <w:t>[ ] KPIs have definitions, baselines, measurement methods and responsible owners.</w:t>
      </w:r>
    </w:p>
    <w:p w14:paraId="51756378" w14:textId="77777777" w:rsidR="006F7F45" w:rsidRDefault="005D2748">
      <w:pPr>
        <w:pStyle w:val="ListBullet"/>
        <w:rPr>
          <w:rFonts w:hint="eastAsia"/>
        </w:rPr>
      </w:pPr>
      <w:r>
        <w:t>[ ] Ethics, GDPR, safety, security and IPR considerations are addressed where applicable.</w:t>
      </w:r>
    </w:p>
    <w:p w14:paraId="1F75E323" w14:textId="77777777" w:rsidR="006F7F45" w:rsidRDefault="005D2748">
      <w:pPr>
        <w:pStyle w:val="ListBullet"/>
        <w:rPr>
          <w:rFonts w:hint="eastAsia"/>
        </w:rPr>
      </w:pPr>
      <w:r>
        <w:t>[ ] The document has passed internal technical, quality and management review.</w:t>
      </w:r>
    </w:p>
    <w:p w14:paraId="089788D0" w14:textId="77777777" w:rsidR="006F7F45" w:rsidRDefault="005D2748">
      <w:pPr>
        <w:pStyle w:val="Heading1"/>
      </w:pPr>
      <w:r>
        <w:t>Suggested annexes</w:t>
      </w:r>
    </w:p>
    <w:p w14:paraId="386857E6" w14:textId="77777777" w:rsidR="006F7F45" w:rsidRDefault="005D2748">
      <w:pPr>
        <w:pStyle w:val="ListBullet"/>
        <w:rPr>
          <w:rFonts w:hint="eastAsia"/>
        </w:rPr>
      </w:pPr>
      <w:r>
        <w:t>Annex A - Audience/channel/message matrix.</w:t>
      </w:r>
    </w:p>
    <w:p w14:paraId="1600DF36" w14:textId="77777777" w:rsidR="006F7F45" w:rsidRDefault="005D2748">
      <w:pPr>
        <w:pStyle w:val="ListBullet"/>
        <w:rPr>
          <w:rFonts w:hint="eastAsia"/>
        </w:rPr>
      </w:pPr>
      <w:r>
        <w:t>Annex B - Visual identity and editorial guidelines.</w:t>
      </w:r>
    </w:p>
    <w:p w14:paraId="3A7FC720" w14:textId="77777777" w:rsidR="006F7F45" w:rsidRDefault="005D2748">
      <w:pPr>
        <w:pStyle w:val="ListBullet"/>
        <w:rPr>
          <w:rFonts w:hint="eastAsia"/>
        </w:rPr>
      </w:pPr>
      <w:r>
        <w:t>Annex C - Website information architecture and publication workflow.</w:t>
      </w:r>
    </w:p>
    <w:p w14:paraId="5306EC6B" w14:textId="77777777" w:rsidR="006F7F45" w:rsidRDefault="005D2748">
      <w:pPr>
        <w:pStyle w:val="ListBullet"/>
        <w:rPr>
          <w:rFonts w:hint="eastAsia"/>
        </w:rPr>
      </w:pPr>
      <w:r>
        <w:t>Annex D - 12-month rolling content calendar.</w:t>
      </w:r>
    </w:p>
    <w:p w14:paraId="4BA89DE3" w14:textId="77777777" w:rsidR="006F7F45" w:rsidRDefault="005D2748">
      <w:pPr>
        <w:pStyle w:val="ListBullet"/>
        <w:rPr>
          <w:rFonts w:hint="eastAsia"/>
        </w:rPr>
      </w:pPr>
      <w:r>
        <w:t>Annex E - Communication KPI dashboard and evidence log.</w:t>
      </w:r>
    </w:p>
    <w:p w14:paraId="1EBDDF37" w14:textId="77777777" w:rsidR="006F7F45" w:rsidRDefault="005D2748">
      <w:pPr>
        <w:pStyle w:val="ListBullet"/>
        <w:rPr>
          <w:rFonts w:hint="eastAsia"/>
        </w:rPr>
      </w:pPr>
      <w:r>
        <w:t>Annex F - Press release, presentation, poster and brochure templates.</w:t>
      </w:r>
    </w:p>
    <w:p w14:paraId="7528FAF9" w14:textId="77777777" w:rsidR="006F7F45" w:rsidRDefault="005D2748">
      <w:pPr>
        <w:pStyle w:val="ListBullet"/>
        <w:rPr>
          <w:rFonts w:hint="eastAsia"/>
        </w:rPr>
      </w:pPr>
      <w:r>
        <w:t>Annex G - Photo/video consent and content-approval forms.</w:t>
      </w:r>
    </w:p>
    <w:p w14:paraId="403112ED" w14:textId="77777777" w:rsidR="006F7F45" w:rsidRDefault="005D2748">
      <w:pPr>
        <w:pStyle w:val="Heading1"/>
      </w:pPr>
      <w:r>
        <w:t>Source mapping</w:t>
      </w:r>
    </w:p>
    <w:p w14:paraId="35AFDA4D" w14:textId="77777777" w:rsidR="006F7F45" w:rsidRDefault="005D2748">
      <w:pPr>
        <w:rPr>
          <w:rFonts w:hint="eastAsia"/>
        </w:rPr>
      </w:pPr>
      <w:r>
        <w:rPr>
          <w:b/>
        </w:rPr>
        <w:t xml:space="preserve">Primary project-description basis: </w:t>
      </w:r>
      <w:r>
        <w:t>Section E.3, pp. 47-48; broader impact and exploitation context in Section D.</w:t>
      </w:r>
    </w:p>
    <w:p w14:paraId="36568B66" w14:textId="77777777" w:rsidR="006F7F45" w:rsidRDefault="005D2748">
      <w:pPr>
        <w:rPr>
          <w:rFonts w:hint="eastAsia"/>
        </w:rPr>
      </w:pPr>
      <w:r>
        <w:rPr>
          <w:b/>
        </w:rPr>
        <w:t xml:space="preserve">Boundary note: </w:t>
      </w:r>
      <w:r>
        <w:t>D8.1 should cover communication to the public and project visibility. Scientific dissemination belongs mainly to Task 8.2, while market analysis, exploitable results and IPR strategy belong to Task 8.3.</w:t>
      </w:r>
    </w:p>
    <w:sectPr w:rsidR="006F7F45" w:rsidSect="00034616">
      <w:headerReference w:type="default" r:id="rId11"/>
      <w:footerReference w:type="default" r:id="rId12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10892" w14:textId="77777777" w:rsidR="005D2748" w:rsidRDefault="005D27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581393" w14:textId="77777777" w:rsidR="005D2748" w:rsidRDefault="005D27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99B29" w14:textId="77777777" w:rsidR="006F7F45" w:rsidRDefault="006F7F45">
    <w:pPr>
      <w:pStyle w:val="Footer"/>
      <w:rPr>
        <w:rFonts w:hint="eastAsia"/>
      </w:rPr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819"/>
      <w:gridCol w:w="4819"/>
    </w:tblGrid>
    <w:tr w:rsidR="006F7F45" w14:paraId="7F8D9E0C" w14:textId="77777777">
      <w:tc>
        <w:tcPr>
          <w:tcW w:w="4819" w:type="dxa"/>
        </w:tcPr>
        <w:p w14:paraId="31421371" w14:textId="77777777" w:rsidR="006F7F45" w:rsidRDefault="005D2748">
          <w:pPr>
            <w:rPr>
              <w:rFonts w:hint="eastAsia"/>
            </w:rPr>
          </w:pPr>
          <w:r>
            <w:rPr>
              <w:color w:val="667788"/>
              <w:sz w:val="15"/>
            </w:rPr>
            <w:t>Planning for Artificial Robotic Intelligence and Beyond | 20 July 2026</w:t>
          </w:r>
        </w:p>
      </w:tc>
      <w:tc>
        <w:tcPr>
          <w:tcW w:w="4819" w:type="dxa"/>
        </w:tcPr>
        <w:p w14:paraId="4EF09B96" w14:textId="17B86656" w:rsidR="006F7F45" w:rsidRDefault="005D2748">
          <w:pPr>
            <w:jc w:val="right"/>
            <w:rPr>
              <w:rFonts w:hint="eastAsia"/>
            </w:rPr>
          </w:pPr>
          <w:r>
            <w:rPr>
              <w:sz w:val="16"/>
            </w:rPr>
            <w:t xml:space="preserve">Page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 w:rsidR="00F434A7">
            <w:rPr>
              <w:sz w:val="16"/>
            </w:rPr>
            <w:fldChar w:fldCharType="separate"/>
          </w:r>
          <w:r w:rsidR="00F434A7"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8633" w14:textId="77777777" w:rsidR="005D2748" w:rsidRDefault="005D27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6D22FD" w14:textId="77777777" w:rsidR="005D2748" w:rsidRDefault="005D27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BB60" w14:textId="77777777" w:rsidR="006F7F45" w:rsidRDefault="006F7F45">
    <w:pPr>
      <w:pStyle w:val="Header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19"/>
      <w:gridCol w:w="4819"/>
    </w:tblGrid>
    <w:tr w:rsidR="006F7F45" w14:paraId="2253C9C4" w14:textId="77777777">
      <w:trPr>
        <w:jc w:val="center"/>
      </w:trPr>
      <w:tc>
        <w:tcPr>
          <w:tcW w:w="4819" w:type="dxa"/>
          <w:shd w:val="clear" w:color="auto" w:fill="1F4E78"/>
          <w:tcMar>
            <w:top w:w="55" w:type="dxa"/>
            <w:left w:w="90" w:type="dxa"/>
            <w:bottom w:w="55" w:type="dxa"/>
            <w:right w:w="90" w:type="dxa"/>
          </w:tcMar>
          <w:vAlign w:val="center"/>
        </w:tcPr>
        <w:p w14:paraId="52A71396" w14:textId="77777777" w:rsidR="006F7F45" w:rsidRDefault="005D2748">
          <w:pPr>
            <w:rPr>
              <w:rFonts w:hint="eastAsia"/>
            </w:rPr>
          </w:pPr>
          <w:r>
            <w:rPr>
              <w:b/>
              <w:color w:val="FFFFFF"/>
              <w:sz w:val="18"/>
            </w:rPr>
            <w:t>PLAN4ARI</w:t>
          </w:r>
        </w:p>
      </w:tc>
      <w:tc>
        <w:tcPr>
          <w:tcW w:w="4819" w:type="dxa"/>
          <w:shd w:val="clear" w:color="auto" w:fill="1F4E78"/>
          <w:tcMar>
            <w:top w:w="55" w:type="dxa"/>
            <w:left w:w="90" w:type="dxa"/>
            <w:bottom w:w="55" w:type="dxa"/>
            <w:right w:w="90" w:type="dxa"/>
          </w:tcMar>
          <w:vAlign w:val="center"/>
        </w:tcPr>
        <w:p w14:paraId="6EA746CB" w14:textId="77777777" w:rsidR="006F7F45" w:rsidRDefault="005D2748">
          <w:pPr>
            <w:jc w:val="right"/>
            <w:rPr>
              <w:rFonts w:hint="eastAsia"/>
            </w:rPr>
          </w:pPr>
          <w:r>
            <w:rPr>
              <w:color w:val="FFFFFF"/>
              <w:sz w:val="17"/>
            </w:rPr>
            <w:t>Deliverable D8.1 - Draft Outline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635442">
    <w:abstractNumId w:val="8"/>
  </w:num>
  <w:num w:numId="2" w16cid:durableId="1036151166">
    <w:abstractNumId w:val="6"/>
  </w:num>
  <w:num w:numId="3" w16cid:durableId="811675205">
    <w:abstractNumId w:val="5"/>
  </w:num>
  <w:num w:numId="4" w16cid:durableId="1302468248">
    <w:abstractNumId w:val="4"/>
  </w:num>
  <w:num w:numId="5" w16cid:durableId="47847447">
    <w:abstractNumId w:val="7"/>
  </w:num>
  <w:num w:numId="6" w16cid:durableId="1050693220">
    <w:abstractNumId w:val="3"/>
  </w:num>
  <w:num w:numId="7" w16cid:durableId="1782870979">
    <w:abstractNumId w:val="2"/>
  </w:num>
  <w:num w:numId="8" w16cid:durableId="1817068248">
    <w:abstractNumId w:val="1"/>
  </w:num>
  <w:num w:numId="9" w16cid:durableId="196407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2748"/>
    <w:rsid w:val="006F7F45"/>
    <w:rsid w:val="00AA1D8D"/>
    <w:rsid w:val="00B47730"/>
    <w:rsid w:val="00CA025F"/>
    <w:rsid w:val="00CB0664"/>
    <w:rsid w:val="00F434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6DA4216-108C-4CA2-9FFF-44048A49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24374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2" w:lineRule="auto"/>
      <w:contextualSpacing/>
    </w:pPr>
    <w:rPr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19B0B20B3DE41BEF41CFACEAC753C" ma:contentTypeVersion="10" ma:contentTypeDescription="Create a new document." ma:contentTypeScope="" ma:versionID="9f20efac135d8cfdd2fa348af50dfbde">
  <xsd:schema xmlns:xsd="http://www.w3.org/2001/XMLSchema" xmlns:xs="http://www.w3.org/2001/XMLSchema" xmlns:p="http://schemas.microsoft.com/office/2006/metadata/properties" xmlns:ns2="1def4e5e-247f-4a89-b7e5-1968c509544b" xmlns:ns3="d533452b-9663-4522-a270-ae8d05891bde" targetNamespace="http://schemas.microsoft.com/office/2006/metadata/properties" ma:root="true" ma:fieldsID="79fea841e550a97224ba8a6d213143fe" ns2:_="" ns3:_="">
    <xsd:import namespace="1def4e5e-247f-4a89-b7e5-1968c509544b"/>
    <xsd:import namespace="d533452b-9663-4522-a270-ae8d05891b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f4e5e-247f-4a89-b7e5-1968c50954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505f8f-da62-40e5-a116-f08e70031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452b-9663-4522-a270-ae8d05891b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ffd63e-dad7-4922-9072-1c4c28cd6dac}" ma:internalName="TaxCatchAll" ma:showField="CatchAllData" ma:web="d533452b-9663-4522-a270-ae8d05891b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ef4e5e-247f-4a89-b7e5-1968c509544b">
      <Terms xmlns="http://schemas.microsoft.com/office/infopath/2007/PartnerControls"/>
    </lcf76f155ced4ddcb4097134ff3c332f>
    <TaxCatchAll xmlns="d533452b-9663-4522-a270-ae8d05891bd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18BEE7-A502-467C-9F2F-EAE89A7FED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ef4e5e-247f-4a89-b7e5-1968c509544b"/>
    <ds:schemaRef ds:uri="d533452b-9663-4522-a270-ae8d05891b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CB774E-A75E-4EFA-A013-4BF3432771CF}">
  <ds:schemaRefs>
    <ds:schemaRef ds:uri="http://schemas.microsoft.com/office/2006/metadata/properties"/>
    <ds:schemaRef ds:uri="http://schemas.microsoft.com/office/infopath/2007/PartnerControls"/>
    <ds:schemaRef ds:uri="1def4e5e-247f-4a89-b7e5-1968c509544b"/>
    <ds:schemaRef ds:uri="d533452b-9663-4522-a270-ae8d05891bde"/>
  </ds:schemaRefs>
</ds:datastoreItem>
</file>

<file path=customXml/itemProps4.xml><?xml version="1.0" encoding="utf-8"?>
<ds:datastoreItem xmlns:ds="http://schemas.openxmlformats.org/officeDocument/2006/customXml" ds:itemID="{7AC061FE-7FAB-4D5E-ABBC-DB9301EECE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1601</Words>
  <Characters>9127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Plan4ARI Deliverable D8.1 - Communication Strategy, Channels and Materials Plan - Draft Outline</dc:title>
  <dc:subject>Draft deliverable outline based on the Plan4ARI Project Description</dc:subject>
  <dc:creator>OpenAI</dc:creator>
  <cp:keywords>Plan4ARI, deliverable, outline, robotics, FISA</cp:keywords>
  <dc:description>generated by python-docx</dc:description>
  <cp:lastModifiedBy>NICOLA PEDROCCHI</cp:lastModifiedBy>
  <cp:revision>2</cp:revision>
  <dcterms:created xsi:type="dcterms:W3CDTF">2013-12-23T23:15:00Z</dcterms:created>
  <dcterms:modified xsi:type="dcterms:W3CDTF">2026-07-20T22:46:00Z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0x01010093319B0B20B3DE41BEF41CFACEAC753C</vt:lpwstr>
  </property>
  <property fmtid="{D5CDD505-2E9C-101B-9397-08002B2CF9AE}" pid="3" name="GrammarlyDocumentId">
    <vt:lpwstr>cb570966-f412-40a7-baed-6fef79fb0322</vt:lpwstr>
  </property>
  <property fmtid="{D5CDD505-2E9C-101B-9397-08002B2CF9AE}" pid="4" name="MediaServiceImageTags">
    <vt:lpwstr/>
  </property>
</Properties>
</file>