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75" w:lineRule="auto"/>
        <w:jc w:val="center"/>
        <w:rPr>
          <w:rFonts w:ascii="Arial" w:cs="Arial" w:eastAsia="Arial" w:hAnsi="Arial"/>
          <w:color w:val="1b3a4b"/>
        </w:rPr>
      </w:pPr>
      <w:r w:rsidDel="00000000" w:rsidR="00000000" w:rsidRPr="00000000">
        <w:rPr>
          <w:rFonts w:ascii="Arial" w:cs="Arial" w:eastAsia="Arial" w:hAnsi="Arial"/>
          <w:color w:val="1b3a4b"/>
          <w:rtl w:val="0"/>
        </w:rPr>
        <w:t xml:space="preserve">RELAZIONE TECNICA E PREVENTIVO ECONOMICO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300" w:before="0" w:lineRule="auto"/>
        <w:jc w:val="center"/>
        <w:rPr>
          <w:rFonts w:ascii="Arial" w:cs="Arial" w:eastAsia="Arial" w:hAnsi="Arial"/>
          <w:color w:val="3a86c8"/>
        </w:rPr>
      </w:pPr>
      <w:r w:rsidDel="00000000" w:rsidR="00000000" w:rsidRPr="00000000">
        <w:rPr>
          <w:rFonts w:ascii="Arial" w:cs="Arial" w:eastAsia="Arial" w:hAnsi="Arial"/>
          <w:color w:val="3a86c8"/>
          <w:rtl w:val="0"/>
        </w:rPr>
        <w:t xml:space="preserve">PROGETTO DI AMMODERNAMENTO INFRASTRUTTURA IT SCOLASTICA</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872"/>
        <w:gridCol w:w="4212"/>
        <w:gridCol w:w="936"/>
        <w:gridCol w:w="2340"/>
        <w:tblGridChange w:id="0">
          <w:tblGrid>
            <w:gridCol w:w="1872"/>
            <w:gridCol w:w="4212"/>
            <w:gridCol w:w="936"/>
            <w:gridCol w:w="2340"/>
          </w:tblGrid>
        </w:tblGridChange>
      </w:tblGrid>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Responsabile Progetto: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Data: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____________________</w:t>
            </w:r>
          </w:p>
        </w:tc>
      </w:tr>
    </w:tbl>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450" w:line="300" w:lineRule="auto"/>
        <w:rPr>
          <w:rFonts w:ascii="Arial" w:cs="Arial" w:eastAsia="Arial" w:hAnsi="Arial"/>
          <w:color w:val="1b3a4b"/>
        </w:rPr>
      </w:pPr>
      <w:r w:rsidDel="00000000" w:rsidR="00000000" w:rsidRPr="00000000">
        <w:rPr>
          <w:rFonts w:ascii="Arial" w:cs="Arial" w:eastAsia="Arial" w:hAnsi="Arial"/>
          <w:color w:val="1b3a4b"/>
          <w:rtl w:val="0"/>
        </w:rPr>
        <w:t xml:space="preserve">1. INQUADRAMENTO GENERALE DEL PROGETTO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75" w:line="300" w:lineRule="auto"/>
        <w:jc w:val="both"/>
        <w:rPr>
          <w:rFonts w:ascii="Arial" w:cs="Arial" w:eastAsia="Arial" w:hAnsi="Arial"/>
        </w:rPr>
      </w:pPr>
      <w:r w:rsidDel="00000000" w:rsidR="00000000" w:rsidRPr="00000000">
        <w:rPr>
          <w:rFonts w:ascii="Arial" w:cs="Arial" w:eastAsia="Arial" w:hAnsi="Arial"/>
          <w:rtl w:val="0"/>
        </w:rPr>
        <w:t xml:space="preserve">La presente relazione tecnica definisce in modo analitico le specifiche d'acquisto, i criteri di dimensionamento hardware e i costi di implementazione per il rifacimento integrale dell'infrastruttura informatica d'istituto. Il progetto è mirato all'allestimento di un laboratorio didattico multimediale ad alta disponibilità composto da 25 postazioni allievo simultanee e una postazione docente dotata di funzionalità server, interconnesse mediante apparati di rete gestibili ad alte prestazioni ed estese all'accesso mobile tramite wireless strutturato.</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1b3a4b"/>
        </w:rPr>
      </w:pPr>
      <w:r w:rsidDel="00000000" w:rsidR="00000000" w:rsidRPr="00000000">
        <w:rPr>
          <w:rFonts w:ascii="Arial" w:cs="Arial" w:eastAsia="Arial" w:hAnsi="Arial"/>
          <w:color w:val="1b3a4b"/>
          <w:rtl w:val="0"/>
        </w:rPr>
        <w:t xml:space="preserve">2. ARCHITETTURA DI RETE E DISPOSITIVI ATTIVI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L'architettura logica ricalca un modello di routing inter-VLAN gerarchico (Router-on-a-stick) volto a garantire il perfetto isolamento dei domini di collisione e la sicurezza dei flussi dati d'istituto. La topologia hardware da implementare all'interno del software di simulazione e nell'impianto fisico comprende i seguenti dispositivi:</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Router Centrale (PT-Router):</w:t>
      </w:r>
      <w:r w:rsidDel="00000000" w:rsidR="00000000" w:rsidRPr="00000000">
        <w:rPr>
          <w:rFonts w:ascii="Arial" w:cs="Arial" w:eastAsia="Arial" w:hAnsi="Arial"/>
          <w:rtl w:val="0"/>
        </w:rPr>
        <w:t xml:space="preserve"> Unità centrale deputata al controllo dei canali di comunicazione, equipaggiata con 5 interfacce fisiche Gigabit Ethernet uguali (CGE). Gestisce l'instradamento logico tra i diversi quartieri e funge da Default Gateway primario per l'intera sottorete scolastica.</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Switch di Distribuzione (Modello 2960):</w:t>
      </w:r>
      <w:r w:rsidDel="00000000" w:rsidR="00000000" w:rsidRPr="00000000">
        <w:rPr>
          <w:rFonts w:ascii="Arial" w:cs="Arial" w:eastAsia="Arial" w:hAnsi="Arial"/>
          <w:rtl w:val="0"/>
        </w:rPr>
        <w:t xml:space="preserve"> Apparato di commutazione a 24 porte FastEthernet e 2 porte uplink Gigabit Ethernet, interconnesso direttamente in dorsale con il router per convogliare il traffico delle postazioni fisse dei laboratori ad azzeramento dei colli di bottiglia.</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Access Point Wi-Fi (AP-PT):</w:t>
      </w:r>
      <w:r w:rsidDel="00000000" w:rsidR="00000000" w:rsidRPr="00000000">
        <w:rPr>
          <w:rFonts w:ascii="Arial" w:cs="Arial" w:eastAsia="Arial" w:hAnsi="Arial"/>
          <w:rtl w:val="0"/>
        </w:rPr>
        <w:t xml:space="preserve"> Due unità di trasmissione wireless a doppia banda (Dual-Band AC/AX) disposte strategicamente per coprire le aree mobili destinate a laptop docenti, tablet e dispositivi mobili degli studenti, collegate a rami logici dedicati del router.</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375" w:line="300" w:lineRule="auto"/>
        <w:rPr>
          <w:rFonts w:ascii="Arial" w:cs="Arial" w:eastAsia="Arial" w:hAnsi="Arial"/>
          <w:color w:val="1b3a4b"/>
        </w:rPr>
      </w:pPr>
      <w:r w:rsidDel="00000000" w:rsidR="00000000" w:rsidRPr="00000000">
        <w:rPr>
          <w:rFonts w:ascii="Arial" w:cs="Arial" w:eastAsia="Arial" w:hAnsi="Arial"/>
          <w:color w:val="1b3a4b"/>
          <w:rtl w:val="0"/>
        </w:rPr>
        <w:t xml:space="preserve">3. STRUTTURA DEL CABLAGGIO ED ELEMENTI PASSIVI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Il network adotta uno standard di cablaggio strutturato orizzontale in rame per garantire la massima stabilità dei pacchetti diagnostici ed eliminare perdite di segnale dovute ad interferenze elettromagnetiche. I materiali passivi inclusi nella fornitura comprendono:</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Cavo LAN in Matassa:</w:t>
      </w:r>
      <w:r w:rsidDel="00000000" w:rsidR="00000000" w:rsidRPr="00000000">
        <w:rPr>
          <w:rFonts w:ascii="Arial" w:cs="Arial" w:eastAsia="Arial" w:hAnsi="Arial"/>
          <w:rtl w:val="0"/>
        </w:rPr>
        <w:t xml:space="preserve"> Cavo UTP (Unshielded Twisted Pair) di Categoria 5e o Categoria 6 in matasse da 305 metri, idoneo a supportare frequenze operative e bande passanti fino a 1 Gbps su tratte inferiori a 100 metri.</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Connettori RJ45:</w:t>
      </w:r>
      <w:r w:rsidDel="00000000" w:rsidR="00000000" w:rsidRPr="00000000">
        <w:rPr>
          <w:rFonts w:ascii="Arial" w:cs="Arial" w:eastAsia="Arial" w:hAnsi="Arial"/>
          <w:rtl w:val="0"/>
        </w:rPr>
        <w:t xml:space="preserve"> Plug trasparenti standard ad alta conducibilità meccanica dotati di pin placcati in oro per assicurare la perfetta stabilità fisica e contatti elettrici costanti a seguito della crimpatura.</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Armadio Rack 19" e Accessori:</w:t>
      </w:r>
      <w:r w:rsidDel="00000000" w:rsidR="00000000" w:rsidRPr="00000000">
        <w:rPr>
          <w:rFonts w:ascii="Arial" w:cs="Arial" w:eastAsia="Arial" w:hAnsi="Arial"/>
          <w:rtl w:val="0"/>
        </w:rPr>
        <w:t xml:space="preserve"> Struttura di contenimento a muro da 9U provvista di ventole interne di estrazione aria, multipresa di alimentazione protetta e Patch Panel a 24 porte per la permutazione ordinata dei cavi provenienti dalle postazioni.</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375" w:line="300" w:lineRule="auto"/>
        <w:rPr>
          <w:rFonts w:ascii="Arial" w:cs="Arial" w:eastAsia="Arial" w:hAnsi="Arial"/>
          <w:color w:val="1b3a4b"/>
        </w:rPr>
      </w:pPr>
      <w:r w:rsidDel="00000000" w:rsidR="00000000" w:rsidRPr="00000000">
        <w:rPr>
          <w:rFonts w:ascii="Arial" w:cs="Arial" w:eastAsia="Arial" w:hAnsi="Arial"/>
          <w:color w:val="1b3a4b"/>
          <w:rtl w:val="0"/>
        </w:rPr>
        <w:t xml:space="preserve">4. PIANO DEI SERVIZI E COMPUTO DELLA MANO D'OPERA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La messa in funzione dell'impianto IT richiede l'intervento qualificato di tecnici installatori e ingegneri di rete. Le attività lavorative necessarie sono formalizzate in due macro-fasi distinte a tariffazione oraria specialistica:</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Posa Hardware e Cablaggio Fisico (16 Ore stimate):</w:t>
      </w:r>
      <w:r w:rsidDel="00000000" w:rsidR="00000000" w:rsidRPr="00000000">
        <w:rPr>
          <w:rFonts w:ascii="Arial" w:cs="Arial" w:eastAsia="Arial" w:hAnsi="Arial"/>
          <w:rtl w:val="0"/>
        </w:rPr>
        <w:t xml:space="preserve"> Comprende il montaggio dei PC sui banchi, il fissaggio a parete del rack, la stesura dei cavi LAN nelle canaline d'istituto, il cable management per evitare intralci in prossimità delle ventole, la spelatura e la crimpatura manuale dei connettori RJ45 con controllo strumentale mediante Tester LAN.</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Configurazione Logica e Collaudo Sistemi (8 Ore stimate):</w:t>
      </w:r>
      <w:r w:rsidDel="00000000" w:rsidR="00000000" w:rsidRPr="00000000">
        <w:rPr>
          <w:rFonts w:ascii="Arial" w:cs="Arial" w:eastAsia="Arial" w:hAnsi="Arial"/>
          <w:rtl w:val="0"/>
        </w:rPr>
        <w:t xml:space="preserve"> Comprende l'attivazione delle interfacce del router in modalità ON, l'indirizzamento statico di server e nodi fissi, l'attivazione dei servizi DHCP sui server dedicati (con Start IP impostato da .50), l'associazione dei client mobili e l'esecuzione del collaudo end-to-end tramite comando Ping con tolleranza d'errore pari allo 0% (0% loss).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375" w:line="300" w:lineRule="auto"/>
        <w:rPr>
          <w:rFonts w:ascii="Arial" w:cs="Arial" w:eastAsia="Arial" w:hAnsi="Arial"/>
          <w:color w:val="1b3a4b"/>
        </w:rPr>
      </w:pPr>
      <w:r w:rsidDel="00000000" w:rsidR="00000000" w:rsidRPr="00000000">
        <w:rPr>
          <w:rFonts w:ascii="Arial" w:cs="Arial" w:eastAsia="Arial" w:hAnsi="Arial"/>
          <w:color w:val="1b3a4b"/>
          <w:rtl w:val="0"/>
        </w:rPr>
        <w:t xml:space="preserve">5. PROSPETTO ECONOMICO ANALITICO DEL PREVENTIVO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Di seguito viene riportata la tabella computistica formale della fornitura hardware, dei componenti di rete e dei relativi servizi specialistici. Tutti i calcoli fiscali sono sviluppati applicando l'aliquota ordinaria IVA al 22%:</w:t>
      </w:r>
    </w:p>
    <w:tbl>
      <w:tblPr>
        <w:tblStyle w:val="Table2"/>
        <w:tblW w:w="9360.000000000002"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1b3a4b"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color w:val="ffffff"/>
                <w:sz w:val="18"/>
                <w:szCs w:val="18"/>
                <w:shd w:fill="auto" w:val="clear"/>
              </w:rPr>
            </w:pPr>
            <w:r w:rsidDel="00000000" w:rsidR="00000000" w:rsidRPr="00000000">
              <w:rPr>
                <w:rFonts w:ascii="Arial" w:cs="Arial" w:eastAsia="Arial" w:hAnsi="Arial"/>
                <w:b w:val="1"/>
                <w:bCs w:val="1"/>
                <w:color w:val="ffffff"/>
                <w:sz w:val="18"/>
                <w:szCs w:val="18"/>
                <w:shd w:fill="auto" w:val="clear"/>
                <w:rtl w:val="0"/>
              </w:rPr>
              <w:t xml:space="preserve">Codice</w:t>
            </w:r>
          </w:p>
        </w:tc>
        <w:tc>
          <w:tcPr>
            <w:tcBorders>
              <w:top w:color="cbd5e0" w:space="0" w:sz="6" w:val="single"/>
              <w:left w:color="cbd5e0" w:space="0" w:sz="6" w:val="single"/>
              <w:bottom w:color="cbd5e0" w:space="0" w:sz="6" w:val="single"/>
              <w:right w:color="cbd5e0" w:space="0" w:sz="6" w:val="single"/>
            </w:tcBorders>
            <w:shd w:fill="1b3a4b"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color w:val="ffffff"/>
                <w:sz w:val="18"/>
                <w:szCs w:val="18"/>
                <w:shd w:fill="auto" w:val="clear"/>
              </w:rPr>
            </w:pPr>
            <w:r w:rsidDel="00000000" w:rsidR="00000000" w:rsidRPr="00000000">
              <w:rPr>
                <w:rFonts w:ascii="Arial" w:cs="Arial" w:eastAsia="Arial" w:hAnsi="Arial"/>
                <w:b w:val="1"/>
                <w:bCs w:val="1"/>
                <w:color w:val="ffffff"/>
                <w:sz w:val="18"/>
                <w:szCs w:val="18"/>
                <w:shd w:fill="auto" w:val="clear"/>
                <w:rtl w:val="0"/>
              </w:rPr>
              <w:t xml:space="preserve">Descrizione Componente / Servizio</w:t>
            </w:r>
          </w:p>
        </w:tc>
        <w:tc>
          <w:tcPr>
            <w:tcBorders>
              <w:top w:color="cbd5e0" w:space="0" w:sz="6" w:val="single"/>
              <w:left w:color="cbd5e0" w:space="0" w:sz="6" w:val="single"/>
              <w:bottom w:color="cbd5e0" w:space="0" w:sz="6" w:val="single"/>
              <w:right w:color="cbd5e0" w:space="0" w:sz="6" w:val="single"/>
            </w:tcBorders>
            <w:shd w:fill="1b3a4b"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color w:val="ffffff"/>
                <w:sz w:val="18"/>
                <w:szCs w:val="18"/>
                <w:shd w:fill="auto" w:val="clear"/>
              </w:rPr>
            </w:pPr>
            <w:r w:rsidDel="00000000" w:rsidR="00000000" w:rsidRPr="00000000">
              <w:rPr>
                <w:rFonts w:ascii="Arial" w:cs="Arial" w:eastAsia="Arial" w:hAnsi="Arial"/>
                <w:b w:val="1"/>
                <w:bCs w:val="1"/>
                <w:color w:val="ffffff"/>
                <w:sz w:val="18"/>
                <w:szCs w:val="18"/>
                <w:shd w:fill="auto" w:val="clear"/>
                <w:rtl w:val="0"/>
              </w:rPr>
              <w:t xml:space="preserve">Q.tà</w:t>
            </w:r>
          </w:p>
        </w:tc>
        <w:tc>
          <w:tcPr>
            <w:tcBorders>
              <w:top w:color="cbd5e0" w:space="0" w:sz="6" w:val="single"/>
              <w:left w:color="cbd5e0" w:space="0" w:sz="6" w:val="single"/>
              <w:bottom w:color="cbd5e0" w:space="0" w:sz="6" w:val="single"/>
              <w:right w:color="cbd5e0" w:space="0" w:sz="6" w:val="single"/>
            </w:tcBorders>
            <w:shd w:fill="1b3a4b"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b w:val="1"/>
                <w:bCs w:val="1"/>
                <w:color w:val="ffffff"/>
                <w:sz w:val="18"/>
                <w:szCs w:val="18"/>
                <w:shd w:fill="auto" w:val="clear"/>
              </w:rPr>
            </w:pPr>
            <w:r w:rsidDel="00000000" w:rsidR="00000000" w:rsidRPr="00000000">
              <w:rPr>
                <w:rFonts w:ascii="Arial" w:cs="Arial" w:eastAsia="Arial" w:hAnsi="Arial"/>
                <w:b w:val="1"/>
                <w:bCs w:val="1"/>
                <w:color w:val="ffffff"/>
                <w:sz w:val="18"/>
                <w:szCs w:val="18"/>
                <w:shd w:fill="auto" w:val="clear"/>
                <w:rtl w:val="0"/>
              </w:rPr>
              <w:t xml:space="preserve">Prezzo Un. (€)</w:t>
            </w:r>
          </w:p>
        </w:tc>
        <w:tc>
          <w:tcPr>
            <w:tcBorders>
              <w:top w:color="cbd5e0" w:space="0" w:sz="6" w:val="single"/>
              <w:left w:color="cbd5e0" w:space="0" w:sz="6" w:val="single"/>
              <w:bottom w:color="cbd5e0" w:space="0" w:sz="6" w:val="single"/>
              <w:right w:color="cbd5e0" w:space="0" w:sz="6" w:val="single"/>
            </w:tcBorders>
            <w:shd w:fill="1b3a4b"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b w:val="1"/>
                <w:bCs w:val="1"/>
                <w:color w:val="ffffff"/>
                <w:sz w:val="18"/>
                <w:szCs w:val="18"/>
                <w:shd w:fill="auto" w:val="clear"/>
              </w:rPr>
            </w:pPr>
            <w:r w:rsidDel="00000000" w:rsidR="00000000" w:rsidRPr="00000000">
              <w:rPr>
                <w:rFonts w:ascii="Arial" w:cs="Arial" w:eastAsia="Arial" w:hAnsi="Arial"/>
                <w:b w:val="1"/>
                <w:bCs w:val="1"/>
                <w:color w:val="ffffff"/>
                <w:sz w:val="18"/>
                <w:szCs w:val="18"/>
                <w:shd w:fill="auto" w:val="clear"/>
                <w:rtl w:val="0"/>
              </w:rPr>
              <w:t xml:space="preserve">Imponibile (€)</w:t>
            </w:r>
          </w:p>
        </w:tc>
        <w:tc>
          <w:tcPr>
            <w:tcBorders>
              <w:top w:color="cbd5e0" w:space="0" w:sz="6" w:val="single"/>
              <w:left w:color="cbd5e0" w:space="0" w:sz="6" w:val="single"/>
              <w:bottom w:color="cbd5e0" w:space="0" w:sz="6" w:val="single"/>
              <w:right w:color="cbd5e0" w:space="0" w:sz="6" w:val="single"/>
            </w:tcBorders>
            <w:shd w:fill="1b3a4b"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b w:val="1"/>
                <w:bCs w:val="1"/>
                <w:color w:val="ffffff"/>
                <w:sz w:val="18"/>
                <w:szCs w:val="18"/>
                <w:shd w:fill="auto" w:val="clear"/>
              </w:rPr>
            </w:pPr>
            <w:r w:rsidDel="00000000" w:rsidR="00000000" w:rsidRPr="00000000">
              <w:rPr>
                <w:rFonts w:ascii="Arial" w:cs="Arial" w:eastAsia="Arial" w:hAnsi="Arial"/>
                <w:b w:val="1"/>
                <w:bCs w:val="1"/>
                <w:color w:val="ffffff"/>
                <w:sz w:val="18"/>
                <w:szCs w:val="18"/>
                <w:shd w:fill="auto" w:val="clear"/>
                <w:rtl w:val="0"/>
              </w:rPr>
              <w:t xml:space="preserve">IVA (22%) (€)</w:t>
            </w:r>
          </w:p>
        </w:tc>
        <w:tc>
          <w:tcPr>
            <w:tcBorders>
              <w:top w:color="cbd5e0" w:space="0" w:sz="6" w:val="single"/>
              <w:left w:color="cbd5e0" w:space="0" w:sz="6" w:val="single"/>
              <w:bottom w:color="cbd5e0" w:space="0" w:sz="6" w:val="single"/>
              <w:right w:color="cbd5e0" w:space="0" w:sz="6" w:val="single"/>
            </w:tcBorders>
            <w:shd w:fill="1b3a4b"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b w:val="1"/>
                <w:bCs w:val="1"/>
                <w:color w:val="ffffff"/>
                <w:sz w:val="18"/>
                <w:szCs w:val="18"/>
                <w:shd w:fill="auto" w:val="clear"/>
              </w:rPr>
            </w:pPr>
            <w:r w:rsidDel="00000000" w:rsidR="00000000" w:rsidRPr="00000000">
              <w:rPr>
                <w:rFonts w:ascii="Arial" w:cs="Arial" w:eastAsia="Arial" w:hAnsi="Arial"/>
                <w:b w:val="1"/>
                <w:bCs w:val="1"/>
                <w:color w:val="ffffff"/>
                <w:sz w:val="18"/>
                <w:szCs w:val="18"/>
                <w:shd w:fill="auto" w:val="clear"/>
                <w:rtl w:val="0"/>
              </w:rPr>
              <w:t xml:space="preserve">Totale Ivato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HW-01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PC Desktop Allievo - 6-Core, 16GB RAM, 512GB SSD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450,00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11.250,00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2.475,00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13.725,00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HW-02</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PC Desktop Docente / Server Locale - 8-Core, 32GB RAM, 1TB SSD</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650,00</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650,00</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143,00</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793,00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NET-01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Switch di Rete 2960 (24 porte FE, 2 porte uplink GE)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350,00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350,00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77,00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427,00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NET-02</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Router PT Centrale (5 interfacce Gigabit Ethernet CGE)</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400,00</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400,00</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88,00</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488,00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NET-03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Access Point Wi-Fi Inteligenziale (Dual-Band AC/AX)</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120,00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240,00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52,80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292,80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NET-04</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Matassa Cavo LAN UTP Cat 6 (305m) + Connettori RJ45</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150,00</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150,00</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33,00</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183,00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NET-05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Armadio Rack 19" 9U a muro completo di Patch Panel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250,00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250,00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55,00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305,00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SRV-01</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Mano d'opera specialistica - Posa hardware e cablaggi fisici</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16</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35,00</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560,00</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123,20</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683,20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SRV-02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Servizio sistemistico - Configurazione logica e collaudo finale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45,00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360,00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79,20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439,20</w:t>
            </w:r>
          </w:p>
        </w:tc>
      </w:tr>
      <w:tr>
        <w:trPr>
          <w:cantSplit w:val="0"/>
          <w:tblHeader w:val="0"/>
        </w:trPr>
        <w:tc>
          <w:tcPr>
            <w:gridSpan w:val="4"/>
            <w:tcBorders>
              <w:top w:color="cbd5e0" w:space="0" w:sz="6" w:val="single"/>
              <w:left w:color="cbd5e0" w:space="0" w:sz="6" w:val="single"/>
              <w:bottom w:color="cbd5e0" w:space="0" w:sz="6" w:val="single"/>
              <w:right w:color="cbd5e0" w:space="0" w:sz="6" w:val="single"/>
            </w:tcBorders>
            <w:shd w:fill="eaf2f8"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TOTALE COMPLESSIVO INVESTIMENTO IT</w:t>
            </w:r>
          </w:p>
        </w:tc>
        <w:tc>
          <w:tcPr>
            <w:tcBorders>
              <w:top w:color="cbd5e0" w:space="0" w:sz="6" w:val="single"/>
              <w:left w:color="cbd5e0" w:space="0" w:sz="6" w:val="single"/>
              <w:bottom w:color="cbd5e0" w:space="0" w:sz="6" w:val="single"/>
              <w:right w:color="cbd5e0" w:space="0" w:sz="6" w:val="single"/>
            </w:tcBorders>
            <w:shd w:fill="eaf2f8"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b w:val="1"/>
                <w:bCs w:val="1"/>
                <w:color w:val="1b3a4b"/>
                <w:sz w:val="18"/>
                <w:szCs w:val="18"/>
                <w:shd w:fill="auto" w:val="clear"/>
              </w:rPr>
            </w:pPr>
            <w:r w:rsidDel="00000000" w:rsidR="00000000" w:rsidRPr="00000000">
              <w:rPr>
                <w:rFonts w:ascii="Arial" w:cs="Arial" w:eastAsia="Arial" w:hAnsi="Arial"/>
                <w:b w:val="1"/>
                <w:bCs w:val="1"/>
                <w:color w:val="1b3a4b"/>
                <w:sz w:val="18"/>
                <w:szCs w:val="18"/>
                <w:shd w:fill="auto" w:val="clear"/>
                <w:rtl w:val="0"/>
              </w:rPr>
              <w:t xml:space="preserve">14.010,00</w:t>
            </w:r>
          </w:p>
        </w:tc>
        <w:tc>
          <w:tcPr>
            <w:tcBorders>
              <w:top w:color="cbd5e0" w:space="0" w:sz="6" w:val="single"/>
              <w:left w:color="cbd5e0" w:space="0" w:sz="6" w:val="single"/>
              <w:bottom w:color="cbd5e0" w:space="0" w:sz="6" w:val="single"/>
              <w:right w:color="cbd5e0" w:space="0" w:sz="6" w:val="single"/>
            </w:tcBorders>
            <w:shd w:fill="eaf2f8"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b w:val="1"/>
                <w:bCs w:val="1"/>
                <w:color w:val="1b3a4b"/>
                <w:sz w:val="18"/>
                <w:szCs w:val="18"/>
                <w:shd w:fill="auto" w:val="clear"/>
              </w:rPr>
            </w:pPr>
            <w:r w:rsidDel="00000000" w:rsidR="00000000" w:rsidRPr="00000000">
              <w:rPr>
                <w:rFonts w:ascii="Arial" w:cs="Arial" w:eastAsia="Arial" w:hAnsi="Arial"/>
                <w:b w:val="1"/>
                <w:bCs w:val="1"/>
                <w:color w:val="1b3a4b"/>
                <w:sz w:val="18"/>
                <w:szCs w:val="18"/>
                <w:shd w:fill="auto" w:val="clear"/>
                <w:rtl w:val="0"/>
              </w:rPr>
              <w:t xml:space="preserve">3.082,20</w:t>
            </w:r>
          </w:p>
        </w:tc>
        <w:tc>
          <w:tcPr>
            <w:tcBorders>
              <w:top w:color="cbd5e0" w:space="0" w:sz="6" w:val="single"/>
              <w:left w:color="cbd5e0" w:space="0" w:sz="6" w:val="single"/>
              <w:bottom w:color="cbd5e0" w:space="0" w:sz="6" w:val="single"/>
              <w:right w:color="cbd5e0" w:space="0" w:sz="6" w:val="single"/>
            </w:tcBorders>
            <w:shd w:fill="eaf2f8"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b w:val="1"/>
                <w:bCs w:val="1"/>
                <w:color w:val="1b3a4b"/>
                <w:sz w:val="18"/>
                <w:szCs w:val="18"/>
                <w:shd w:fill="auto" w:val="clear"/>
              </w:rPr>
            </w:pPr>
            <w:r w:rsidDel="00000000" w:rsidR="00000000" w:rsidRPr="00000000">
              <w:rPr>
                <w:rFonts w:ascii="Arial" w:cs="Arial" w:eastAsia="Arial" w:hAnsi="Arial"/>
                <w:b w:val="1"/>
                <w:bCs w:val="1"/>
                <w:color w:val="1b3a4b"/>
                <w:sz w:val="18"/>
                <w:szCs w:val="18"/>
                <w:shd w:fill="auto" w:val="clear"/>
                <w:rtl w:val="0"/>
              </w:rPr>
              <w:t xml:space="preserve">17.092,20</w:t>
            </w:r>
          </w:p>
        </w:tc>
      </w:tr>
    </w:tbl>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375" w:line="300" w:lineRule="auto"/>
        <w:rPr>
          <w:rFonts w:ascii="Arial" w:cs="Arial" w:eastAsia="Arial" w:hAnsi="Arial"/>
          <w:color w:val="1b3a4b"/>
        </w:rPr>
      </w:pPr>
      <w:r w:rsidDel="00000000" w:rsidR="00000000" w:rsidRPr="00000000">
        <w:rPr>
          <w:rFonts w:ascii="Arial" w:cs="Arial" w:eastAsia="Arial" w:hAnsi="Arial"/>
          <w:color w:val="1b3a4b"/>
          <w:rtl w:val="0"/>
        </w:rPr>
        <w:t xml:space="preserve">6. INDICAZIONI DI CONSEGNA E COLLAUDO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A seguito del completamento dell'infrastruttura, l'azienda fornitrice eseguirà in contraddittorio con la commissione scolastica le procedure di certificazione strumentale del cablaggio passivo ed il caricamento della topologia logica definitiva all'interno degli apparati attivi, rilasciando il certificato di piena connettività a pacchetti zero-loss.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jc w:val="center"/>
        <w:rPr>
          <w:rFonts w:ascii="Arial" w:cs="Arial" w:eastAsia="Arial" w:hAnsi="Arial"/>
          <w:sz w:val="16"/>
          <w:szCs w:val="16"/>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16"/>
          <w:szCs w:val="16"/>
          <w:rtl w:val="0"/>
        </w:rPr>
        <w:t xml:space="preserve">Firma del Responsabile Tecnico: ____________________________________</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