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PROVA PROFESSIONALE PER OPERATORE INFORMATICO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Classe Quarta - Networking e Cisco Packet Tracer (Layout Orizzontale / Landscape)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11.9999885559082" w:lineRule="auto"/>
        <w:jc w:val="righ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Valutazione: ______ / 30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11.9999885559082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Nome e Cognome: ________________________________________ Data: ____/____/2026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  <w:t xml:space="preserve">Competenze e Abilità Oggetto di Valutazione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Argomento / Compito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Abilità richieste dallo standard professionale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Progettazione Topologica e Scelta dei Mezzi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Effettuare operazioni di selezione e posizionamento dei nodi logici terminali (PC).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Selezionare e stendere il corretto mezzo trasmissivo (cavo Ethernet incrociato vs dritto).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Verificare lo stato del collegamento fisico (Link Status Up/Green) secondo le specifiche.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Pianificazione Logica e Schemi di Rete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Interpretare le richieste di architettura e le classi di indirizzamento fornite dal cliente.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Pianificare e documentare lo schema di indirizzamento (IP, Subnet, Gateway) in tabelle dedicate.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Garantire la coerenza logica della sottorete per evitare l'isolamento dei nodi host.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Configurazione Interfacce e Diagnostica CLI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Configurare i parametri IP statici sulle schede FastEthernet tramite GUI o CLI.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Operare all'interno del Command Prompt emulato per lanciare utility diagnostiche.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Ottimizzare e verificare i parametri locali di configurazione tramite comando ipconfig.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Effettuare il collaudo funzionale della connettività di rete punto-punto tramite comando ping.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Monitoraggio dei Flussi e Modello ISO/OSI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Gestire la modalità Simulazione (Simulation Mode) applicando filtri mirati sui protocolli (ICMP).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Monitorare visivamente e analizzare il transito e la struttura delle PDU tra sorgente e destinazione.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Mappare correttamente apparati, cavi, indirizzi e pacchetti sui rispettivi livelli del modello ISO/OSI.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="311.9999885559082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Produrre le schede tecniche e la relazione finale in uso nella professione.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Griglia di Valutazione Analitica dei Descrittori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rPr>
          <w:rFonts w:ascii="Arial" w:cs="Arial" w:eastAsia="Arial" w:hAnsi="Arial"/>
          <w:i w:val="1"/>
          <w:iCs w:val="1"/>
          <w:color w:val="4a556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sz w:val="20"/>
          <w:szCs w:val="20"/>
          <w:rtl w:val="0"/>
        </w:rPr>
        <w:t xml:space="preserve">Nota per la stampa: Impostare l'orientamento della pagina su "Orizzontale" in Google Documenti (File &gt; Imposta pagina &gt; Orizzontale) per una visualizzazione ottimale della tabella sottostante.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23.1999999999998"/>
        <w:gridCol w:w="1216.8000000000002"/>
        <w:gridCol w:w="1404"/>
        <w:gridCol w:w="1872"/>
        <w:gridCol w:w="1872"/>
        <w:gridCol w:w="1872"/>
        <w:tblGridChange w:id="0">
          <w:tblGrid>
            <w:gridCol w:w="1123.1999999999998"/>
            <w:gridCol w:w="1216.8000000000002"/>
            <w:gridCol w:w="1404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Argomento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Indicatori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jc w:val="center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Avanzato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Topologia di rete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Componenti scelti per la topologia e scelta del cavo idoneo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normativo e di schema.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scegliendo i due PC ed inserendoli nello spazio di lavoro logico in modo da non conpromettere il link fisico.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correttamente, connettendo i dispositivi con il cavo Ethernet idoneo allo scenario.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motivando le sue scelte topologiche, posizionando le etichette descrittive e attivando il link fisicamente.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6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Pianificazione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File di presa in carico e compilazione tabella schema logico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tecnico applicativo.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tralasciando voci o dati non essenziali allo schema logico della sottorete.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1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correttamente, compilando lo schema logico con IP e maschera coerenti.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2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gestendo anche la parte estetica del file e dettagliando lo schema di allocazione host.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Configurazione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Installazione indirizzamento statico su interfacce host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logico ed esecutivo.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Configura l'indirizzamento logico FastEthernet ma imposta parametri di subnet o gateway in maniera errata.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nel modo corretto, completando la configurazione dei due nodi in autonomia.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nel modo corretto, ottimizza i parametri delle interfacce e azzera i conflitti di rete.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6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Richiesta 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Richiesta particolare del cliente (Sottorete / Switch dedicati)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strutturali rispetto alla traccia d'esame.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le opzioni di rete richieste dal cliente dimenticando dei settaggi minori che non conpromettono la connettività complessiva.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interamente le opzioni richieste dal cliente (rispetto rigoroso della specifica classe IP e apparati previsti).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le opzioni richieste dal cliente con impostazioni personalizzate avanzate e documentazione dei parametri.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Collaudo CLI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Collaudo e verifica connettività end-to-end (CLI)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riesce a realizzare il collaudo funzionale o a lanciare i comandi diagnostici via prompt emulato.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collaudo e test dimenticando di registrare l'esito di alcune stringhe o commettendo lievi imprecisioni nei comandi.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Collaudo e test tramite i comandi diagnostici di base (ping ed ipconfig) ottenendo esito positivo.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Collaudo e test via CLI in modo impeccabile, documentando i tempi di risposta e la struttura dei pacchetti.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Modello OSI &amp; Analisi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Check list in modalità simulazione e quesiti teorici ISO/OSI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è consapevole del transito dei pacchetti o dei livelli architetturali coinvolti nella rete.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Prepara il monitoraggio ICMP in modalità simulazione dimenticando alcune opzioni che non conpromettono l'analisi globale.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file di check list/analisi dei flussi ICMP e risponde correttamente ai quesiti teorici sul modello ISO/OSI.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Effettua un'analisi completa delle PDU filtrando i protocolli e descrive in modo eccellente la mappatura sui livelli ISO/OSI nella relazione.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1.9999885559082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11.9999885559082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lineRule="auto"/>
      <w:jc w:val="center"/>
    </w:pPr>
    <w:rPr>
      <w:rFonts w:ascii="Arial" w:cs="Arial" w:eastAsia="Arial" w:hAnsi="Arial"/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95" w:before="375" w:lineRule="auto"/>
    </w:pPr>
    <w:rPr>
      <w:rFonts w:ascii="Arial" w:cs="Arial" w:eastAsia="Arial" w:hAnsi="Arial"/>
      <w:b w:val="1"/>
      <w:bCs w:val="1"/>
      <w:i w:val="0"/>
      <w:iCs w:val="0"/>
      <w:color w:val="1a365d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