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AB163F" w:rsidRDefault="00343F78">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2038146" w:history="1">
            <w:r w:rsidR="00AB163F" w:rsidRPr="000E4C58">
              <w:rPr>
                <w:rStyle w:val="Lienhypertexte"/>
                <w:noProof/>
              </w:rPr>
              <w:t>I.</w:t>
            </w:r>
            <w:r w:rsidR="00AB163F">
              <w:rPr>
                <w:rFonts w:eastAsiaTheme="minorEastAsia"/>
                <w:noProof/>
                <w:lang w:eastAsia="fr-FR"/>
              </w:rPr>
              <w:tab/>
            </w:r>
            <w:r w:rsidR="00AB163F" w:rsidRPr="000E4C58">
              <w:rPr>
                <w:rStyle w:val="Lienhypertexte"/>
                <w:noProof/>
              </w:rPr>
              <w:t>Description</w:t>
            </w:r>
            <w:r w:rsidR="00AB163F">
              <w:rPr>
                <w:noProof/>
                <w:webHidden/>
              </w:rPr>
              <w:tab/>
            </w:r>
            <w:r>
              <w:rPr>
                <w:noProof/>
                <w:webHidden/>
              </w:rPr>
              <w:fldChar w:fldCharType="begin"/>
            </w:r>
            <w:r w:rsidR="00AB163F">
              <w:rPr>
                <w:noProof/>
                <w:webHidden/>
              </w:rPr>
              <w:instrText xml:space="preserve"> PAGEREF _Toc292038146 \h </w:instrText>
            </w:r>
            <w:r>
              <w:rPr>
                <w:noProof/>
                <w:webHidden/>
              </w:rPr>
            </w:r>
            <w:r>
              <w:rPr>
                <w:noProof/>
                <w:webHidden/>
              </w:rPr>
              <w:fldChar w:fldCharType="separate"/>
            </w:r>
            <w:r w:rsidR="005A3BF5">
              <w:rPr>
                <w:noProof/>
                <w:webHidden/>
              </w:rPr>
              <w:t>2</w:t>
            </w:r>
            <w:r>
              <w:rPr>
                <w:noProof/>
                <w:webHidden/>
              </w:rPr>
              <w:fldChar w:fldCharType="end"/>
            </w:r>
          </w:hyperlink>
        </w:p>
        <w:p w:rsidR="00AB163F" w:rsidRDefault="00343F78">
          <w:pPr>
            <w:pStyle w:val="TM1"/>
            <w:tabs>
              <w:tab w:val="left" w:pos="440"/>
              <w:tab w:val="right" w:leader="dot" w:pos="10456"/>
            </w:tabs>
            <w:rPr>
              <w:rFonts w:eastAsiaTheme="minorEastAsia"/>
              <w:noProof/>
              <w:lang w:eastAsia="fr-FR"/>
            </w:rPr>
          </w:pPr>
          <w:hyperlink w:anchor="_Toc292038147" w:history="1">
            <w:r w:rsidR="00AB163F" w:rsidRPr="000E4C58">
              <w:rPr>
                <w:rStyle w:val="Lienhypertexte"/>
                <w:noProof/>
              </w:rPr>
              <w:t>II.</w:t>
            </w:r>
            <w:r w:rsidR="00AB163F">
              <w:rPr>
                <w:rFonts w:eastAsiaTheme="minorEastAsia"/>
                <w:noProof/>
                <w:lang w:eastAsia="fr-FR"/>
              </w:rPr>
              <w:tab/>
            </w:r>
            <w:r w:rsidR="00AB163F" w:rsidRPr="000E4C58">
              <w:rPr>
                <w:rStyle w:val="Lienhypertexte"/>
                <w:noProof/>
              </w:rPr>
              <w:t>Composition</w:t>
            </w:r>
            <w:r w:rsidR="00AB163F">
              <w:rPr>
                <w:noProof/>
                <w:webHidden/>
              </w:rPr>
              <w:tab/>
            </w:r>
            <w:r>
              <w:rPr>
                <w:noProof/>
                <w:webHidden/>
              </w:rPr>
              <w:fldChar w:fldCharType="begin"/>
            </w:r>
            <w:r w:rsidR="00AB163F">
              <w:rPr>
                <w:noProof/>
                <w:webHidden/>
              </w:rPr>
              <w:instrText xml:space="preserve"> PAGEREF _Toc292038147 \h </w:instrText>
            </w:r>
            <w:r>
              <w:rPr>
                <w:noProof/>
                <w:webHidden/>
              </w:rPr>
            </w:r>
            <w:r>
              <w:rPr>
                <w:noProof/>
                <w:webHidden/>
              </w:rPr>
              <w:fldChar w:fldCharType="separate"/>
            </w:r>
            <w:r w:rsidR="005A3BF5">
              <w:rPr>
                <w:noProof/>
                <w:webHidden/>
              </w:rPr>
              <w:t>2</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48" w:history="1">
            <w:r w:rsidR="00AB163F" w:rsidRPr="000E4C58">
              <w:rPr>
                <w:rStyle w:val="Lienhypertexte"/>
                <w:noProof/>
              </w:rPr>
              <w:t>III.</w:t>
            </w:r>
            <w:r w:rsidR="00AB163F">
              <w:rPr>
                <w:rFonts w:eastAsiaTheme="minorEastAsia"/>
                <w:noProof/>
                <w:lang w:eastAsia="fr-FR"/>
              </w:rPr>
              <w:tab/>
            </w:r>
            <w:r w:rsidR="00AB163F" w:rsidRPr="000E4C58">
              <w:rPr>
                <w:rStyle w:val="Lienhypertexte"/>
                <w:noProof/>
              </w:rPr>
              <w:t>Installation et chargement</w:t>
            </w:r>
            <w:r w:rsidR="00AB163F">
              <w:rPr>
                <w:noProof/>
                <w:webHidden/>
              </w:rPr>
              <w:tab/>
            </w:r>
            <w:r>
              <w:rPr>
                <w:noProof/>
                <w:webHidden/>
              </w:rPr>
              <w:fldChar w:fldCharType="begin"/>
            </w:r>
            <w:r w:rsidR="00AB163F">
              <w:rPr>
                <w:noProof/>
                <w:webHidden/>
              </w:rPr>
              <w:instrText xml:space="preserve"> PAGEREF _Toc292038148 \h </w:instrText>
            </w:r>
            <w:r>
              <w:rPr>
                <w:noProof/>
                <w:webHidden/>
              </w:rPr>
            </w:r>
            <w:r>
              <w:rPr>
                <w:noProof/>
                <w:webHidden/>
              </w:rPr>
              <w:fldChar w:fldCharType="separate"/>
            </w:r>
            <w:r w:rsidR="005A3BF5">
              <w:rPr>
                <w:noProof/>
                <w:webHidden/>
              </w:rPr>
              <w:t>3</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49" w:history="1">
            <w:r w:rsidR="00AB163F" w:rsidRPr="000E4C58">
              <w:rPr>
                <w:rStyle w:val="Lienhypertexte"/>
                <w:noProof/>
              </w:rPr>
              <w:t>IV.</w:t>
            </w:r>
            <w:r w:rsidR="00AB163F">
              <w:rPr>
                <w:rFonts w:eastAsiaTheme="minorEastAsia"/>
                <w:noProof/>
                <w:lang w:eastAsia="fr-FR"/>
              </w:rPr>
              <w:tab/>
            </w:r>
            <w:r w:rsidR="00AB163F" w:rsidRPr="000E4C58">
              <w:rPr>
                <w:rStyle w:val="Lienhypertexte"/>
                <w:noProof/>
              </w:rPr>
              <w:t>Métadonnées</w:t>
            </w:r>
            <w:r w:rsidR="00AB163F">
              <w:rPr>
                <w:noProof/>
                <w:webHidden/>
              </w:rPr>
              <w:tab/>
            </w:r>
            <w:r>
              <w:rPr>
                <w:noProof/>
                <w:webHidden/>
              </w:rPr>
              <w:fldChar w:fldCharType="begin"/>
            </w:r>
            <w:r w:rsidR="00AB163F">
              <w:rPr>
                <w:noProof/>
                <w:webHidden/>
              </w:rPr>
              <w:instrText xml:space="preserve"> PAGEREF _Toc292038149 \h </w:instrText>
            </w:r>
            <w:r>
              <w:rPr>
                <w:noProof/>
                <w:webHidden/>
              </w:rPr>
            </w:r>
            <w:r>
              <w:rPr>
                <w:noProof/>
                <w:webHidden/>
              </w:rPr>
              <w:fldChar w:fldCharType="separate"/>
            </w:r>
            <w:r w:rsidR="005A3BF5">
              <w:rPr>
                <w:noProof/>
                <w:webHidden/>
              </w:rPr>
              <w:t>3</w:t>
            </w:r>
            <w:r>
              <w:rPr>
                <w:noProof/>
                <w:webHidden/>
              </w:rPr>
              <w:fldChar w:fldCharType="end"/>
            </w:r>
          </w:hyperlink>
        </w:p>
        <w:p w:rsidR="00AB163F" w:rsidRDefault="00343F78">
          <w:pPr>
            <w:pStyle w:val="TM1"/>
            <w:tabs>
              <w:tab w:val="left" w:pos="440"/>
              <w:tab w:val="right" w:leader="dot" w:pos="10456"/>
            </w:tabs>
            <w:rPr>
              <w:rFonts w:eastAsiaTheme="minorEastAsia"/>
              <w:noProof/>
              <w:lang w:eastAsia="fr-FR"/>
            </w:rPr>
          </w:pPr>
          <w:hyperlink w:anchor="_Toc292038150" w:history="1">
            <w:r w:rsidR="00AB163F" w:rsidRPr="000E4C58">
              <w:rPr>
                <w:rStyle w:val="Lienhypertexte"/>
                <w:noProof/>
              </w:rPr>
              <w:t>V.</w:t>
            </w:r>
            <w:r w:rsidR="00AB163F">
              <w:rPr>
                <w:rFonts w:eastAsiaTheme="minorEastAsia"/>
                <w:noProof/>
                <w:lang w:eastAsia="fr-FR"/>
              </w:rPr>
              <w:tab/>
            </w:r>
            <w:r w:rsidR="00AB163F" w:rsidRPr="000E4C58">
              <w:rPr>
                <w:rStyle w:val="Lienhypertexte"/>
                <w:noProof/>
              </w:rPr>
              <w:t>Configuration</w:t>
            </w:r>
            <w:r w:rsidR="00AB163F">
              <w:rPr>
                <w:noProof/>
                <w:webHidden/>
              </w:rPr>
              <w:tab/>
            </w:r>
            <w:r>
              <w:rPr>
                <w:noProof/>
                <w:webHidden/>
              </w:rPr>
              <w:fldChar w:fldCharType="begin"/>
            </w:r>
            <w:r w:rsidR="00AB163F">
              <w:rPr>
                <w:noProof/>
                <w:webHidden/>
              </w:rPr>
              <w:instrText xml:space="preserve"> PAGEREF _Toc292038150 \h </w:instrText>
            </w:r>
            <w:r>
              <w:rPr>
                <w:noProof/>
                <w:webHidden/>
              </w:rPr>
            </w:r>
            <w:r>
              <w:rPr>
                <w:noProof/>
                <w:webHidden/>
              </w:rPr>
              <w:fldChar w:fldCharType="separate"/>
            </w:r>
            <w:r w:rsidR="005A3BF5">
              <w:rPr>
                <w:noProof/>
                <w:webHidden/>
              </w:rPr>
              <w:t>4</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51" w:history="1">
            <w:r w:rsidR="00AB163F" w:rsidRPr="000E4C58">
              <w:rPr>
                <w:rStyle w:val="Lienhypertexte"/>
                <w:noProof/>
                <w:lang w:val="en-US"/>
              </w:rPr>
              <w:t>1.</w:t>
            </w:r>
            <w:r w:rsidR="00AB163F">
              <w:rPr>
                <w:rFonts w:eastAsiaTheme="minorEastAsia"/>
                <w:noProof/>
                <w:lang w:eastAsia="fr-FR"/>
              </w:rPr>
              <w:tab/>
            </w:r>
            <w:r w:rsidR="00AB163F" w:rsidRPr="000E4C58">
              <w:rPr>
                <w:rStyle w:val="Lienhypertexte"/>
                <w:noProof/>
                <w:lang w:val="en-US"/>
              </w:rPr>
              <w:t>Traduction</w:t>
            </w:r>
            <w:r w:rsidR="00AB163F">
              <w:rPr>
                <w:noProof/>
                <w:webHidden/>
              </w:rPr>
              <w:tab/>
            </w:r>
            <w:r>
              <w:rPr>
                <w:noProof/>
                <w:webHidden/>
              </w:rPr>
              <w:fldChar w:fldCharType="begin"/>
            </w:r>
            <w:r w:rsidR="00AB163F">
              <w:rPr>
                <w:noProof/>
                <w:webHidden/>
              </w:rPr>
              <w:instrText xml:space="preserve"> PAGEREF _Toc292038151 \h </w:instrText>
            </w:r>
            <w:r>
              <w:rPr>
                <w:noProof/>
                <w:webHidden/>
              </w:rPr>
            </w:r>
            <w:r>
              <w:rPr>
                <w:noProof/>
                <w:webHidden/>
              </w:rPr>
              <w:fldChar w:fldCharType="separate"/>
            </w:r>
            <w:r w:rsidR="005A3BF5">
              <w:rPr>
                <w:noProof/>
                <w:webHidden/>
              </w:rPr>
              <w:t>4</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52" w:history="1">
            <w:r w:rsidR="00AB163F" w:rsidRPr="000E4C58">
              <w:rPr>
                <w:rStyle w:val="Lienhypertexte"/>
                <w:noProof/>
              </w:rPr>
              <w:t>2.</w:t>
            </w:r>
            <w:r w:rsidR="00AB163F">
              <w:rPr>
                <w:rFonts w:eastAsiaTheme="minorEastAsia"/>
                <w:noProof/>
                <w:lang w:eastAsia="fr-FR"/>
              </w:rPr>
              <w:tab/>
            </w:r>
            <w:r w:rsidR="00AB163F" w:rsidRPr="000E4C58">
              <w:rPr>
                <w:rStyle w:val="Lienhypertexte"/>
                <w:noProof/>
              </w:rPr>
              <w:t>Contexts</w:t>
            </w:r>
            <w:r w:rsidR="00AB163F">
              <w:rPr>
                <w:noProof/>
                <w:webHidden/>
              </w:rPr>
              <w:tab/>
            </w:r>
            <w:r>
              <w:rPr>
                <w:noProof/>
                <w:webHidden/>
              </w:rPr>
              <w:fldChar w:fldCharType="begin"/>
            </w:r>
            <w:r w:rsidR="00AB163F">
              <w:rPr>
                <w:noProof/>
                <w:webHidden/>
              </w:rPr>
              <w:instrText xml:space="preserve"> PAGEREF _Toc292038152 \h </w:instrText>
            </w:r>
            <w:r>
              <w:rPr>
                <w:noProof/>
                <w:webHidden/>
              </w:rPr>
            </w:r>
            <w:r>
              <w:rPr>
                <w:noProof/>
                <w:webHidden/>
              </w:rPr>
              <w:fldChar w:fldCharType="separate"/>
            </w:r>
            <w:r w:rsidR="005A3BF5">
              <w:rPr>
                <w:noProof/>
                <w:webHidden/>
              </w:rPr>
              <w:t>4</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53" w:history="1">
            <w:r w:rsidR="00AB163F" w:rsidRPr="000E4C58">
              <w:rPr>
                <w:rStyle w:val="Lienhypertexte"/>
                <w:noProof/>
                <w:lang w:val="en-US"/>
              </w:rPr>
              <w:t>3.</w:t>
            </w:r>
            <w:r w:rsidR="00AB163F">
              <w:rPr>
                <w:rFonts w:eastAsiaTheme="minorEastAsia"/>
                <w:noProof/>
                <w:lang w:eastAsia="fr-FR"/>
              </w:rPr>
              <w:tab/>
            </w:r>
            <w:r w:rsidR="00AB163F" w:rsidRPr="000E4C58">
              <w:rPr>
                <w:rStyle w:val="Lienhypertexte"/>
                <w:noProof/>
                <w:lang w:val="en-US"/>
              </w:rPr>
              <w:t>Timers</w:t>
            </w:r>
            <w:r w:rsidR="00AB163F">
              <w:rPr>
                <w:noProof/>
                <w:webHidden/>
              </w:rPr>
              <w:tab/>
            </w:r>
            <w:r>
              <w:rPr>
                <w:noProof/>
                <w:webHidden/>
              </w:rPr>
              <w:fldChar w:fldCharType="begin"/>
            </w:r>
            <w:r w:rsidR="00AB163F">
              <w:rPr>
                <w:noProof/>
                <w:webHidden/>
              </w:rPr>
              <w:instrText xml:space="preserve"> PAGEREF _Toc292038153 \h </w:instrText>
            </w:r>
            <w:r>
              <w:rPr>
                <w:noProof/>
                <w:webHidden/>
              </w:rPr>
            </w:r>
            <w:r>
              <w:rPr>
                <w:noProof/>
                <w:webHidden/>
              </w:rPr>
              <w:fldChar w:fldCharType="separate"/>
            </w:r>
            <w:r w:rsidR="005A3BF5">
              <w:rPr>
                <w:noProof/>
                <w:webHidden/>
              </w:rPr>
              <w:t>5</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54" w:history="1">
            <w:r w:rsidR="00AB163F" w:rsidRPr="000E4C58">
              <w:rPr>
                <w:rStyle w:val="Lienhypertexte"/>
                <w:noProof/>
              </w:rPr>
              <w:t>4.</w:t>
            </w:r>
            <w:r w:rsidR="00AB163F">
              <w:rPr>
                <w:rFonts w:eastAsiaTheme="minorEastAsia"/>
                <w:noProof/>
                <w:lang w:eastAsia="fr-FR"/>
              </w:rPr>
              <w:tab/>
            </w:r>
            <w:r w:rsidR="00AB163F" w:rsidRPr="000E4C58">
              <w:rPr>
                <w:rStyle w:val="Lienhypertexte"/>
                <w:noProof/>
              </w:rPr>
              <w:t>Resources</w:t>
            </w:r>
            <w:r w:rsidR="00AB163F">
              <w:rPr>
                <w:noProof/>
                <w:webHidden/>
              </w:rPr>
              <w:tab/>
            </w:r>
            <w:r>
              <w:rPr>
                <w:noProof/>
                <w:webHidden/>
              </w:rPr>
              <w:fldChar w:fldCharType="begin"/>
            </w:r>
            <w:r w:rsidR="00AB163F">
              <w:rPr>
                <w:noProof/>
                <w:webHidden/>
              </w:rPr>
              <w:instrText xml:space="preserve"> PAGEREF _Toc292038154 \h </w:instrText>
            </w:r>
            <w:r>
              <w:rPr>
                <w:noProof/>
                <w:webHidden/>
              </w:rPr>
            </w:r>
            <w:r>
              <w:rPr>
                <w:noProof/>
                <w:webHidden/>
              </w:rPr>
              <w:fldChar w:fldCharType="separate"/>
            </w:r>
            <w:r w:rsidR="005A3BF5">
              <w:rPr>
                <w:noProof/>
                <w:webHidden/>
              </w:rPr>
              <w:t>5</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55" w:history="1">
            <w:r w:rsidR="00AB163F" w:rsidRPr="000E4C58">
              <w:rPr>
                <w:rStyle w:val="Lienhypertexte"/>
                <w:noProof/>
              </w:rPr>
              <w:t>VI.</w:t>
            </w:r>
            <w:r w:rsidR="00AB163F">
              <w:rPr>
                <w:rFonts w:eastAsiaTheme="minorEastAsia"/>
                <w:noProof/>
                <w:lang w:eastAsia="fr-FR"/>
              </w:rPr>
              <w:tab/>
            </w:r>
            <w:r w:rsidR="00AB163F" w:rsidRPr="000E4C58">
              <w:rPr>
                <w:rStyle w:val="Lienhypertexte"/>
                <w:noProof/>
              </w:rPr>
              <w:t>Evénements</w:t>
            </w:r>
            <w:r w:rsidR="00AB163F">
              <w:rPr>
                <w:noProof/>
                <w:webHidden/>
              </w:rPr>
              <w:tab/>
            </w:r>
            <w:r>
              <w:rPr>
                <w:noProof/>
                <w:webHidden/>
              </w:rPr>
              <w:fldChar w:fldCharType="begin"/>
            </w:r>
            <w:r w:rsidR="00AB163F">
              <w:rPr>
                <w:noProof/>
                <w:webHidden/>
              </w:rPr>
              <w:instrText xml:space="preserve"> PAGEREF _Toc292038155 \h </w:instrText>
            </w:r>
            <w:r>
              <w:rPr>
                <w:noProof/>
                <w:webHidden/>
              </w:rPr>
            </w:r>
            <w:r>
              <w:rPr>
                <w:noProof/>
                <w:webHidden/>
              </w:rPr>
              <w:fldChar w:fldCharType="separate"/>
            </w:r>
            <w:r w:rsidR="005A3BF5">
              <w:rPr>
                <w:noProof/>
                <w:webHidden/>
              </w:rPr>
              <w:t>6</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56" w:history="1">
            <w:r w:rsidR="00AB163F" w:rsidRPr="000E4C58">
              <w:rPr>
                <w:rStyle w:val="Lienhypertexte"/>
                <w:noProof/>
              </w:rPr>
              <w:t>VII.</w:t>
            </w:r>
            <w:r w:rsidR="00AB163F">
              <w:rPr>
                <w:rFonts w:eastAsiaTheme="minorEastAsia"/>
                <w:noProof/>
                <w:lang w:eastAsia="fr-FR"/>
              </w:rPr>
              <w:tab/>
            </w:r>
            <w:r w:rsidR="00AB163F" w:rsidRPr="000E4C58">
              <w:rPr>
                <w:rStyle w:val="Lienhypertexte"/>
                <w:noProof/>
              </w:rPr>
              <w:t>Flux de données</w:t>
            </w:r>
            <w:r w:rsidR="00AB163F">
              <w:rPr>
                <w:noProof/>
                <w:webHidden/>
              </w:rPr>
              <w:tab/>
            </w:r>
            <w:r>
              <w:rPr>
                <w:noProof/>
                <w:webHidden/>
              </w:rPr>
              <w:fldChar w:fldCharType="begin"/>
            </w:r>
            <w:r w:rsidR="00AB163F">
              <w:rPr>
                <w:noProof/>
                <w:webHidden/>
              </w:rPr>
              <w:instrText xml:space="preserve"> PAGEREF _Toc292038156 \h </w:instrText>
            </w:r>
            <w:r>
              <w:rPr>
                <w:noProof/>
                <w:webHidden/>
              </w:rPr>
            </w:r>
            <w:r>
              <w:rPr>
                <w:noProof/>
                <w:webHidden/>
              </w:rPr>
              <w:fldChar w:fldCharType="separate"/>
            </w:r>
            <w:r w:rsidR="005A3BF5">
              <w:rPr>
                <w:noProof/>
                <w:webHidden/>
              </w:rPr>
              <w:t>6</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57" w:history="1">
            <w:r w:rsidR="00AB163F" w:rsidRPr="000E4C58">
              <w:rPr>
                <w:rStyle w:val="Lienhypertexte"/>
                <w:noProof/>
              </w:rPr>
              <w:t>VIII.</w:t>
            </w:r>
            <w:r w:rsidR="00AB163F">
              <w:rPr>
                <w:rFonts w:eastAsiaTheme="minorEastAsia"/>
                <w:noProof/>
                <w:lang w:eastAsia="fr-FR"/>
              </w:rPr>
              <w:tab/>
            </w:r>
            <w:r w:rsidR="00AB163F" w:rsidRPr="000E4C58">
              <w:rPr>
                <w:rStyle w:val="Lienhypertexte"/>
                <w:noProof/>
              </w:rPr>
              <w:t>Interfaces</w:t>
            </w:r>
            <w:r w:rsidR="00AB163F">
              <w:rPr>
                <w:noProof/>
                <w:webHidden/>
              </w:rPr>
              <w:tab/>
            </w:r>
            <w:r>
              <w:rPr>
                <w:noProof/>
                <w:webHidden/>
              </w:rPr>
              <w:fldChar w:fldCharType="begin"/>
            </w:r>
            <w:r w:rsidR="00AB163F">
              <w:rPr>
                <w:noProof/>
                <w:webHidden/>
              </w:rPr>
              <w:instrText xml:space="preserve"> PAGEREF _Toc292038157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58" w:history="1">
            <w:r w:rsidR="00AB163F" w:rsidRPr="000E4C58">
              <w:rPr>
                <w:rStyle w:val="Lienhypertexte"/>
                <w:noProof/>
              </w:rPr>
              <w:t>1.</w:t>
            </w:r>
            <w:r w:rsidR="00AB163F">
              <w:rPr>
                <w:rFonts w:eastAsiaTheme="minorEastAsia"/>
                <w:noProof/>
                <w:lang w:eastAsia="fr-FR"/>
              </w:rPr>
              <w:tab/>
            </w:r>
            <w:r w:rsidR="00AB163F" w:rsidRPr="000E4C58">
              <w:rPr>
                <w:rStyle w:val="Lienhypertexte"/>
                <w:noProof/>
              </w:rPr>
              <w:t>IPlugin</w:t>
            </w:r>
            <w:r w:rsidR="00AB163F">
              <w:rPr>
                <w:noProof/>
                <w:webHidden/>
              </w:rPr>
              <w:tab/>
            </w:r>
            <w:r>
              <w:rPr>
                <w:noProof/>
                <w:webHidden/>
              </w:rPr>
              <w:fldChar w:fldCharType="begin"/>
            </w:r>
            <w:r w:rsidR="00AB163F">
              <w:rPr>
                <w:noProof/>
                <w:webHidden/>
              </w:rPr>
              <w:instrText xml:space="preserve"> PAGEREF _Toc292038158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59" w:history="1">
            <w:r w:rsidR="00AB163F" w:rsidRPr="000E4C58">
              <w:rPr>
                <w:rStyle w:val="Lienhypertexte"/>
                <w:noProof/>
              </w:rPr>
              <w:t>2.</w:t>
            </w:r>
            <w:r w:rsidR="00AB163F">
              <w:rPr>
                <w:rFonts w:eastAsiaTheme="minorEastAsia"/>
                <w:noProof/>
                <w:lang w:eastAsia="fr-FR"/>
              </w:rPr>
              <w:tab/>
            </w:r>
            <w:r w:rsidR="00AB163F" w:rsidRPr="000E4C58">
              <w:rPr>
                <w:rStyle w:val="Lienhypertexte"/>
                <w:noProof/>
              </w:rPr>
              <w:t>ITimer</w:t>
            </w:r>
            <w:r w:rsidR="00AB163F">
              <w:rPr>
                <w:noProof/>
                <w:webHidden/>
              </w:rPr>
              <w:tab/>
            </w:r>
            <w:r>
              <w:rPr>
                <w:noProof/>
                <w:webHidden/>
              </w:rPr>
              <w:fldChar w:fldCharType="begin"/>
            </w:r>
            <w:r w:rsidR="00AB163F">
              <w:rPr>
                <w:noProof/>
                <w:webHidden/>
              </w:rPr>
              <w:instrText xml:space="preserve"> PAGEREF _Toc292038159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60" w:history="1">
            <w:r w:rsidR="00AB163F" w:rsidRPr="000E4C58">
              <w:rPr>
                <w:rStyle w:val="Lienhypertexte"/>
                <w:noProof/>
              </w:rPr>
              <w:t>3.</w:t>
            </w:r>
            <w:r w:rsidR="00AB163F">
              <w:rPr>
                <w:rFonts w:eastAsiaTheme="minorEastAsia"/>
                <w:noProof/>
                <w:lang w:eastAsia="fr-FR"/>
              </w:rPr>
              <w:tab/>
            </w:r>
            <w:r w:rsidR="00AB163F" w:rsidRPr="000E4C58">
              <w:rPr>
                <w:rStyle w:val="Lienhypertexte"/>
                <w:noProof/>
              </w:rPr>
              <w:t>ILog</w:t>
            </w:r>
            <w:r w:rsidR="00AB163F">
              <w:rPr>
                <w:noProof/>
                <w:webHidden/>
              </w:rPr>
              <w:tab/>
            </w:r>
            <w:r>
              <w:rPr>
                <w:noProof/>
                <w:webHidden/>
              </w:rPr>
              <w:fldChar w:fldCharType="begin"/>
            </w:r>
            <w:r w:rsidR="00AB163F">
              <w:rPr>
                <w:noProof/>
                <w:webHidden/>
              </w:rPr>
              <w:instrText xml:space="preserve"> PAGEREF _Toc292038160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61" w:history="1">
            <w:r w:rsidR="00AB163F" w:rsidRPr="000E4C58">
              <w:rPr>
                <w:rStyle w:val="Lienhypertexte"/>
                <w:noProof/>
              </w:rPr>
              <w:t>4.</w:t>
            </w:r>
            <w:r w:rsidR="00AB163F">
              <w:rPr>
                <w:rFonts w:eastAsiaTheme="minorEastAsia"/>
                <w:noProof/>
                <w:lang w:eastAsia="fr-FR"/>
              </w:rPr>
              <w:tab/>
            </w:r>
            <w:r w:rsidR="00AB163F" w:rsidRPr="000E4C58">
              <w:rPr>
                <w:rStyle w:val="Lienhypertexte"/>
                <w:noProof/>
              </w:rPr>
              <w:t>IGui</w:t>
            </w:r>
            <w:r w:rsidR="00AB163F">
              <w:rPr>
                <w:noProof/>
                <w:webHidden/>
              </w:rPr>
              <w:tab/>
            </w:r>
            <w:r>
              <w:rPr>
                <w:noProof/>
                <w:webHidden/>
              </w:rPr>
              <w:fldChar w:fldCharType="begin"/>
            </w:r>
            <w:r w:rsidR="00AB163F">
              <w:rPr>
                <w:noProof/>
                <w:webHidden/>
              </w:rPr>
              <w:instrText xml:space="preserve"> PAGEREF _Toc292038161 \h </w:instrText>
            </w:r>
            <w:r>
              <w:rPr>
                <w:noProof/>
                <w:webHidden/>
              </w:rPr>
            </w:r>
            <w:r>
              <w:rPr>
                <w:noProof/>
                <w:webHidden/>
              </w:rPr>
              <w:fldChar w:fldCharType="separate"/>
            </w:r>
            <w:r w:rsidR="005A3BF5">
              <w:rPr>
                <w:noProof/>
                <w:webHidden/>
              </w:rPr>
              <w:t>8</w:t>
            </w:r>
            <w:r>
              <w:rPr>
                <w:noProof/>
                <w:webHidden/>
              </w:rPr>
              <w:fldChar w:fldCharType="end"/>
            </w:r>
          </w:hyperlink>
        </w:p>
        <w:p w:rsidR="00AB163F" w:rsidRDefault="00343F78">
          <w:pPr>
            <w:pStyle w:val="TM2"/>
            <w:tabs>
              <w:tab w:val="left" w:pos="660"/>
              <w:tab w:val="right" w:leader="dot" w:pos="10456"/>
            </w:tabs>
            <w:rPr>
              <w:rFonts w:eastAsiaTheme="minorEastAsia"/>
              <w:noProof/>
              <w:lang w:eastAsia="fr-FR"/>
            </w:rPr>
          </w:pPr>
          <w:hyperlink w:anchor="_Toc292038162" w:history="1">
            <w:r w:rsidR="00AB163F" w:rsidRPr="000E4C58">
              <w:rPr>
                <w:rStyle w:val="Lienhypertexte"/>
                <w:noProof/>
              </w:rPr>
              <w:t>5.</w:t>
            </w:r>
            <w:r w:rsidR="00AB163F">
              <w:rPr>
                <w:rFonts w:eastAsiaTheme="minorEastAsia"/>
                <w:noProof/>
                <w:lang w:eastAsia="fr-FR"/>
              </w:rPr>
              <w:tab/>
            </w:r>
            <w:r w:rsidR="00AB163F" w:rsidRPr="000E4C58">
              <w:rPr>
                <w:rStyle w:val="Lienhypertexte"/>
                <w:noProof/>
              </w:rPr>
              <w:t>Réseau</w:t>
            </w:r>
            <w:r w:rsidR="00AB163F">
              <w:rPr>
                <w:noProof/>
                <w:webHidden/>
              </w:rPr>
              <w:tab/>
            </w:r>
            <w:r>
              <w:rPr>
                <w:noProof/>
                <w:webHidden/>
              </w:rPr>
              <w:fldChar w:fldCharType="begin"/>
            </w:r>
            <w:r w:rsidR="00AB163F">
              <w:rPr>
                <w:noProof/>
                <w:webHidden/>
              </w:rPr>
              <w:instrText xml:space="preserve"> PAGEREF _Toc292038162 \h </w:instrText>
            </w:r>
            <w:r>
              <w:rPr>
                <w:noProof/>
                <w:webHidden/>
              </w:rPr>
            </w:r>
            <w:r>
              <w:rPr>
                <w:noProof/>
                <w:webHidden/>
              </w:rPr>
              <w:fldChar w:fldCharType="separate"/>
            </w:r>
            <w:r w:rsidR="005A3BF5">
              <w:rPr>
                <w:noProof/>
                <w:webHidden/>
              </w:rPr>
              <w:t>9</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63" w:history="1">
            <w:r w:rsidR="00AB163F" w:rsidRPr="000E4C58">
              <w:rPr>
                <w:rStyle w:val="Lienhypertexte"/>
                <w:noProof/>
              </w:rPr>
              <w:t>IX.</w:t>
            </w:r>
            <w:r w:rsidR="00AB163F">
              <w:rPr>
                <w:rFonts w:eastAsiaTheme="minorEastAsia"/>
                <w:noProof/>
                <w:lang w:eastAsia="fr-FR"/>
              </w:rPr>
              <w:tab/>
            </w:r>
            <w:r w:rsidR="00AB163F" w:rsidRPr="000E4C58">
              <w:rPr>
                <w:rStyle w:val="Lienhypertexte"/>
                <w:noProof/>
              </w:rPr>
              <w:t>APIs</w:t>
            </w:r>
            <w:r w:rsidR="00AB163F">
              <w:rPr>
                <w:noProof/>
                <w:webHidden/>
              </w:rPr>
              <w:tab/>
            </w:r>
            <w:r>
              <w:rPr>
                <w:noProof/>
                <w:webHidden/>
              </w:rPr>
              <w:fldChar w:fldCharType="begin"/>
            </w:r>
            <w:r w:rsidR="00AB163F">
              <w:rPr>
                <w:noProof/>
                <w:webHidden/>
              </w:rPr>
              <w:instrText xml:space="preserve"> PAGEREF _Toc292038163 \h </w:instrText>
            </w:r>
            <w:r>
              <w:rPr>
                <w:noProof/>
                <w:webHidden/>
              </w:rPr>
            </w:r>
            <w:r>
              <w:rPr>
                <w:noProof/>
                <w:webHidden/>
              </w:rPr>
              <w:fldChar w:fldCharType="separate"/>
            </w:r>
            <w:r w:rsidR="005A3BF5">
              <w:rPr>
                <w:noProof/>
                <w:webHidden/>
              </w:rPr>
              <w:t>10</w:t>
            </w:r>
            <w:r>
              <w:rPr>
                <w:noProof/>
                <w:webHidden/>
              </w:rPr>
              <w:fldChar w:fldCharType="end"/>
            </w:r>
          </w:hyperlink>
        </w:p>
        <w:p w:rsidR="00AB163F" w:rsidRDefault="00343F78">
          <w:pPr>
            <w:pStyle w:val="TM1"/>
            <w:tabs>
              <w:tab w:val="left" w:pos="440"/>
              <w:tab w:val="right" w:leader="dot" w:pos="10456"/>
            </w:tabs>
            <w:rPr>
              <w:rFonts w:eastAsiaTheme="minorEastAsia"/>
              <w:noProof/>
              <w:lang w:eastAsia="fr-FR"/>
            </w:rPr>
          </w:pPr>
          <w:hyperlink w:anchor="_Toc292038164" w:history="1">
            <w:r w:rsidR="00AB163F" w:rsidRPr="000E4C58">
              <w:rPr>
                <w:rStyle w:val="Lienhypertexte"/>
                <w:noProof/>
              </w:rPr>
              <w:t>X.</w:t>
            </w:r>
            <w:r w:rsidR="00AB163F">
              <w:rPr>
                <w:rFonts w:eastAsiaTheme="minorEastAsia"/>
                <w:noProof/>
                <w:lang w:eastAsia="fr-FR"/>
              </w:rPr>
              <w:tab/>
            </w:r>
            <w:r w:rsidR="00AB163F" w:rsidRPr="000E4C58">
              <w:rPr>
                <w:rStyle w:val="Lienhypertexte"/>
                <w:noProof/>
              </w:rPr>
              <w:t>TCP et UDP</w:t>
            </w:r>
            <w:r w:rsidR="00AB163F">
              <w:rPr>
                <w:noProof/>
                <w:webHidden/>
              </w:rPr>
              <w:tab/>
            </w:r>
            <w:r>
              <w:rPr>
                <w:noProof/>
                <w:webHidden/>
              </w:rPr>
              <w:fldChar w:fldCharType="begin"/>
            </w:r>
            <w:r w:rsidR="00AB163F">
              <w:rPr>
                <w:noProof/>
                <w:webHidden/>
              </w:rPr>
              <w:instrText xml:space="preserve"> PAGEREF _Toc292038164 \h </w:instrText>
            </w:r>
            <w:r>
              <w:rPr>
                <w:noProof/>
                <w:webHidden/>
              </w:rPr>
            </w:r>
            <w:r>
              <w:rPr>
                <w:noProof/>
                <w:webHidden/>
              </w:rPr>
              <w:fldChar w:fldCharType="separate"/>
            </w:r>
            <w:r w:rsidR="005A3BF5">
              <w:rPr>
                <w:noProof/>
                <w:webHidden/>
              </w:rPr>
              <w:t>11</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65" w:history="1">
            <w:r w:rsidR="00AB163F" w:rsidRPr="000E4C58">
              <w:rPr>
                <w:rStyle w:val="Lienhypertexte"/>
                <w:noProof/>
              </w:rPr>
              <w:t>XI.</w:t>
            </w:r>
            <w:r w:rsidR="00AB163F">
              <w:rPr>
                <w:rFonts w:eastAsiaTheme="minorEastAsia"/>
                <w:noProof/>
                <w:lang w:eastAsia="fr-FR"/>
              </w:rPr>
              <w:tab/>
            </w:r>
            <w:r w:rsidR="00AB163F" w:rsidRPr="000E4C58">
              <w:rPr>
                <w:rStyle w:val="Lienhypertexte"/>
                <w:noProof/>
              </w:rPr>
              <w:t>Abstraction de la base de données</w:t>
            </w:r>
            <w:r w:rsidR="00AB163F">
              <w:rPr>
                <w:noProof/>
                <w:webHidden/>
              </w:rPr>
              <w:tab/>
            </w:r>
            <w:r>
              <w:rPr>
                <w:noProof/>
                <w:webHidden/>
              </w:rPr>
              <w:fldChar w:fldCharType="begin"/>
            </w:r>
            <w:r w:rsidR="00AB163F">
              <w:rPr>
                <w:noProof/>
                <w:webHidden/>
              </w:rPr>
              <w:instrText xml:space="preserve"> PAGEREF _Toc292038165 \h </w:instrText>
            </w:r>
            <w:r>
              <w:rPr>
                <w:noProof/>
                <w:webHidden/>
              </w:rPr>
            </w:r>
            <w:r>
              <w:rPr>
                <w:noProof/>
                <w:webHidden/>
              </w:rPr>
              <w:fldChar w:fldCharType="separate"/>
            </w:r>
            <w:r w:rsidR="005A3BF5">
              <w:rPr>
                <w:noProof/>
                <w:webHidden/>
              </w:rPr>
              <w:t>11</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66" w:history="1">
            <w:r w:rsidR="00AB163F" w:rsidRPr="000E4C58">
              <w:rPr>
                <w:rStyle w:val="Lienhypertexte"/>
                <w:noProof/>
              </w:rPr>
              <w:t>XII.</w:t>
            </w:r>
            <w:r w:rsidR="00AB163F">
              <w:rPr>
                <w:rFonts w:eastAsiaTheme="minorEastAsia"/>
                <w:noProof/>
                <w:lang w:eastAsia="fr-FR"/>
              </w:rPr>
              <w:tab/>
            </w:r>
            <w:r w:rsidR="00AB163F" w:rsidRPr="000E4C58">
              <w:rPr>
                <w:rStyle w:val="Lienhypertexte"/>
                <w:noProof/>
              </w:rPr>
              <w:t>Implémentation</w:t>
            </w:r>
            <w:r w:rsidR="00AB163F">
              <w:rPr>
                <w:noProof/>
                <w:webHidden/>
              </w:rPr>
              <w:tab/>
            </w:r>
            <w:r>
              <w:rPr>
                <w:noProof/>
                <w:webHidden/>
              </w:rPr>
              <w:fldChar w:fldCharType="begin"/>
            </w:r>
            <w:r w:rsidR="00AB163F">
              <w:rPr>
                <w:noProof/>
                <w:webHidden/>
              </w:rPr>
              <w:instrText xml:space="preserve"> PAGEREF _Toc292038166 \h </w:instrText>
            </w:r>
            <w:r>
              <w:rPr>
                <w:noProof/>
                <w:webHidden/>
              </w:rPr>
            </w:r>
            <w:r>
              <w:rPr>
                <w:noProof/>
                <w:webHidden/>
              </w:rPr>
              <w:fldChar w:fldCharType="separate"/>
            </w:r>
            <w:r w:rsidR="005A3BF5">
              <w:rPr>
                <w:noProof/>
                <w:webHidden/>
              </w:rPr>
              <w:t>11</w:t>
            </w:r>
            <w:r>
              <w:rPr>
                <w:noProof/>
                <w:webHidden/>
              </w:rPr>
              <w:fldChar w:fldCharType="end"/>
            </w:r>
          </w:hyperlink>
        </w:p>
        <w:p w:rsidR="00AB163F" w:rsidRDefault="00343F78">
          <w:pPr>
            <w:pStyle w:val="TM1"/>
            <w:tabs>
              <w:tab w:val="left" w:pos="660"/>
              <w:tab w:val="right" w:leader="dot" w:pos="10456"/>
            </w:tabs>
            <w:rPr>
              <w:rFonts w:eastAsiaTheme="minorEastAsia"/>
              <w:noProof/>
              <w:lang w:eastAsia="fr-FR"/>
            </w:rPr>
          </w:pPr>
          <w:hyperlink w:anchor="_Toc292038167" w:history="1">
            <w:r w:rsidR="00AB163F" w:rsidRPr="000E4C58">
              <w:rPr>
                <w:rStyle w:val="Lienhypertexte"/>
                <w:noProof/>
              </w:rPr>
              <w:t>XIII.</w:t>
            </w:r>
            <w:r w:rsidR="00AB163F">
              <w:rPr>
                <w:rFonts w:eastAsiaTheme="minorEastAsia"/>
                <w:noProof/>
                <w:lang w:eastAsia="fr-FR"/>
              </w:rPr>
              <w:tab/>
            </w:r>
            <w:r w:rsidR="00AB163F" w:rsidRPr="000E4C58">
              <w:rPr>
                <w:rStyle w:val="Lienhypertexte"/>
                <w:noProof/>
              </w:rPr>
              <w:t>Extensions</w:t>
            </w:r>
            <w:r w:rsidR="00AB163F">
              <w:rPr>
                <w:noProof/>
                <w:webHidden/>
              </w:rPr>
              <w:tab/>
            </w:r>
            <w:r>
              <w:rPr>
                <w:noProof/>
                <w:webHidden/>
              </w:rPr>
              <w:fldChar w:fldCharType="begin"/>
            </w:r>
            <w:r w:rsidR="00AB163F">
              <w:rPr>
                <w:noProof/>
                <w:webHidden/>
              </w:rPr>
              <w:instrText xml:space="preserve"> PAGEREF _Toc292038167 \h </w:instrText>
            </w:r>
            <w:r>
              <w:rPr>
                <w:noProof/>
                <w:webHidden/>
              </w:rPr>
            </w:r>
            <w:r>
              <w:rPr>
                <w:noProof/>
                <w:webHidden/>
              </w:rPr>
              <w:fldChar w:fldCharType="separate"/>
            </w:r>
            <w:r w:rsidR="005A3BF5">
              <w:rPr>
                <w:noProof/>
                <w:webHidden/>
              </w:rPr>
              <w:t>11</w:t>
            </w:r>
            <w:r>
              <w:rPr>
                <w:noProof/>
                <w:webHidden/>
              </w:rPr>
              <w:fldChar w:fldCharType="end"/>
            </w:r>
          </w:hyperlink>
        </w:p>
        <w:p w:rsidR="00797336" w:rsidRDefault="00343F78">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203814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203814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203814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Pr="00DA5284">
        <w:rPr>
          <w:rFonts w:ascii="Courier New" w:hAnsi="Courier New" w:cs="Courier New"/>
          <w:noProof/>
          <w:color w:val="008000"/>
          <w:sz w:val="20"/>
          <w:szCs w:val="20"/>
          <w:lang w:val="en-US"/>
        </w:rPr>
        <w:t>&lt;!—Configuration du plugin --&gt;</w:t>
      </w:r>
    </w:p>
    <w:p w:rsidR="002D4E99" w:rsidRDefault="002D4E99" w:rsidP="002D4E99">
      <w:pPr>
        <w:spacing w:after="0"/>
        <w:jc w:val="both"/>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l’identifiant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plugins</w:t>
      </w:r>
      <w:r w:rsidRPr="003B2490">
        <w:rPr>
          <w:rFonts w:ascii="Courier New" w:hAnsi="Courier New" w:cs="Courier New"/>
          <w:noProof/>
          <w:color w:val="0000FF"/>
          <w:sz w:val="20"/>
          <w:szCs w:val="20"/>
          <w:lang w:val="en-US"/>
        </w:rPr>
        <w:t>&gt;</w:t>
      </w:r>
    </w:p>
    <w:p w:rsidR="00470589" w:rsidRDefault="00470589" w:rsidP="00470589">
      <w:pPr>
        <w:spacing w:after="0"/>
        <w:jc w:val="both"/>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w:t>
      </w:r>
      <w:r w:rsidRPr="003B2490">
        <w:rPr>
          <w:rFonts w:ascii="Courier New" w:hAnsi="Courier New" w:cs="Courier New"/>
          <w:noProof/>
          <w:color w:val="0000FF"/>
          <w:sz w:val="20"/>
          <w:szCs w:val="20"/>
          <w:lang w:val="en-US"/>
        </w:rPr>
        <w:t>&gt;</w:t>
      </w:r>
      <w:r>
        <w:rPr>
          <w:rFonts w:ascii="Courier New" w:hAnsi="Courier New" w:cs="Courier New"/>
          <w:noProof/>
          <w:color w:val="0000FF"/>
          <w:sz w:val="20"/>
          <w:szCs w:val="20"/>
        </w:rPr>
        <w:t>Example/Basic</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203814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203815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156357" w:rsidRDefault="003B2490" w:rsidP="00A633B1">
      <w:pPr>
        <w:autoSpaceDE w:val="0"/>
        <w:autoSpaceDN w:val="0"/>
        <w:adjustRightInd w:val="0"/>
        <w:spacing w:after="0" w:line="240" w:lineRule="auto"/>
        <w:rPr>
          <w:rFonts w:ascii="Courier New" w:hAnsi="Courier New" w:cs="Courier New"/>
          <w:noProof/>
          <w:sz w:val="20"/>
          <w:szCs w:val="20"/>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Pr>
          <w:rFonts w:ascii="Courier New" w:hAnsi="Courier New" w:cs="Courier New"/>
          <w:noProof/>
          <w:color w:val="FF0000"/>
          <w:sz w:val="20"/>
          <w:szCs w:val="20"/>
        </w:rPr>
        <w:t>id</w:t>
      </w:r>
      <w:r w:rsidR="00A633B1" w:rsidRPr="00BC1C18">
        <w:rPr>
          <w:rFonts w:ascii="Courier New" w:hAnsi="Courier New" w:cs="Courier New"/>
          <w:noProof/>
          <w:color w:val="0000FF"/>
          <w:sz w:val="20"/>
          <w:szCs w:val="20"/>
        </w:rPr>
        <w:t>=</w:t>
      </w:r>
      <w:r w:rsidR="00A633B1" w:rsidRPr="00BC1C18">
        <w:rPr>
          <w:rFonts w:ascii="Courier New" w:hAnsi="Courier New" w:cs="Courier New"/>
          <w:noProof/>
          <w:sz w:val="20"/>
          <w:szCs w:val="20"/>
        </w:rPr>
        <w:t>"</w:t>
      </w:r>
      <w:r w:rsidR="00A633B1">
        <w:rPr>
          <w:rFonts w:ascii="Courier New" w:hAnsi="Courier New" w:cs="Courier New"/>
          <w:noProof/>
          <w:color w:val="0000FF"/>
          <w:sz w:val="20"/>
          <w:szCs w:val="20"/>
        </w:rPr>
        <w:t>Example/Basic</w:t>
      </w:r>
      <w:r w:rsidR="00A633B1"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156357" w:rsidRPr="00AF7D7D"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r>
        <w:rPr>
          <w:rFonts w:ascii="Courier New" w:hAnsi="Courier New" w:cs="Courier New"/>
          <w:noProof/>
          <w:sz w:val="20"/>
          <w:szCs w:val="20"/>
        </w:rPr>
        <w:t>true</w:t>
      </w:r>
      <w:r w:rsidRPr="00AF7D7D">
        <w:rPr>
          <w:rFonts w:ascii="Courier New" w:hAnsi="Courier New" w:cs="Courier New"/>
          <w:noProof/>
          <w:color w:val="0000FF"/>
          <w:sz w:val="20"/>
          <w:szCs w:val="20"/>
        </w:rPr>
        <w:t>&lt;/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203815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203815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CB525B">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7"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Transport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protocoles de transport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en protocole indique que le plugin est indépendant du protocole, et sera donc utilisé pour tous les protocoles.</w:t>
            </w:r>
          </w:p>
        </w:tc>
        <w:tc>
          <w:tcPr>
            <w:tcW w:w="1034"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Aucun protocole</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Aucun 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proofErr w:type="spellStart"/>
            <w:r w:rsidRPr="00797336">
              <w:rPr>
                <w:rFonts w:asciiTheme="minorHAnsi" w:eastAsiaTheme="minorEastAsia" w:hAnsiTheme="minorHAnsi"/>
                <w:b/>
              </w:rPr>
              <w:lastRenderedPageBreak/>
              <w:t>Method</w:t>
            </w:r>
            <w:proofErr w:type="spellEnd"/>
          </w:p>
        </w:tc>
        <w:tc>
          <w:tcPr>
            <w:tcW w:w="3184" w:type="pct"/>
            <w:gridSpan w:val="2"/>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Toutes les méthodes</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4" w:type="pct"/>
            <w:gridSpan w:val="2"/>
            <w:tcBorders>
              <w:bottom w:val="single" w:sz="8" w:space="0" w:color="4F81BD" w:themeColor="accent1"/>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types</w:t>
            </w:r>
          </w:p>
        </w:tc>
      </w:tr>
    </w:tbl>
    <w:p w:rsidR="001972C3" w:rsidRDefault="001972C3" w:rsidP="001972C3">
      <w:pPr>
        <w:pStyle w:val="Titre2"/>
        <w:numPr>
          <w:ilvl w:val="0"/>
          <w:numId w:val="0"/>
        </w:numPr>
        <w:rPr>
          <w:lang w:val="en-US"/>
        </w:rPr>
      </w:pPr>
    </w:p>
    <w:p w:rsidR="00AF7D7D" w:rsidRDefault="00AF7D7D" w:rsidP="00AF7D7D">
      <w:pPr>
        <w:pStyle w:val="Titre2"/>
        <w:rPr>
          <w:lang w:val="en-US"/>
        </w:rPr>
      </w:pPr>
      <w:bookmarkStart w:id="7" w:name="_Toc292038153"/>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203815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2D4E99" w:rsidRDefault="00870B14" w:rsidP="002D4E99">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F94031" w:rsidRDefault="00F94031" w:rsidP="00F4107F">
      <w:pPr>
        <w:jc w:val="both"/>
      </w:pPr>
      <w:r>
        <w:br w:type="page"/>
      </w:r>
    </w:p>
    <w:p w:rsidR="00636CAD" w:rsidRPr="001C258A" w:rsidRDefault="00C4305B" w:rsidP="00797336">
      <w:pPr>
        <w:pStyle w:val="Titre1"/>
      </w:pPr>
      <w:bookmarkStart w:id="14" w:name="_Toc292038155"/>
      <w:r>
        <w:lastRenderedPageBreak/>
        <w:t>Evénements</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2038156"/>
      <w:r>
        <w:t>Flux de données</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2038157"/>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2038158"/>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2038159"/>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41085A" w:rsidRDefault="0041085A" w:rsidP="0041085A">
      <w:pPr>
        <w:pStyle w:val="Titre2"/>
      </w:pPr>
      <w:bookmarkStart w:id="19" w:name="_Toc292038160"/>
      <w:proofErr w:type="spellStart"/>
      <w:r>
        <w:t>ILog</w:t>
      </w:r>
      <w:bookmarkEnd w:id="19"/>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0" w:name="_Toc292038161"/>
      <w:proofErr w:type="spellStart"/>
      <w:r>
        <w:t>IGui</w:t>
      </w:r>
      <w:bookmarkEnd w:id="20"/>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41085A" w:rsidP="0041085A"/>
    <w:p w:rsidR="0041085A" w:rsidRDefault="0012745C" w:rsidP="0012745C">
      <w:pPr>
        <w:pStyle w:val="Titre2"/>
      </w:pPr>
      <w:bookmarkStart w:id="21" w:name="_Toc292038162"/>
      <w:r>
        <w:lastRenderedPageBreak/>
        <w:t>Réseau</w:t>
      </w:r>
      <w:bookmarkEnd w:id="21"/>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Cet événement est appelé à la suite de l’exécution de la requête (</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lastRenderedPageBreak/>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lastRenderedPageBreak/>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797336" w:rsidRDefault="00AC0236" w:rsidP="006344DC">
      <w:pPr>
        <w:pStyle w:val="Titre1"/>
      </w:pPr>
      <w:bookmarkStart w:id="22" w:name="_Toc292038163"/>
      <w:r>
        <w:t>APIs</w:t>
      </w:r>
      <w:bookmarkEnd w:id="22"/>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que les plugins peuvent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4B7B2C" w:rsidTr="00AC0236">
        <w:trPr>
          <w:trHeight w:val="268"/>
        </w:trPr>
        <w:tc>
          <w:tcPr>
            <w:cnfStyle w:val="00100000000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single" w:sz="4" w:space="0" w:color="4F81BD" w:themeColor="accent1"/>
            </w:tcBorders>
          </w:tcPr>
          <w:p w:rsidR="004B7B2C" w:rsidRPr="00D16491" w:rsidRDefault="004B7B2C" w:rsidP="00F053C3">
            <w:pPr>
              <w:jc w:val="both"/>
              <w:cnfStyle w:val="00000000000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F268E4" w:rsidRDefault="00F268E4" w:rsidP="00F268E4">
      <w:pPr>
        <w:pStyle w:val="Titre1"/>
      </w:pPr>
      <w:bookmarkStart w:id="23" w:name="_Toc292038164"/>
      <w:r>
        <w:lastRenderedPageBreak/>
        <w:t>TCP et UDP</w:t>
      </w:r>
      <w:bookmarkEnd w:id="23"/>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Pr="00850ECA"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C92C2B" w:rsidRDefault="00F268E4" w:rsidP="006344DC">
      <w:pPr>
        <w:pStyle w:val="Titre1"/>
      </w:pPr>
      <w:bookmarkStart w:id="24" w:name="_Toc292038165"/>
      <w:r>
        <w:t>Abstraction de la base de données</w:t>
      </w:r>
      <w:bookmarkEnd w:id="24"/>
    </w:p>
    <w:p w:rsidR="00850ECA"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s que les jointures peuvent nécessiter des requêtes fournies par les plugins.</w:t>
      </w:r>
    </w:p>
    <w:p w:rsidR="00F268E4" w:rsidRDefault="00BC1C18" w:rsidP="00BC1C18">
      <w:pPr>
        <w:jc w:val="both"/>
      </w:pPr>
      <w:r>
        <w:t>La gestion des droits, ou de l’arborescence des fichiers et</w:t>
      </w:r>
      <w:r w:rsidR="00F268E4">
        <w:t xml:space="preserve"> des dossiers sont également implémentés, ainsi que le support des concepts d’</w:t>
      </w:r>
      <w:proofErr w:type="spellStart"/>
      <w:r w:rsidR="00F268E4">
        <w:t>accessors</w:t>
      </w:r>
      <w:proofErr w:type="spellEnd"/>
      <w:r w:rsidR="00F268E4">
        <w:t xml:space="preserve"> et d’</w:t>
      </w:r>
      <w:proofErr w:type="spellStart"/>
      <w:r w:rsidR="00F268E4">
        <w:t>objects</w:t>
      </w:r>
      <w:proofErr w:type="spellEnd"/>
      <w:r w:rsidR="00F268E4">
        <w:t>.</w:t>
      </w:r>
    </w:p>
    <w:p w:rsidR="00F268E4" w:rsidRDefault="00F268E4" w:rsidP="00BC1C18">
      <w:pPr>
        <w:jc w:val="both"/>
        <w:rPr>
          <w:sz w:val="20"/>
          <w:szCs w:val="20"/>
        </w:rPr>
      </w:pPr>
      <w:r>
        <w:rPr>
          <w:sz w:val="20"/>
          <w:szCs w:val="20"/>
        </w:rPr>
        <w:t xml:space="preserve">Les instances sont créées à partir de la méthode </w:t>
      </w:r>
      <w:proofErr w:type="spellStart"/>
      <w:r>
        <w:rPr>
          <w:sz w:val="20"/>
          <w:szCs w:val="20"/>
        </w:rPr>
        <w:t>getTable</w:t>
      </w:r>
      <w:proofErr w:type="spellEnd"/>
      <w:r>
        <w:rPr>
          <w:sz w:val="20"/>
          <w:szCs w:val="20"/>
        </w:rPr>
        <w:t xml:space="preserve"> de l’API de la base de données. Consultez ses commentaires pour obtenir un exemple de création </w:t>
      </w:r>
      <w:r w:rsidR="00A44A86">
        <w:rPr>
          <w:sz w:val="20"/>
          <w:szCs w:val="20"/>
        </w:rPr>
        <w:t xml:space="preserve"> d’instance.</w:t>
      </w:r>
    </w:p>
    <w:p w:rsidR="006551E5" w:rsidRDefault="006551E5" w:rsidP="006551E5">
      <w:pPr>
        <w:pStyle w:val="Titre1"/>
      </w:pPr>
      <w:bookmarkStart w:id="25" w:name="_Toc292038166"/>
      <w:r>
        <w:t>Implémentation</w:t>
      </w:r>
      <w:bookmarkEnd w:id="25"/>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26" w:name="_Ref270240852"/>
      <w:bookmarkStart w:id="27" w:name="_Toc292038167"/>
      <w:r>
        <w:t>Extensions</w:t>
      </w:r>
      <w:bookmarkEnd w:id="26"/>
      <w:bookmarkEnd w:id="27"/>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1B1" w:rsidRDefault="007E71B1" w:rsidP="001C258A">
      <w:pPr>
        <w:spacing w:after="0" w:line="240" w:lineRule="auto"/>
      </w:pPr>
      <w:r>
        <w:separator/>
      </w:r>
    </w:p>
  </w:endnote>
  <w:endnote w:type="continuationSeparator" w:id="0">
    <w:p w:rsidR="007E71B1" w:rsidRDefault="007E71B1"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1B1" w:rsidRDefault="007E71B1" w:rsidP="001C258A">
      <w:pPr>
        <w:spacing w:after="0" w:line="240" w:lineRule="auto"/>
      </w:pPr>
      <w:r>
        <w:separator/>
      </w:r>
    </w:p>
  </w:footnote>
  <w:footnote w:type="continuationSeparator" w:id="0">
    <w:p w:rsidR="007E71B1" w:rsidRDefault="007E71B1"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E1243B6"/>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446E0"/>
    <w:rsid w:val="0004609A"/>
    <w:rsid w:val="00047BEA"/>
    <w:rsid w:val="00063024"/>
    <w:rsid w:val="0008429A"/>
    <w:rsid w:val="000936AE"/>
    <w:rsid w:val="00095CBD"/>
    <w:rsid w:val="00096E41"/>
    <w:rsid w:val="000B7F13"/>
    <w:rsid w:val="000C21EA"/>
    <w:rsid w:val="000C767A"/>
    <w:rsid w:val="000D6CEF"/>
    <w:rsid w:val="000D7ED4"/>
    <w:rsid w:val="000F23E9"/>
    <w:rsid w:val="00113AFC"/>
    <w:rsid w:val="00116090"/>
    <w:rsid w:val="0012026F"/>
    <w:rsid w:val="00122899"/>
    <w:rsid w:val="00125648"/>
    <w:rsid w:val="0012745C"/>
    <w:rsid w:val="00136258"/>
    <w:rsid w:val="00156357"/>
    <w:rsid w:val="00156B62"/>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43F92"/>
    <w:rsid w:val="00246F65"/>
    <w:rsid w:val="0025646B"/>
    <w:rsid w:val="00261114"/>
    <w:rsid w:val="00262BD7"/>
    <w:rsid w:val="00280A33"/>
    <w:rsid w:val="002D4E99"/>
    <w:rsid w:val="002D6948"/>
    <w:rsid w:val="002E3800"/>
    <w:rsid w:val="002E39EB"/>
    <w:rsid w:val="002F50D5"/>
    <w:rsid w:val="00301CAE"/>
    <w:rsid w:val="00322ABA"/>
    <w:rsid w:val="00333DB4"/>
    <w:rsid w:val="00343F78"/>
    <w:rsid w:val="003518A8"/>
    <w:rsid w:val="0035436F"/>
    <w:rsid w:val="003611EB"/>
    <w:rsid w:val="00373ACD"/>
    <w:rsid w:val="00374AA5"/>
    <w:rsid w:val="003B2490"/>
    <w:rsid w:val="003C5438"/>
    <w:rsid w:val="003F6D30"/>
    <w:rsid w:val="0041085A"/>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5F65"/>
    <w:rsid w:val="004F0477"/>
    <w:rsid w:val="00503632"/>
    <w:rsid w:val="005057E8"/>
    <w:rsid w:val="005078F0"/>
    <w:rsid w:val="005229E0"/>
    <w:rsid w:val="00533BEE"/>
    <w:rsid w:val="005372E4"/>
    <w:rsid w:val="005449D8"/>
    <w:rsid w:val="00554367"/>
    <w:rsid w:val="00574DDC"/>
    <w:rsid w:val="0057763A"/>
    <w:rsid w:val="00583278"/>
    <w:rsid w:val="0058434E"/>
    <w:rsid w:val="00587AD6"/>
    <w:rsid w:val="005908DF"/>
    <w:rsid w:val="00594276"/>
    <w:rsid w:val="00597138"/>
    <w:rsid w:val="005A191D"/>
    <w:rsid w:val="005A3BF5"/>
    <w:rsid w:val="005B21D4"/>
    <w:rsid w:val="005D3BA7"/>
    <w:rsid w:val="005E42C3"/>
    <w:rsid w:val="00604757"/>
    <w:rsid w:val="00617E7E"/>
    <w:rsid w:val="006200FC"/>
    <w:rsid w:val="00630021"/>
    <w:rsid w:val="006344DC"/>
    <w:rsid w:val="0063632E"/>
    <w:rsid w:val="00636CAD"/>
    <w:rsid w:val="00642C84"/>
    <w:rsid w:val="006500EB"/>
    <w:rsid w:val="006551E5"/>
    <w:rsid w:val="00660CC0"/>
    <w:rsid w:val="0066695B"/>
    <w:rsid w:val="00683BF0"/>
    <w:rsid w:val="0069001C"/>
    <w:rsid w:val="00695F5B"/>
    <w:rsid w:val="006A105A"/>
    <w:rsid w:val="006A4190"/>
    <w:rsid w:val="006C19AD"/>
    <w:rsid w:val="006E572A"/>
    <w:rsid w:val="006E61C0"/>
    <w:rsid w:val="006F5F34"/>
    <w:rsid w:val="00701DF9"/>
    <w:rsid w:val="00703318"/>
    <w:rsid w:val="007034C3"/>
    <w:rsid w:val="007139FB"/>
    <w:rsid w:val="0073240C"/>
    <w:rsid w:val="0075333C"/>
    <w:rsid w:val="00775669"/>
    <w:rsid w:val="00797336"/>
    <w:rsid w:val="007A30CC"/>
    <w:rsid w:val="007B1437"/>
    <w:rsid w:val="007C4B87"/>
    <w:rsid w:val="007D2279"/>
    <w:rsid w:val="007D3581"/>
    <w:rsid w:val="007E41CE"/>
    <w:rsid w:val="007E71B1"/>
    <w:rsid w:val="00800F65"/>
    <w:rsid w:val="00811451"/>
    <w:rsid w:val="00823E38"/>
    <w:rsid w:val="00830BEF"/>
    <w:rsid w:val="00840CC1"/>
    <w:rsid w:val="008502F4"/>
    <w:rsid w:val="00850615"/>
    <w:rsid w:val="00850ECA"/>
    <w:rsid w:val="00855006"/>
    <w:rsid w:val="00861368"/>
    <w:rsid w:val="0086435D"/>
    <w:rsid w:val="00870B14"/>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7271"/>
    <w:rsid w:val="00977D0C"/>
    <w:rsid w:val="00993A7A"/>
    <w:rsid w:val="009A490B"/>
    <w:rsid w:val="009E4CC1"/>
    <w:rsid w:val="009F4CA2"/>
    <w:rsid w:val="009F580D"/>
    <w:rsid w:val="009F64C9"/>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3105A"/>
    <w:rsid w:val="00B339C1"/>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30E1F"/>
    <w:rsid w:val="00E33068"/>
    <w:rsid w:val="00E66DB4"/>
    <w:rsid w:val="00E71825"/>
    <w:rsid w:val="00E8495F"/>
    <w:rsid w:val="00E8632D"/>
    <w:rsid w:val="00E865CB"/>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85BF7"/>
    <w:rsid w:val="00F87C61"/>
    <w:rsid w:val="00F94031"/>
    <w:rsid w:val="00F95DEB"/>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B232-058F-4CD5-9EE1-4F208072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11</Pages>
  <Words>3994</Words>
  <Characters>21967</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104</cp:revision>
  <cp:lastPrinted>2011-05-01T16:41:00Z</cp:lastPrinted>
  <dcterms:created xsi:type="dcterms:W3CDTF">2009-08-20T08:29:00Z</dcterms:created>
  <dcterms:modified xsi:type="dcterms:W3CDTF">2011-05-03T18:45:00Z</dcterms:modified>
</cp:coreProperties>
</file>