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EndPr/>
      <w:sdtContent>
        <w:p w:rsidR="00797336" w:rsidRDefault="00797336" w:rsidP="001961C4">
          <w:pPr>
            <w:pStyle w:val="En-ttedetabledesmatires"/>
            <w:numPr>
              <w:ilvl w:val="0"/>
              <w:numId w:val="0"/>
            </w:numPr>
          </w:pPr>
          <w:r>
            <w:t>Sommaire</w:t>
          </w:r>
        </w:p>
        <w:p w:rsidR="00025B2D" w:rsidRDefault="00700540">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302D8C">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sidR="00700540">
              <w:rPr>
                <w:noProof/>
                <w:webHidden/>
              </w:rPr>
              <w:fldChar w:fldCharType="begin"/>
            </w:r>
            <w:r w:rsidR="00025B2D">
              <w:rPr>
                <w:noProof/>
                <w:webHidden/>
              </w:rPr>
              <w:instrText xml:space="preserve"> PAGEREF _Toc295588157 \h </w:instrText>
            </w:r>
            <w:r w:rsidR="00700540">
              <w:rPr>
                <w:noProof/>
                <w:webHidden/>
              </w:rPr>
            </w:r>
            <w:r w:rsidR="00700540">
              <w:rPr>
                <w:noProof/>
                <w:webHidden/>
              </w:rPr>
              <w:fldChar w:fldCharType="separate"/>
            </w:r>
            <w:r w:rsidR="00025B2D">
              <w:rPr>
                <w:noProof/>
                <w:webHidden/>
              </w:rPr>
              <w:t>2</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sidR="00700540">
              <w:rPr>
                <w:noProof/>
                <w:webHidden/>
              </w:rPr>
              <w:fldChar w:fldCharType="begin"/>
            </w:r>
            <w:r w:rsidR="00025B2D">
              <w:rPr>
                <w:noProof/>
                <w:webHidden/>
              </w:rPr>
              <w:instrText xml:space="preserve"> PAGEREF _Toc295588158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sidR="00700540">
              <w:rPr>
                <w:noProof/>
                <w:webHidden/>
              </w:rPr>
              <w:fldChar w:fldCharType="begin"/>
            </w:r>
            <w:r w:rsidR="00025B2D">
              <w:rPr>
                <w:noProof/>
                <w:webHidden/>
              </w:rPr>
              <w:instrText xml:space="preserve"> PAGEREF _Toc295588159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302D8C">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sidR="00700540">
              <w:rPr>
                <w:noProof/>
                <w:webHidden/>
              </w:rPr>
              <w:fldChar w:fldCharType="begin"/>
            </w:r>
            <w:r w:rsidR="00025B2D">
              <w:rPr>
                <w:noProof/>
                <w:webHidden/>
              </w:rPr>
              <w:instrText xml:space="preserve"> PAGEREF _Toc295588160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sidR="00700540">
              <w:rPr>
                <w:noProof/>
                <w:webHidden/>
              </w:rPr>
              <w:fldChar w:fldCharType="begin"/>
            </w:r>
            <w:r w:rsidR="00025B2D">
              <w:rPr>
                <w:noProof/>
                <w:webHidden/>
              </w:rPr>
              <w:instrText xml:space="preserve"> PAGEREF _Toc295588161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sidR="00700540">
              <w:rPr>
                <w:noProof/>
                <w:webHidden/>
              </w:rPr>
              <w:fldChar w:fldCharType="begin"/>
            </w:r>
            <w:r w:rsidR="00025B2D">
              <w:rPr>
                <w:noProof/>
                <w:webHidden/>
              </w:rPr>
              <w:instrText xml:space="preserve"> PAGEREF _Toc295588162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sidR="00700540">
              <w:rPr>
                <w:noProof/>
                <w:webHidden/>
              </w:rPr>
              <w:fldChar w:fldCharType="begin"/>
            </w:r>
            <w:r w:rsidR="00025B2D">
              <w:rPr>
                <w:noProof/>
                <w:webHidden/>
              </w:rPr>
              <w:instrText xml:space="preserve"> PAGEREF _Toc295588163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sidR="00700540">
              <w:rPr>
                <w:noProof/>
                <w:webHidden/>
              </w:rPr>
              <w:fldChar w:fldCharType="begin"/>
            </w:r>
            <w:r w:rsidR="00025B2D">
              <w:rPr>
                <w:noProof/>
                <w:webHidden/>
              </w:rPr>
              <w:instrText xml:space="preserve"> PAGEREF _Toc295588164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sidR="00700540">
              <w:rPr>
                <w:noProof/>
                <w:webHidden/>
              </w:rPr>
              <w:fldChar w:fldCharType="begin"/>
            </w:r>
            <w:r w:rsidR="00025B2D">
              <w:rPr>
                <w:noProof/>
                <w:webHidden/>
              </w:rPr>
              <w:instrText xml:space="preserve"> PAGEREF _Toc295588165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sidR="00700540">
              <w:rPr>
                <w:noProof/>
                <w:webHidden/>
              </w:rPr>
              <w:fldChar w:fldCharType="begin"/>
            </w:r>
            <w:r w:rsidR="00025B2D">
              <w:rPr>
                <w:noProof/>
                <w:webHidden/>
              </w:rPr>
              <w:instrText xml:space="preserve"> PAGEREF _Toc295588166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sidR="00700540">
              <w:rPr>
                <w:noProof/>
                <w:webHidden/>
              </w:rPr>
              <w:fldChar w:fldCharType="begin"/>
            </w:r>
            <w:r w:rsidR="00025B2D">
              <w:rPr>
                <w:noProof/>
                <w:webHidden/>
              </w:rPr>
              <w:instrText xml:space="preserve"> PAGEREF _Toc295588167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sidR="00700540">
              <w:rPr>
                <w:noProof/>
                <w:webHidden/>
              </w:rPr>
              <w:fldChar w:fldCharType="begin"/>
            </w:r>
            <w:r w:rsidR="00025B2D">
              <w:rPr>
                <w:noProof/>
                <w:webHidden/>
              </w:rPr>
              <w:instrText xml:space="preserve"> PAGEREF _Toc295588168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sidR="00700540">
              <w:rPr>
                <w:noProof/>
                <w:webHidden/>
              </w:rPr>
              <w:fldChar w:fldCharType="begin"/>
            </w:r>
            <w:r w:rsidR="00025B2D">
              <w:rPr>
                <w:noProof/>
                <w:webHidden/>
              </w:rPr>
              <w:instrText xml:space="preserve"> PAGEREF _Toc295588169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sidR="00700540">
              <w:rPr>
                <w:noProof/>
                <w:webHidden/>
              </w:rPr>
              <w:fldChar w:fldCharType="begin"/>
            </w:r>
            <w:r w:rsidR="00025B2D">
              <w:rPr>
                <w:noProof/>
                <w:webHidden/>
              </w:rPr>
              <w:instrText xml:space="preserve"> PAGEREF _Toc295588170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sidR="00700540">
              <w:rPr>
                <w:noProof/>
                <w:webHidden/>
              </w:rPr>
              <w:fldChar w:fldCharType="begin"/>
            </w:r>
            <w:r w:rsidR="00025B2D">
              <w:rPr>
                <w:noProof/>
                <w:webHidden/>
              </w:rPr>
              <w:instrText xml:space="preserve"> PAGEREF _Toc295588171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sidR="00700540">
              <w:rPr>
                <w:noProof/>
                <w:webHidden/>
              </w:rPr>
              <w:fldChar w:fldCharType="begin"/>
            </w:r>
            <w:r w:rsidR="00025B2D">
              <w:rPr>
                <w:noProof/>
                <w:webHidden/>
              </w:rPr>
              <w:instrText xml:space="preserve"> PAGEREF _Toc295588172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302D8C">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sidR="00700540">
              <w:rPr>
                <w:noProof/>
                <w:webHidden/>
              </w:rPr>
              <w:fldChar w:fldCharType="begin"/>
            </w:r>
            <w:r w:rsidR="00025B2D">
              <w:rPr>
                <w:noProof/>
                <w:webHidden/>
              </w:rPr>
              <w:instrText xml:space="preserve"> PAGEREF _Toc295588173 \h </w:instrText>
            </w:r>
            <w:r w:rsidR="00700540">
              <w:rPr>
                <w:noProof/>
                <w:webHidden/>
              </w:rPr>
            </w:r>
            <w:r w:rsidR="00700540">
              <w:rPr>
                <w:noProof/>
                <w:webHidden/>
              </w:rPr>
              <w:fldChar w:fldCharType="separate"/>
            </w:r>
            <w:r w:rsidR="00025B2D">
              <w:rPr>
                <w:noProof/>
                <w:webHidden/>
              </w:rPr>
              <w:t>9</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sidR="00700540">
              <w:rPr>
                <w:noProof/>
                <w:webHidden/>
              </w:rPr>
              <w:fldChar w:fldCharType="begin"/>
            </w:r>
            <w:r w:rsidR="00025B2D">
              <w:rPr>
                <w:noProof/>
                <w:webHidden/>
              </w:rPr>
              <w:instrText xml:space="preserve"> PAGEREF _Toc295588174 \h </w:instrText>
            </w:r>
            <w:r w:rsidR="00700540">
              <w:rPr>
                <w:noProof/>
                <w:webHidden/>
              </w:rPr>
            </w:r>
            <w:r w:rsidR="00700540">
              <w:rPr>
                <w:noProof/>
                <w:webHidden/>
              </w:rPr>
              <w:fldChar w:fldCharType="separate"/>
            </w:r>
            <w:r w:rsidR="00025B2D">
              <w:rPr>
                <w:noProof/>
                <w:webHidden/>
              </w:rPr>
              <w:t>10</w:t>
            </w:r>
            <w:r w:rsidR="00700540">
              <w:rPr>
                <w:noProof/>
                <w:webHidden/>
              </w:rPr>
              <w:fldChar w:fldCharType="end"/>
            </w:r>
          </w:hyperlink>
        </w:p>
        <w:p w:rsidR="00025B2D" w:rsidRDefault="00302D8C">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sidR="00700540">
              <w:rPr>
                <w:noProof/>
                <w:webHidden/>
              </w:rPr>
              <w:fldChar w:fldCharType="begin"/>
            </w:r>
            <w:r w:rsidR="00025B2D">
              <w:rPr>
                <w:noProof/>
                <w:webHidden/>
              </w:rPr>
              <w:instrText xml:space="preserve"> PAGEREF _Toc295588175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sidR="00700540">
              <w:rPr>
                <w:noProof/>
                <w:webHidden/>
              </w:rPr>
              <w:fldChar w:fldCharType="begin"/>
            </w:r>
            <w:r w:rsidR="00025B2D">
              <w:rPr>
                <w:noProof/>
                <w:webHidden/>
              </w:rPr>
              <w:instrText xml:space="preserve"> PAGEREF _Toc295588176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sidR="00700540">
              <w:rPr>
                <w:noProof/>
                <w:webHidden/>
              </w:rPr>
              <w:fldChar w:fldCharType="begin"/>
            </w:r>
            <w:r w:rsidR="00025B2D">
              <w:rPr>
                <w:noProof/>
                <w:webHidden/>
              </w:rPr>
              <w:instrText xml:space="preserve"> PAGEREF _Toc295588177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sidR="00700540">
              <w:rPr>
                <w:noProof/>
                <w:webHidden/>
              </w:rPr>
              <w:fldChar w:fldCharType="begin"/>
            </w:r>
            <w:r w:rsidR="00025B2D">
              <w:rPr>
                <w:noProof/>
                <w:webHidden/>
              </w:rPr>
              <w:instrText xml:space="preserve"> PAGEREF _Toc295588178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sidR="00700540">
              <w:rPr>
                <w:noProof/>
                <w:webHidden/>
              </w:rPr>
              <w:fldChar w:fldCharType="begin"/>
            </w:r>
            <w:r w:rsidR="00025B2D">
              <w:rPr>
                <w:noProof/>
                <w:webHidden/>
              </w:rPr>
              <w:instrText xml:space="preserve"> PAGEREF _Toc295588179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302D8C">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sidR="00700540">
              <w:rPr>
                <w:noProof/>
                <w:webHidden/>
              </w:rPr>
              <w:fldChar w:fldCharType="begin"/>
            </w:r>
            <w:r w:rsidR="00025B2D">
              <w:rPr>
                <w:noProof/>
                <w:webHidden/>
              </w:rPr>
              <w:instrText xml:space="preserve"> PAGEREF _Toc295588180 \h </w:instrText>
            </w:r>
            <w:r w:rsidR="00700540">
              <w:rPr>
                <w:noProof/>
                <w:webHidden/>
              </w:rPr>
            </w:r>
            <w:r w:rsidR="00700540">
              <w:rPr>
                <w:noProof/>
                <w:webHidden/>
              </w:rPr>
              <w:fldChar w:fldCharType="separate"/>
            </w:r>
            <w:r w:rsidR="00025B2D">
              <w:rPr>
                <w:noProof/>
                <w:webHidden/>
              </w:rPr>
              <w:t>14</w:t>
            </w:r>
            <w:r w:rsidR="00700540">
              <w:rPr>
                <w:noProof/>
                <w:webHidden/>
              </w:rPr>
              <w:fldChar w:fldCharType="end"/>
            </w:r>
          </w:hyperlink>
        </w:p>
        <w:p w:rsidR="00797336" w:rsidRDefault="00700540">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7229"/>
        <w:gridCol w:w="1276"/>
      </w:tblGrid>
      <w:tr w:rsidR="00EB5834" w:rsidTr="00C74CC2">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Requis</w:t>
            </w:r>
          </w:p>
        </w:tc>
      </w:tr>
      <w:tr w:rsidR="00967271" w:rsidTr="00C74C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Oui</w:t>
            </w:r>
          </w:p>
        </w:tc>
      </w:tr>
      <w:tr w:rsidR="00967271" w:rsidTr="00C74CC2">
        <w:trPr>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Oui</w:t>
            </w:r>
          </w:p>
        </w:tc>
      </w:tr>
      <w:tr w:rsidR="00967271" w:rsidTr="00C74C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Non</w:t>
            </w:r>
          </w:p>
        </w:tc>
      </w:tr>
      <w:tr w:rsidR="00967271" w:rsidTr="00C74CC2">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firstRow="1" w:lastRow="0" w:firstColumn="1" w:lastColumn="0" w:noHBand="0" w:noVBand="1"/>
      </w:tblPr>
      <w:tblGrid>
        <w:gridCol w:w="1809"/>
        <w:gridCol w:w="8765"/>
      </w:tblGrid>
      <w:tr w:rsidR="00EE6F6C" w:rsidRPr="00CD56DE" w:rsidTr="00EE6F6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Description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250"/>
        <w:gridCol w:w="6554"/>
        <w:gridCol w:w="2209"/>
      </w:tblGrid>
      <w:tr w:rsidR="00AF7D7D" w:rsidRPr="00797336" w:rsidTr="00792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types</w:t>
            </w:r>
          </w:p>
        </w:tc>
      </w:tr>
    </w:tbl>
    <w:p w:rsidR="000E0EF1" w:rsidRPr="000E0EF1" w:rsidRDefault="000E0EF1" w:rsidP="000E0EF1">
      <w:pPr>
        <w:rPr>
          <w:lang w:val="en-US"/>
        </w:rPr>
      </w:pPr>
      <w:bookmarkStart w:id="7" w:name="_Toc295588163"/>
      <w:bookmarkStart w:id="8" w:name="_GoBack"/>
      <w:bookmarkEnd w:id="8"/>
    </w:p>
    <w:p w:rsidR="00AF7D7D" w:rsidRDefault="00AF7D7D" w:rsidP="00AF7D7D">
      <w:pPr>
        <w:pStyle w:val="Titre2"/>
        <w:rPr>
          <w:lang w:val="en-US"/>
        </w:rPr>
      </w:pPr>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9" w:name="_Ref264129485"/>
      <w:bookmarkStart w:id="10" w:name="_Ref264129496"/>
      <w:bookmarkStart w:id="11" w:name="_Ref264129559"/>
      <w:bookmarkStart w:id="12" w:name="_Ref264129564"/>
      <w:bookmarkStart w:id="13" w:name="_Ref264129568"/>
      <w:bookmarkStart w:id="14" w:name="_Toc295588164"/>
      <w:proofErr w:type="spellStart"/>
      <w:r>
        <w:t>Resources</w:t>
      </w:r>
      <w:bookmarkEnd w:id="9"/>
      <w:bookmarkEnd w:id="10"/>
      <w:bookmarkEnd w:id="11"/>
      <w:bookmarkEnd w:id="12"/>
      <w:bookmarkEnd w:id="13"/>
      <w:bookmarkEnd w:id="14"/>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5" w:name="_Toc295588165"/>
      <w:r>
        <w:lastRenderedPageBreak/>
        <w:t>Evénements</w:t>
      </w:r>
      <w:r w:rsidR="00154986">
        <w:t xml:space="preserve"> de l’API</w:t>
      </w:r>
      <w:bookmarkEnd w:id="15"/>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6" w:name="_Toc295588166"/>
      <w:r>
        <w:t>Flux de données</w:t>
      </w:r>
      <w:r w:rsidR="007A53AF">
        <w:t xml:space="preserve"> serveur</w:t>
      </w:r>
      <w:bookmarkEnd w:id="16"/>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7" w:name="_Toc295588167"/>
      <w:r>
        <w:lastRenderedPageBreak/>
        <w:t>Interfaces</w:t>
      </w:r>
      <w:bookmarkEnd w:id="17"/>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8" w:name="_Toc295588168"/>
      <w:proofErr w:type="spellStart"/>
      <w:r>
        <w:t>IPlugin</w:t>
      </w:r>
      <w:bookmarkEnd w:id="18"/>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firstRow="1" w:lastRow="0" w:firstColumn="1" w:lastColumn="0" w:noHBand="0" w:noVBand="1"/>
      </w:tblPr>
      <w:tblGrid>
        <w:gridCol w:w="2093"/>
        <w:gridCol w:w="8221"/>
      </w:tblGrid>
      <w:tr w:rsidR="00617E7E" w:rsidTr="00617E7E">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9" w:name="_Toc295588169"/>
      <w:proofErr w:type="spellStart"/>
      <w:r>
        <w:t>ITimer</w:t>
      </w:r>
      <w:bookmarkEnd w:id="19"/>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20" w:name="_Toc295588170"/>
      <w:proofErr w:type="spellStart"/>
      <w:r>
        <w:t>IEvent</w:t>
      </w:r>
      <w:bookmarkEnd w:id="20"/>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1" w:name="_Toc295588171"/>
      <w:proofErr w:type="spellStart"/>
      <w:r>
        <w:t>ILog</w:t>
      </w:r>
      <w:bookmarkEnd w:id="21"/>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2" w:name="_Toc295588172"/>
      <w:proofErr w:type="spellStart"/>
      <w:r>
        <w:t>IGui</w:t>
      </w:r>
      <w:bookmarkEnd w:id="22"/>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3" w:name="_Toc295588173"/>
      <w:r>
        <w:lastRenderedPageBreak/>
        <w:t>Réseau</w:t>
      </w:r>
      <w:bookmarkEnd w:id="23"/>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804"/>
        <w:gridCol w:w="1276"/>
      </w:tblGrid>
      <w:tr w:rsidR="00C2000B" w:rsidTr="00CC25DD">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Contextes</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w:t>
            </w:r>
            <w:proofErr w:type="spellStart"/>
            <w:r>
              <w:rPr>
                <w:rFonts w:asciiTheme="minorHAnsi" w:hAnsiTheme="minorHAnsi"/>
              </w:rPr>
              <w:t>se</w:t>
            </w:r>
            <w:proofErr w:type="spellEnd"/>
            <w:r>
              <w:rPr>
                <w:rFonts w:asciiTheme="minorHAnsi" w:hAnsiTheme="minorHAnsi"/>
              </w:rPr>
              <w:t xml:space="preserv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10"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8505"/>
      </w:tblGrid>
      <w:tr w:rsidR="00797336" w:rsidTr="00AC023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AC0236">
              <w:rPr>
                <w:rFonts w:asciiTheme="minorHAnsi" w:hAnsiTheme="minorHAnsi"/>
                <w:b/>
              </w:rPr>
              <w:t>Description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none" w:sz="0" w:space="0" w:color="auto"/>
            </w:tcBorders>
          </w:tcPr>
          <w:p w:rsidR="004B7B2C"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session permet d’associer un ou plusieurs clients à un </w:t>
            </w:r>
            <w:proofErr w:type="spellStart"/>
            <w:r>
              <w:rPr>
                <w:rFonts w:asciiTheme="minorHAnsi" w:hAnsiTheme="minorHAnsi"/>
              </w:rPr>
              <w:t>account</w:t>
            </w:r>
            <w:proofErr w:type="spellEnd"/>
            <w:r>
              <w:rPr>
                <w:rFonts w:asciiTheme="minorHAnsi" w:hAnsiTheme="minorHAnsi"/>
              </w:rPr>
              <w: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237"/>
        <w:gridCol w:w="1843"/>
      </w:tblGrid>
      <w:tr w:rsidR="009D394D" w:rsidTr="00870C10">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Propriété</w:t>
            </w:r>
          </w:p>
        </w:tc>
      </w:tr>
      <w:tr w:rsidR="009D394D" w:rsidTr="00870C1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Aucune</w:t>
            </w:r>
          </w:p>
        </w:tc>
      </w:tr>
      <w:tr w:rsidR="009D394D" w:rsidTr="00870C10">
        <w:trPr>
          <w:trHeight w:val="6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870C10" w:rsidTr="00531AC4">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Aucune</w:t>
            </w:r>
          </w:p>
        </w:tc>
      </w:tr>
      <w:tr w:rsidR="00531AC4"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D8C" w:rsidRDefault="00302D8C" w:rsidP="001C258A">
      <w:pPr>
        <w:spacing w:after="0" w:line="240" w:lineRule="auto"/>
      </w:pPr>
      <w:r>
        <w:separator/>
      </w:r>
    </w:p>
  </w:endnote>
  <w:endnote w:type="continuationSeparator" w:id="0">
    <w:p w:rsidR="00302D8C" w:rsidRDefault="00302D8C" w:rsidP="001C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D8C" w:rsidRDefault="00302D8C" w:rsidP="001C258A">
      <w:pPr>
        <w:spacing w:after="0" w:line="240" w:lineRule="auto"/>
      </w:pPr>
      <w:r>
        <w:separator/>
      </w:r>
    </w:p>
  </w:footnote>
  <w:footnote w:type="continuationSeparator" w:id="0">
    <w:p w:rsidR="00302D8C" w:rsidRDefault="00302D8C" w:rsidP="001C2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32F6"/>
    <w:rsid w:val="000018C5"/>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E0EF1"/>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02D8C"/>
    <w:rsid w:val="00317461"/>
    <w:rsid w:val="00322ABA"/>
    <w:rsid w:val="00333DB4"/>
    <w:rsid w:val="00343F78"/>
    <w:rsid w:val="003518A8"/>
    <w:rsid w:val="0035436F"/>
    <w:rsid w:val="00356215"/>
    <w:rsid w:val="003611EB"/>
    <w:rsid w:val="00373ACD"/>
    <w:rsid w:val="00374AA5"/>
    <w:rsid w:val="00397D2D"/>
    <w:rsid w:val="003B2490"/>
    <w:rsid w:val="003C5438"/>
    <w:rsid w:val="003F6D30"/>
    <w:rsid w:val="0041085A"/>
    <w:rsid w:val="004162F0"/>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1E3B"/>
    <w:rsid w:val="004E5F65"/>
    <w:rsid w:val="004F0477"/>
    <w:rsid w:val="00503632"/>
    <w:rsid w:val="005057E8"/>
    <w:rsid w:val="005078F0"/>
    <w:rsid w:val="005148E9"/>
    <w:rsid w:val="005229E0"/>
    <w:rsid w:val="00531AC4"/>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6034CF"/>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18EC"/>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7B4B"/>
    <w:rsid w:val="00B3105A"/>
    <w:rsid w:val="00B339C1"/>
    <w:rsid w:val="00B44C49"/>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B4745"/>
    <w:rsid w:val="00FC6A81"/>
    <w:rsid w:val="00FE26ED"/>
    <w:rsid w:val="00FF0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A4AA-ABE2-4D81-8E16-16EFA54F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TotalTime>
  <Pages>14</Pages>
  <Words>4596</Words>
  <Characters>25279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125</cp:revision>
  <cp:lastPrinted>2011-05-18T19:44:00Z</cp:lastPrinted>
  <dcterms:created xsi:type="dcterms:W3CDTF">2009-08-20T08:29:00Z</dcterms:created>
  <dcterms:modified xsi:type="dcterms:W3CDTF">2011-11-13T14:05:00Z</dcterms:modified>
</cp:coreProperties>
</file>