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F3864"/>
          <w:sz w:val="24"/>
          <w:szCs w:val="24"/>
        </w:rPr>
        <w:t xml:space="preserve">PORT AUTONOME DE DOUALA</w:t>
      </w:r>
    </w:p>
    <w:p>
      <w:pPr>
        <w:spacing w:after="800"/>
        <w:jc w:val="center"/>
      </w:pPr>
      <w:r>
        <w:rPr>
          <w:i/>
          <w:iCs/>
          <w:color w:val="595959"/>
          <w:sz w:val="20"/>
          <w:szCs w:val="20"/>
        </w:rPr>
        <w:t xml:space="preserve">Direction des Systèmes d'Information</w:t>
      </w:r>
    </w:p>
    <w:p>
      <w:pPr>
        <w:spacing w:after="200" w:before="1600"/>
        <w:jc w:val="center"/>
      </w:pPr>
      <w:r>
        <w:rPr>
          <w:b/>
          <w:bCs/>
          <w:color w:val="1F3864"/>
          <w:sz w:val="44"/>
          <w:szCs w:val="44"/>
        </w:rPr>
        <w:t xml:space="preserve">CAHIER DES CHARGES</w:t>
      </w:r>
    </w:p>
    <w:p>
      <w:pPr>
        <w:spacing w:after="100"/>
        <w:jc w:val="center"/>
      </w:pPr>
      <w:r>
        <w:rPr>
          <w:b/>
          <w:bCs/>
          <w:color w:val="B08D57"/>
          <w:sz w:val="30"/>
          <w:szCs w:val="30"/>
        </w:rPr>
        <w:t xml:space="preserve">FONCTIONNEL ET TECHNIQUE</w:t>
      </w:r>
    </w:p>
    <w:p>
      <w:pPr>
        <w:pBdr>
          <w:top w:val="single" w:color="B08D57" w:sz="6" w:space="10"/>
          <w:bottom w:val="single" w:color="B08D57" w:sz="6" w:space="10"/>
        </w:pBdr>
        <w:spacing w:after="500" w:before="500"/>
        <w:jc w:val="center"/>
      </w:pPr>
      <w:r>
        <w:rPr>
          <w:b/>
          <w:bCs/>
          <w:color w:val="1F3864"/>
          <w:sz w:val="26"/>
          <w:szCs w:val="26"/>
        </w:rPr>
        <w:t xml:space="preserve">Conception et développement d'une plateforme décisionnelle pour l'analyse des performances des opérations navires : cas du Port Autonome de Douala (PAD)</w:t>
      </w:r>
    </w:p>
    <w:p>
      <w:pPr>
        <w:spacing w:after="80" w:before="1000"/>
        <w:jc w:val="center"/>
      </w:pPr>
      <w:r>
        <w:rPr>
          <w:color w:val="595959"/>
          <w:sz w:val="20"/>
          <w:szCs w:val="20"/>
        </w:rPr>
        <w:t xml:space="preserve">Projet réalisé dans le cadre du stage / mémoire de fin d'études</w:t>
      </w:r>
    </w:p>
    <w:p>
      <w:pPr>
        <w:spacing w:after="1200"/>
        <w:jc w:val="center"/>
      </w:pPr>
      <w:r>
        <w:rPr>
          <w:color w:val="595959"/>
          <w:sz w:val="20"/>
          <w:szCs w:val="20"/>
        </w:rPr>
        <w:t xml:space="preserve">Cycle Master — Informatique / Systèmes d'Information Décisionnels</w:t>
      </w:r>
    </w:p>
    <w:p>
      <w:pPr>
        <w:spacing w:after="100" w:before="2000"/>
        <w:jc w:val="center"/>
      </w:pPr>
      <w:r>
        <w:rPr>
          <w:b/>
          <w:bCs/>
          <w:sz w:val="20"/>
          <w:szCs w:val="20"/>
        </w:rPr>
        <w:t xml:space="preserve">Version 1.0</w:t>
      </w:r>
    </w:p>
    <w:p>
      <w:pPr>
        <w:jc w:val="center"/>
      </w:pPr>
      <w:r>
        <w:rPr>
          <w:sz w:val="20"/>
          <w:szCs w:val="20"/>
        </w:rPr>
        <w:t xml:space="preserve">Juillet 2026</w:t>
      </w:r>
    </w:p>
    <w:p>
      <w:pPr>
        <w:sectPr>
          <w:pgSz w:w="11906" w:h="16838" w:orient="portrait"/>
          <w:pgMar w:top="1000" w:right="1100" w:bottom="1000" w:left="1100" w:header="708" w:footer="708" w:gutter="0"/>
          <w:pgNumType/>
          <w:docGrid w:linePitch="360"/>
        </w:sectPr>
      </w:pPr>
    </w:p>
    <w:p>
      <w:pPr>
        <w:pStyle w:val="Heading1"/>
        <w:spacing w:after="300"/>
      </w:pPr>
      <w:r>
        <w:rPr>
          <w:b/>
          <w:bCs/>
          <w:color w:val="1F3864"/>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sectPr>
          <w:pgSz w:w="11906" w:h="16838" w:orient="portrait"/>
          <w:pgMar w:top="1000" w:right="1100" w:bottom="1000" w:left="1100" w:header="708" w:footer="708" w:gutter="0"/>
          <w:pgNumType/>
          <w:docGrid w:linePitch="360"/>
        </w:sectPr>
      </w:pPr>
    </w:p>
    <w:p>
      <w:pPr>
        <w:pStyle w:val="Heading1"/>
        <w:pageBreakBefore/>
        <w:spacing w:after="240" w:before="480"/>
      </w:pPr>
      <w:r>
        <w:rPr>
          <w:b/>
          <w:bCs/>
          <w:color w:val="1F3864"/>
          <w:sz w:val="30"/>
          <w:szCs w:val="30"/>
        </w:rPr>
        <w:t xml:space="preserve">1. Contexte et justification du projet</w:t>
      </w:r>
    </w:p>
    <w:p>
      <w:pPr>
        <w:spacing w:after="160" w:line="276"/>
        <w:jc w:val="both"/>
      </w:pPr>
      <w:r>
        <w:rPr>
          <w:sz w:val="21"/>
          <w:szCs w:val="21"/>
        </w:rPr>
        <w:t xml:space="preserve">Le secteur portuaire joue un rôle stratégique dans le développement économique d'un pays en assurant le transit des marchandises et la fluidité des échanges commerciaux. Au Cameroun, le Port Autonome de Douala (PAD) constitue la principale plateforme portuaire nationale et un point d'entrée essentiel pour les échanges avec les pays de l'hinterland d'Afrique centrale.</w:t>
      </w:r>
    </w:p>
    <w:p>
      <w:pPr>
        <w:spacing w:after="160" w:line="276"/>
        <w:jc w:val="both"/>
      </w:pPr>
      <w:r>
        <w:rPr>
          <w:sz w:val="21"/>
          <w:szCs w:val="21"/>
        </w:rPr>
        <w:t xml:space="preserve">Les opérations navires — arrivée, accostage, pilotage, remorquage, séjour à quai, appareillage — génèrent quotidiennement un volume important de données issues de plusieurs systèmes d'information. Bien que ces données soient disponibles, elles restent souvent dispersées, hétérogènes et exploitées à des fins essentiellement opérationnelles. Cette fragmentation limite la capacité des responsables à disposer d'une vision globale des performances et à prendre rapidement des décisions fondées sur des indicateurs fiables.</w:t>
      </w:r>
    </w:p>
    <w:p>
      <w:pPr>
        <w:spacing w:after="160" w:line="276"/>
        <w:jc w:val="both"/>
      </w:pPr>
      <w:r>
        <w:rPr>
          <w:sz w:val="21"/>
          <w:szCs w:val="21"/>
        </w:rPr>
        <w:t xml:space="preserve">Dans un contexte marqué par la transformation numérique et la recherche continue d'amélioration de la performance portuaire, il devient nécessaire de mettre en place une plateforme décisionnelle capable de centraliser, d'analyser et de restituer ces données sous forme d'indicateurs de performance (KPI) et de tableaux de bord interactifs.</w:t>
      </w:r>
    </w:p>
    <w:p>
      <w:pPr>
        <w:pStyle w:val="Heading2"/>
        <w:spacing w:after="160" w:before="320"/>
      </w:pPr>
      <w:r>
        <w:rPr>
          <w:b/>
          <w:bCs/>
          <w:color w:val="1F3864"/>
          <w:sz w:val="24"/>
          <w:szCs w:val="24"/>
        </w:rPr>
        <w:t xml:space="preserve">1.1 Problématique</w:t>
      </w:r>
    </w:p>
    <w:p>
      <w:pPr>
        <w:spacing w:after="160" w:line="276"/>
        <w:jc w:val="both"/>
      </w:pPr>
      <w:r>
        <w:rPr>
          <w:sz w:val="21"/>
          <w:szCs w:val="21"/>
        </w:rPr>
        <w:t xml:space="preserve">Comment centraliser, structurer et analyser les données hétérogènes issues des opérations navires afin de fournir aux responsables du PAD des indicateurs fiables, actualisés et exploitables pour le pilotage de la performance portuaire ?</w:t>
      </w:r>
    </w:p>
    <w:p>
      <w:pPr>
        <w:pStyle w:val="Heading2"/>
        <w:spacing w:after="160" w:before="320"/>
      </w:pPr>
      <w:r>
        <w:rPr>
          <w:b/>
          <w:bCs/>
          <w:color w:val="1F3864"/>
          <w:sz w:val="24"/>
          <w:szCs w:val="24"/>
        </w:rPr>
        <w:t xml:space="preserve">1.2 Enjeux du projet</w:t>
      </w:r>
    </w:p>
    <w:p>
      <w:pPr>
        <w:pStyle w:val="ListParagraph"/>
        <w:numPr>
          <w:ilvl w:val="0"/>
          <w:numId w:val="2"/>
        </w:numPr>
        <w:spacing w:after="80"/>
      </w:pPr>
      <w:r>
        <w:rPr>
          <w:sz w:val="21"/>
          <w:szCs w:val="21"/>
        </w:rPr>
        <w:t xml:space="preserve">Disposer d'une vision consolidée et fiable de la performance des opérations navires.</w:t>
      </w:r>
    </w:p>
    <w:p>
      <w:pPr>
        <w:pStyle w:val="ListParagraph"/>
        <w:numPr>
          <w:ilvl w:val="0"/>
          <w:numId w:val="2"/>
        </w:numPr>
        <w:spacing w:after="80"/>
      </w:pPr>
      <w:r>
        <w:rPr>
          <w:sz w:val="21"/>
          <w:szCs w:val="21"/>
        </w:rPr>
        <w:t xml:space="preserve">Réduire le temps de production des rapports de performance, aujourd'hui réalisés manuellement.</w:t>
      </w:r>
    </w:p>
    <w:p>
      <w:pPr>
        <w:pStyle w:val="ListParagraph"/>
        <w:numPr>
          <w:ilvl w:val="0"/>
          <w:numId w:val="2"/>
        </w:numPr>
        <w:spacing w:after="80"/>
      </w:pPr>
      <w:r>
        <w:rPr>
          <w:sz w:val="21"/>
          <w:szCs w:val="21"/>
        </w:rPr>
        <w:t xml:space="preserve">Détecter plus rapidement les situations de congestion ou de contre-performance.</w:t>
      </w:r>
    </w:p>
    <w:p>
      <w:pPr>
        <w:pStyle w:val="ListParagraph"/>
        <w:numPr>
          <w:ilvl w:val="0"/>
          <w:numId w:val="2"/>
        </w:numPr>
        <w:spacing w:after="80"/>
      </w:pPr>
      <w:r>
        <w:rPr>
          <w:sz w:val="21"/>
          <w:szCs w:val="21"/>
        </w:rPr>
        <w:t xml:space="preserve">Fournir aux décideurs des outils d'aide à la décision fondés sur des données actualisées.</w:t>
      </w:r>
    </w:p>
    <w:p>
      <w:pPr>
        <w:pStyle w:val="ListParagraph"/>
        <w:numPr>
          <w:ilvl w:val="0"/>
          <w:numId w:val="2"/>
        </w:numPr>
        <w:spacing w:after="80"/>
      </w:pPr>
      <w:r>
        <w:rPr>
          <w:sz w:val="21"/>
          <w:szCs w:val="21"/>
        </w:rPr>
        <w:t xml:space="preserve">Rapprocher le système d'information du PAD des standards des grands ports internationaux.</w:t>
      </w:r>
    </w:p>
    <w:p>
      <w:pPr>
        <w:pStyle w:val="Heading1"/>
        <w:pageBreakBefore/>
        <w:spacing w:after="240" w:before="480"/>
      </w:pPr>
      <w:r>
        <w:rPr>
          <w:b/>
          <w:bCs/>
          <w:color w:val="1F3864"/>
          <w:sz w:val="30"/>
          <w:szCs w:val="30"/>
        </w:rPr>
        <w:t xml:space="preserve">2. Objectifs du projet</w:t>
      </w:r>
    </w:p>
    <w:p>
      <w:pPr>
        <w:pStyle w:val="Heading2"/>
        <w:spacing w:after="160" w:before="320"/>
      </w:pPr>
      <w:r>
        <w:rPr>
          <w:b/>
          <w:bCs/>
          <w:color w:val="1F3864"/>
          <w:sz w:val="24"/>
          <w:szCs w:val="24"/>
        </w:rPr>
        <w:t xml:space="preserve">2.1 Objectif général</w:t>
      </w:r>
    </w:p>
    <w:p>
      <w:pPr>
        <w:spacing w:after="160" w:line="276"/>
        <w:jc w:val="both"/>
      </w:pPr>
      <w:r>
        <w:rPr>
          <w:sz w:val="21"/>
          <w:szCs w:val="21"/>
        </w:rPr>
        <w:t xml:space="preserve">Concevoir et développer une plateforme décisionnelle permettant d'intégrer, d'analyser et de visualiser les données des opérations navires afin de fournir des indicateurs de performance facilitant la prise de décision au Port Autonome de Douala.</w:t>
      </w:r>
    </w:p>
    <w:p>
      <w:pPr>
        <w:pStyle w:val="Heading2"/>
        <w:spacing w:after="160" w:before="320"/>
      </w:pPr>
      <w:r>
        <w:rPr>
          <w:b/>
          <w:bCs/>
          <w:color w:val="1F3864"/>
          <w:sz w:val="24"/>
          <w:szCs w:val="24"/>
        </w:rPr>
        <w:t xml:space="preserve">2.2 Objectifs spécifiques</w:t>
      </w:r>
    </w:p>
    <w:p>
      <w:pPr>
        <w:pStyle w:val="ListParagraph"/>
        <w:numPr>
          <w:ilvl w:val="0"/>
          <w:numId w:val="3"/>
        </w:numPr>
        <w:spacing w:after="80"/>
      </w:pPr>
      <w:r>
        <w:rPr>
          <w:sz w:val="21"/>
          <w:szCs w:val="21"/>
        </w:rPr>
        <w:t xml:space="preserve">Identifier les différentes sources de données relatives aux opérations navires et analyser leur structure.</w:t>
      </w:r>
    </w:p>
    <w:p>
      <w:pPr>
        <w:pStyle w:val="ListParagraph"/>
        <w:numPr>
          <w:ilvl w:val="0"/>
          <w:numId w:val="3"/>
        </w:numPr>
        <w:spacing w:after="80"/>
      </w:pPr>
      <w:r>
        <w:rPr>
          <w:sz w:val="21"/>
          <w:szCs w:val="21"/>
        </w:rPr>
        <w:t xml:space="preserve">Concevoir un modèle de données décisionnel adapté à l'analyse des performances des opérations navires.</w:t>
      </w:r>
    </w:p>
    <w:p>
      <w:pPr>
        <w:pStyle w:val="ListParagraph"/>
        <w:numPr>
          <w:ilvl w:val="0"/>
          <w:numId w:val="3"/>
        </w:numPr>
        <w:spacing w:after="80"/>
      </w:pPr>
      <w:r>
        <w:rPr>
          <w:sz w:val="21"/>
          <w:szCs w:val="21"/>
        </w:rPr>
        <w:t xml:space="preserve">Développer un processus ETL permettant d'extraire, nettoyer, transformer et intégrer les données dans une base de données décisionnelle.</w:t>
      </w:r>
    </w:p>
    <w:p>
      <w:pPr>
        <w:pStyle w:val="ListParagraph"/>
        <w:numPr>
          <w:ilvl w:val="0"/>
          <w:numId w:val="3"/>
        </w:numPr>
        <w:spacing w:after="80"/>
      </w:pPr>
      <w:r>
        <w:rPr>
          <w:sz w:val="21"/>
          <w:szCs w:val="21"/>
        </w:rPr>
        <w:t xml:space="preserve">Définir et implémenter un ensemble de KPI permettant d'évaluer les performances des opérations navires (temps de séjour, temps d'attente, taux d'occupation des quais, productivité, ponctualité, congestion, etc.).</w:t>
      </w:r>
    </w:p>
    <w:p>
      <w:pPr>
        <w:pStyle w:val="ListParagraph"/>
        <w:numPr>
          <w:ilvl w:val="0"/>
          <w:numId w:val="3"/>
        </w:numPr>
        <w:spacing w:after="80"/>
      </w:pPr>
      <w:r>
        <w:rPr>
          <w:sz w:val="21"/>
          <w:szCs w:val="21"/>
        </w:rPr>
        <w:t xml:space="preserve">Développer une application web permettant la consultation des indicateurs de performance à travers des tableaux de bord interactifs.</w:t>
      </w:r>
    </w:p>
    <w:p>
      <w:pPr>
        <w:pStyle w:val="ListParagraph"/>
        <w:numPr>
          <w:ilvl w:val="0"/>
          <w:numId w:val="3"/>
        </w:numPr>
        <w:spacing w:after="80"/>
      </w:pPr>
      <w:r>
        <w:rPr>
          <w:sz w:val="21"/>
          <w:szCs w:val="21"/>
        </w:rPr>
        <w:t xml:space="preserve">Mettre en œuvre des fonctionnalités d'analyse multidimensionnelle afin de comparer les performances selon différentes dimensions (terminal, quai, type de navire, période, compagnie maritime).</w:t>
      </w:r>
    </w:p>
    <w:p>
      <w:pPr>
        <w:pStyle w:val="ListParagraph"/>
        <w:numPr>
          <w:ilvl w:val="0"/>
          <w:numId w:val="3"/>
        </w:numPr>
        <w:spacing w:after="80"/>
      </w:pPr>
      <w:r>
        <w:rPr>
          <w:sz w:val="21"/>
          <w:szCs w:val="21"/>
        </w:rPr>
        <w:t xml:space="preserve">Intégrer un système d'alertes permettant d'identifier automatiquement les situations de contre-performance ou de congestion.</w:t>
      </w:r>
    </w:p>
    <w:p>
      <w:pPr>
        <w:pStyle w:val="ListParagraph"/>
        <w:numPr>
          <w:ilvl w:val="0"/>
          <w:numId w:val="3"/>
        </w:numPr>
        <w:spacing w:after="80"/>
      </w:pPr>
      <w:r>
        <w:rPr>
          <w:sz w:val="21"/>
          <w:szCs w:val="21"/>
        </w:rPr>
        <w:t xml:space="preserve">Produire des rapports analytiques périodiques destinés aux responsables opérationnels et aux décideurs.</w:t>
      </w:r>
    </w:p>
    <w:p>
      <w:pPr>
        <w:pStyle w:val="ListParagraph"/>
        <w:numPr>
          <w:ilvl w:val="0"/>
          <w:numId w:val="3"/>
        </w:numPr>
        <w:spacing w:after="80"/>
      </w:pPr>
      <w:r>
        <w:rPr>
          <w:sz w:val="21"/>
          <w:szCs w:val="21"/>
        </w:rPr>
        <w:t xml:space="preserve">Évaluer les performances de la plateforme et son apport dans l'amélioration du pilotage des opérations navires.</w:t>
      </w:r>
    </w:p>
    <w:p>
      <w:pPr>
        <w:pStyle w:val="Heading1"/>
        <w:pageBreakBefore/>
        <w:spacing w:after="240" w:before="480"/>
      </w:pPr>
      <w:r>
        <w:rPr>
          <w:b/>
          <w:bCs/>
          <w:color w:val="1F3864"/>
          <w:sz w:val="30"/>
          <w:szCs w:val="30"/>
        </w:rPr>
        <w:t xml:space="preserve">3. Périmètre du projet</w:t>
      </w:r>
    </w:p>
    <w:p>
      <w:pPr>
        <w:pStyle w:val="Heading2"/>
        <w:spacing w:after="160" w:before="320"/>
      </w:pPr>
      <w:r>
        <w:rPr>
          <w:b/>
          <w:bCs/>
          <w:color w:val="1F3864"/>
          <w:sz w:val="24"/>
          <w:szCs w:val="24"/>
        </w:rPr>
        <w:t xml:space="preserve">3.1 Ce qui est inclus</w:t>
      </w:r>
    </w:p>
    <w:p>
      <w:pPr>
        <w:pStyle w:val="ListParagraph"/>
        <w:numPr>
          <w:ilvl w:val="0"/>
          <w:numId w:val="2"/>
        </w:numPr>
        <w:spacing w:after="80"/>
      </w:pPr>
      <w:r>
        <w:rPr>
          <w:sz w:val="21"/>
          <w:szCs w:val="21"/>
        </w:rPr>
        <w:t xml:space="preserve">La collecte de données à partir de fichiers CSV et Excel (avec prévision d'une connexion future à Oracle).</w:t>
      </w:r>
    </w:p>
    <w:p>
      <w:pPr>
        <w:pStyle w:val="ListParagraph"/>
        <w:numPr>
          <w:ilvl w:val="0"/>
          <w:numId w:val="2"/>
        </w:numPr>
        <w:spacing w:after="80"/>
      </w:pPr>
      <w:r>
        <w:rPr>
          <w:sz w:val="21"/>
          <w:szCs w:val="21"/>
        </w:rPr>
        <w:t xml:space="preserve">La construction d'un entrepôt de données (Data Warehouse) dédié aux opérations navires.</w:t>
      </w:r>
    </w:p>
    <w:p>
      <w:pPr>
        <w:pStyle w:val="ListParagraph"/>
        <w:numPr>
          <w:ilvl w:val="0"/>
          <w:numId w:val="2"/>
        </w:numPr>
        <w:spacing w:after="80"/>
      </w:pPr>
      <w:r>
        <w:rPr>
          <w:sz w:val="21"/>
          <w:szCs w:val="21"/>
        </w:rPr>
        <w:t xml:space="preserve">Le calcul automatique des KPI de trafic, de temps, d'infrastructures et de performance.</w:t>
      </w:r>
    </w:p>
    <w:p>
      <w:pPr>
        <w:pStyle w:val="ListParagraph"/>
        <w:numPr>
          <w:ilvl w:val="0"/>
          <w:numId w:val="2"/>
        </w:numPr>
        <w:spacing w:after="80"/>
      </w:pPr>
      <w:r>
        <w:rPr>
          <w:sz w:val="21"/>
          <w:szCs w:val="21"/>
        </w:rPr>
        <w:t xml:space="preserve">Une application web de visualisation avec des tableaux de bord adaptés à trois profils (Direction, Exploitation, Capitainerie).</w:t>
      </w:r>
    </w:p>
    <w:p>
      <w:pPr>
        <w:pStyle w:val="ListParagraph"/>
        <w:numPr>
          <w:ilvl w:val="0"/>
          <w:numId w:val="2"/>
        </w:numPr>
        <w:spacing w:after="80"/>
      </w:pPr>
      <w:r>
        <w:rPr>
          <w:sz w:val="21"/>
          <w:szCs w:val="21"/>
        </w:rPr>
        <w:t xml:space="preserve">Un système d'alertes et un module de reporting (PDF, Excel).</w:t>
      </w:r>
    </w:p>
    <w:p>
      <w:pPr>
        <w:pStyle w:val="ListParagraph"/>
        <w:numPr>
          <w:ilvl w:val="0"/>
          <w:numId w:val="2"/>
        </w:numPr>
        <w:spacing w:after="80"/>
      </w:pPr>
      <w:r>
        <w:rPr>
          <w:sz w:val="21"/>
          <w:szCs w:val="21"/>
        </w:rPr>
        <w:t xml:space="preserve">Un module d'administration (utilisateurs, rôles, paramétrage des KPI et des seuils).</w:t>
      </w:r>
    </w:p>
    <w:p>
      <w:pPr>
        <w:pStyle w:val="Heading2"/>
        <w:spacing w:after="160" w:before="320"/>
      </w:pPr>
      <w:r>
        <w:rPr>
          <w:b/>
          <w:bCs/>
          <w:color w:val="1F3864"/>
          <w:sz w:val="24"/>
          <w:szCs w:val="24"/>
        </w:rPr>
        <w:t xml:space="preserve">3.2 Ce qui est exclu (hors périmètre)</w:t>
      </w:r>
    </w:p>
    <w:p>
      <w:pPr>
        <w:pStyle w:val="ListParagraph"/>
        <w:numPr>
          <w:ilvl w:val="0"/>
          <w:numId w:val="2"/>
        </w:numPr>
        <w:spacing w:after="80"/>
      </w:pPr>
      <w:r>
        <w:rPr>
          <w:sz w:val="21"/>
          <w:szCs w:val="21"/>
        </w:rPr>
        <w:t xml:space="preserve">L'intégration en production avec la base Oracle réelle du PAD (seule l'interface de connexion est prévue à ce stade).</w:t>
      </w:r>
    </w:p>
    <w:p>
      <w:pPr>
        <w:pStyle w:val="ListParagraph"/>
        <w:numPr>
          <w:ilvl w:val="0"/>
          <w:numId w:val="2"/>
        </w:numPr>
        <w:spacing w:after="80"/>
      </w:pPr>
      <w:r>
        <w:rPr>
          <w:sz w:val="21"/>
          <w:szCs w:val="21"/>
        </w:rPr>
        <w:t xml:space="preserve">Le remplacement des systèmes opérationnels existants de gestion des escales.</w:t>
      </w:r>
    </w:p>
    <w:p>
      <w:pPr>
        <w:pStyle w:val="ListParagraph"/>
        <w:numPr>
          <w:ilvl w:val="0"/>
          <w:numId w:val="2"/>
        </w:numPr>
        <w:spacing w:after="80"/>
      </w:pPr>
      <w:r>
        <w:rPr>
          <w:sz w:val="21"/>
          <w:szCs w:val="21"/>
        </w:rPr>
        <w:t xml:space="preserve">Le développement d'un module d'analyse prédictive avancé (le machine learning avec scikit-learn reste optionnel et exploratoire).</w:t>
      </w:r>
    </w:p>
    <w:p>
      <w:pPr>
        <w:pStyle w:val="ListParagraph"/>
        <w:numPr>
          <w:ilvl w:val="0"/>
          <w:numId w:val="2"/>
        </w:numPr>
        <w:spacing w:after="80"/>
      </w:pPr>
      <w:r>
        <w:rPr>
          <w:sz w:val="21"/>
          <w:szCs w:val="21"/>
        </w:rPr>
        <w:t xml:space="preserve">La gestion financière et douanière des marchandises, hors périmètre de l'analyse des opérations navires.</w:t>
      </w:r>
    </w:p>
    <w:p>
      <w:pPr>
        <w:pStyle w:val="Heading1"/>
        <w:pageBreakBefore/>
        <w:spacing w:after="240" w:before="480"/>
      </w:pPr>
      <w:r>
        <w:rPr>
          <w:b/>
          <w:bCs/>
          <w:color w:val="1F3864"/>
          <w:sz w:val="30"/>
          <w:szCs w:val="30"/>
        </w:rPr>
        <w:t xml:space="preserve">4. Description fonctionnelle des modules</w:t>
      </w:r>
    </w:p>
    <w:p>
      <w:pPr>
        <w:spacing w:after="160" w:line="276"/>
        <w:jc w:val="both"/>
      </w:pPr>
      <w:r>
        <w:rPr>
          <w:sz w:val="21"/>
          <w:szCs w:val="21"/>
        </w:rPr>
        <w:t xml:space="preserve">La plateforme est organisée autour de huit modules fonctionnels complémentaires, décrits ci-dessous.</w:t>
      </w:r>
    </w:p>
    <w:p>
      <w:pPr>
        <w:pStyle w:val="Heading2"/>
        <w:spacing w:after="160" w:before="320"/>
      </w:pPr>
      <w:r>
        <w:rPr>
          <w:b/>
          <w:bCs/>
          <w:color w:val="1F3864"/>
          <w:sz w:val="24"/>
          <w:szCs w:val="24"/>
        </w:rPr>
        <w:t xml:space="preserve">Module 1 — Collecte et intégration des données (ETL)</w:t>
      </w:r>
    </w:p>
    <w:p>
      <w:pPr>
        <w:spacing w:after="160" w:line="276"/>
        <w:jc w:val="both"/>
      </w:pPr>
      <w:r>
        <w:rPr>
          <w:sz w:val="21"/>
          <w:szCs w:val="21"/>
        </w:rPr>
        <w:t xml:space="preserve">Objectif : centraliser les données provenant de plusieurs sources hétérogènes.</w:t>
      </w:r>
    </w:p>
    <w:p>
      <w:pPr>
        <w:pStyle w:val="ListParagraph"/>
        <w:numPr>
          <w:ilvl w:val="0"/>
          <w:numId w:val="2"/>
        </w:numPr>
        <w:spacing w:after="80"/>
      </w:pPr>
      <w:r>
        <w:rPr>
          <w:sz w:val="21"/>
          <w:szCs w:val="21"/>
        </w:rPr>
        <w:t xml:space="preserve">Import de fichiers CSV et Excel.</w:t>
      </w:r>
    </w:p>
    <w:p>
      <w:pPr>
        <w:pStyle w:val="ListParagraph"/>
        <w:numPr>
          <w:ilvl w:val="0"/>
          <w:numId w:val="2"/>
        </w:numPr>
        <w:spacing w:after="80"/>
      </w:pPr>
      <w:r>
        <w:rPr>
          <w:sz w:val="21"/>
          <w:szCs w:val="21"/>
        </w:rPr>
        <w:t xml:space="preserve">Connexion future à une base Oracle.</w:t>
      </w:r>
    </w:p>
    <w:p>
      <w:pPr>
        <w:pStyle w:val="ListParagraph"/>
        <w:numPr>
          <w:ilvl w:val="0"/>
          <w:numId w:val="2"/>
        </w:numPr>
        <w:spacing w:after="80"/>
      </w:pPr>
      <w:r>
        <w:rPr>
          <w:sz w:val="21"/>
          <w:szCs w:val="21"/>
        </w:rPr>
        <w:t xml:space="preserve">Contrôle qualité et nettoyage des données.</w:t>
      </w:r>
    </w:p>
    <w:p>
      <w:pPr>
        <w:pStyle w:val="ListParagraph"/>
        <w:numPr>
          <w:ilvl w:val="0"/>
          <w:numId w:val="2"/>
        </w:numPr>
        <w:spacing w:after="80"/>
      </w:pPr>
      <w:r>
        <w:rPr>
          <w:sz w:val="21"/>
          <w:szCs w:val="21"/>
        </w:rPr>
        <w:t xml:space="preserve">Transformation et chargement dans la base décisionnelle.</w:t>
      </w:r>
    </w:p>
    <w:p>
      <w:pPr>
        <w:pStyle w:val="ListParagraph"/>
        <w:numPr>
          <w:ilvl w:val="0"/>
          <w:numId w:val="2"/>
        </w:numPr>
        <w:spacing w:after="80"/>
      </w:pPr>
      <w:r>
        <w:rPr>
          <w:sz w:val="21"/>
          <w:szCs w:val="21"/>
        </w:rPr>
        <w:t xml:space="preserve">Historisation des imports (traçabilité des traitements ETL).</w:t>
      </w:r>
    </w:p>
    <w:p>
      <w:pPr>
        <w:pStyle w:val="Heading2"/>
        <w:spacing w:after="160" w:before="320"/>
      </w:pPr>
      <w:r>
        <w:rPr>
          <w:b/>
          <w:bCs/>
          <w:color w:val="1F3864"/>
          <w:sz w:val="24"/>
          <w:szCs w:val="24"/>
        </w:rPr>
        <w:t xml:space="preserve">Module 2 — Entrepôt de données (Data Warehouse)</w:t>
      </w:r>
    </w:p>
    <w:p>
      <w:pPr>
        <w:spacing w:after="160" w:line="276"/>
        <w:jc w:val="both"/>
      </w:pPr>
      <w:r>
        <w:rPr>
          <w:sz w:val="21"/>
          <w:szCs w:val="21"/>
        </w:rPr>
        <w:t xml:space="preserve">Objectif : structurer les données pour l'analyse décisionnelle.</w:t>
      </w:r>
    </w:p>
    <w:p>
      <w:pPr>
        <w:pStyle w:val="ListParagraph"/>
        <w:numPr>
          <w:ilvl w:val="0"/>
          <w:numId w:val="2"/>
        </w:numPr>
        <w:spacing w:after="80"/>
      </w:pPr>
      <w:r>
        <w:rPr>
          <w:sz w:val="21"/>
          <w:szCs w:val="21"/>
        </w:rPr>
        <w:t xml:space="preserve">Données intégrées : navires, escales, quais, terminaux, services nautiques, types de navires, calendrier.</w:t>
      </w:r>
    </w:p>
    <w:p>
      <w:pPr>
        <w:pStyle w:val="ListParagraph"/>
        <w:numPr>
          <w:ilvl w:val="0"/>
          <w:numId w:val="2"/>
        </w:numPr>
        <w:spacing w:after="80"/>
      </w:pPr>
      <w:r>
        <w:rPr>
          <w:sz w:val="21"/>
          <w:szCs w:val="21"/>
        </w:rPr>
        <w:t xml:space="preserve">Fonctionnalités : historisation, agrégation, gestion des dimensions et des faits.</w:t>
      </w:r>
    </w:p>
    <w:p>
      <w:pPr>
        <w:pStyle w:val="Heading2"/>
        <w:spacing w:after="160" w:before="320"/>
      </w:pPr>
      <w:r>
        <w:rPr>
          <w:b/>
          <w:bCs/>
          <w:color w:val="1F3864"/>
          <w:sz w:val="24"/>
          <w:szCs w:val="24"/>
        </w:rPr>
        <w:t xml:space="preserve">Module 3 — Calcul automatique des KPI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Catégorie</w:t>
            </w:r>
          </w:p>
        </w:tc>
        <w:tc>
          <w:tcPr>
            <w:tcW w:type="dxa" w:w="6300"/>
            <w:shd w:fill="1F3864" w:val="clear"/>
            <w:tcMar>
              <w:top w:type="dxa" w:w="80"/>
              <w:left w:type="dxa" w:w="120"/>
              <w:bottom w:type="dxa" w:w="80"/>
              <w:right w:type="dxa" w:w="120"/>
            </w:tcMar>
            <w:vAlign w:val="center"/>
          </w:tcPr>
          <w:p>
            <w:pPr>
              <w:jc w:val="left"/>
            </w:pPr>
            <w:r>
              <w:rPr>
                <w:b/>
                <w:bCs/>
                <w:color w:val="FFFFFF"/>
                <w:sz w:val="19"/>
                <w:szCs w:val="19"/>
              </w:rPr>
              <w:t xml:space="preserve">Indicateurs</w:t>
            </w:r>
          </w:p>
        </w:tc>
      </w:tr>
      <w:tr>
        <w:tc>
          <w:tcPr>
            <w:tcW w:type="dxa" w:w="3200"/>
            <w:tcMar>
              <w:top w:type="dxa" w:w="80"/>
              <w:left w:type="dxa" w:w="120"/>
              <w:bottom w:type="dxa" w:w="80"/>
              <w:right w:type="dxa" w:w="120"/>
            </w:tcMar>
            <w:vAlign w:val="center"/>
          </w:tcPr>
          <w:p>
            <w:pPr>
              <w:jc w:val="left"/>
            </w:pPr>
            <w:r>
              <w:rPr>
                <w:b w:val="false"/>
                <w:bCs w:val="false"/>
                <w:color w:val="000000"/>
                <w:sz w:val="19"/>
                <w:szCs w:val="19"/>
              </w:rPr>
              <w:t xml:space="preserve">KPI Trafic</w:t>
            </w:r>
          </w:p>
        </w:tc>
        <w:tc>
          <w:tcPr>
            <w:tcW w:type="dxa" w:w="6300"/>
            <w:tcMar>
              <w:top w:type="dxa" w:w="80"/>
              <w:left w:type="dxa" w:w="120"/>
              <w:bottom w:type="dxa" w:w="80"/>
              <w:right w:type="dxa" w:w="120"/>
            </w:tcMar>
            <w:vAlign w:val="center"/>
          </w:tcPr>
          <w:p>
            <w:pPr>
              <w:jc w:val="left"/>
            </w:pPr>
            <w:r>
              <w:rPr>
                <w:b w:val="false"/>
                <w:bCs w:val="false"/>
                <w:color w:val="000000"/>
                <w:sz w:val="19"/>
                <w:szCs w:val="19"/>
              </w:rPr>
              <w:t xml:space="preserve">Nombre d'escales, nombre d'arrivées, nombre de départs</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KPI Temps</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Temps moyen d'attente, de séjour, de pilotage, d'accostage</w:t>
            </w:r>
          </w:p>
        </w:tc>
      </w:tr>
      <w:tr>
        <w:tc>
          <w:tcPr>
            <w:tcW w:type="dxa" w:w="3200"/>
            <w:tcMar>
              <w:top w:type="dxa" w:w="80"/>
              <w:left w:type="dxa" w:w="120"/>
              <w:bottom w:type="dxa" w:w="80"/>
              <w:right w:type="dxa" w:w="120"/>
            </w:tcMar>
            <w:vAlign w:val="center"/>
          </w:tcPr>
          <w:p>
            <w:pPr>
              <w:jc w:val="left"/>
            </w:pPr>
            <w:r>
              <w:rPr>
                <w:b w:val="false"/>
                <w:bCs w:val="false"/>
                <w:color w:val="000000"/>
                <w:sz w:val="19"/>
                <w:szCs w:val="19"/>
              </w:rPr>
              <w:t xml:space="preserve">KPI Infrastructures</w:t>
            </w:r>
          </w:p>
        </w:tc>
        <w:tc>
          <w:tcPr>
            <w:tcW w:type="dxa" w:w="6300"/>
            <w:tcMar>
              <w:top w:type="dxa" w:w="80"/>
              <w:left w:type="dxa" w:w="120"/>
              <w:bottom w:type="dxa" w:w="80"/>
              <w:right w:type="dxa" w:w="120"/>
            </w:tcMar>
            <w:vAlign w:val="center"/>
          </w:tcPr>
          <w:p>
            <w:pPr>
              <w:jc w:val="left"/>
            </w:pPr>
            <w:r>
              <w:rPr>
                <w:b w:val="false"/>
                <w:bCs w:val="false"/>
                <w:color w:val="000000"/>
                <w:sz w:val="19"/>
                <w:szCs w:val="19"/>
              </w:rPr>
              <w:t xml:space="preserve">Taux d'occupation des quais, rotation des quais, disponibilité des postes</w:t>
            </w:r>
          </w:p>
        </w:tc>
      </w:tr>
      <w:tr>
        <w:tc>
          <w:tcPr>
            <w:tcW w:type="dxa" w:w="32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KPI Performance</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Productivité, ponctualité, congestion</w:t>
            </w:r>
          </w:p>
        </w:tc>
      </w:tr>
    </w:tbl>
    <w:p>
      <w:pPr>
        <w:spacing w:before="200"/>
      </w:pPr>
    </w:p>
    <w:p>
      <w:pPr>
        <w:pStyle w:val="Heading2"/>
        <w:spacing w:after="160" w:before="320"/>
      </w:pPr>
      <w:r>
        <w:rPr>
          <w:b/>
          <w:bCs/>
          <w:color w:val="1F3864"/>
          <w:sz w:val="24"/>
          <w:szCs w:val="24"/>
        </w:rPr>
        <w:t xml:space="preserve">Module 4 — Analyse multidimensionnelle</w:t>
      </w:r>
    </w:p>
    <w:p>
      <w:pPr>
        <w:spacing w:after="160" w:line="276"/>
        <w:jc w:val="both"/>
      </w:pPr>
      <w:r>
        <w:rPr>
          <w:sz w:val="21"/>
          <w:szCs w:val="21"/>
        </w:rPr>
        <w:t xml:space="preserve">Dimensions d'analyse : période, terminal, quai, type de navire, compagnie maritime, agent maritime.</w:t>
      </w:r>
    </w:p>
    <w:p>
      <w:pPr>
        <w:pStyle w:val="ListParagraph"/>
        <w:numPr>
          <w:ilvl w:val="0"/>
          <w:numId w:val="2"/>
        </w:numPr>
        <w:spacing w:after="80"/>
      </w:pPr>
      <w:r>
        <w:rPr>
          <w:sz w:val="21"/>
          <w:szCs w:val="21"/>
        </w:rPr>
        <w:t xml:space="preserve">Filtres dynamiques combinables.</w:t>
      </w:r>
    </w:p>
    <w:p>
      <w:pPr>
        <w:pStyle w:val="ListParagraph"/>
        <w:numPr>
          <w:ilvl w:val="0"/>
          <w:numId w:val="2"/>
        </w:numPr>
        <w:spacing w:after="80"/>
      </w:pPr>
      <w:r>
        <w:rPr>
          <w:sz w:val="21"/>
          <w:szCs w:val="21"/>
        </w:rPr>
        <w:t xml:space="preserve">Comparaisons entre périodes.</w:t>
      </w:r>
    </w:p>
    <w:p>
      <w:pPr>
        <w:pStyle w:val="ListParagraph"/>
        <w:numPr>
          <w:ilvl w:val="0"/>
          <w:numId w:val="2"/>
        </w:numPr>
        <w:spacing w:after="80"/>
      </w:pPr>
      <w:r>
        <w:rPr>
          <w:sz w:val="21"/>
          <w:szCs w:val="21"/>
        </w:rPr>
        <w:t xml:space="preserve">Analyses croisées par terminal et par type de navire.</w:t>
      </w:r>
    </w:p>
    <w:p>
      <w:pPr>
        <w:pStyle w:val="Heading2"/>
        <w:spacing w:after="160" w:before="320"/>
      </w:pPr>
      <w:r>
        <w:rPr>
          <w:b/>
          <w:bCs/>
          <w:color w:val="1F3864"/>
          <w:sz w:val="24"/>
          <w:szCs w:val="24"/>
        </w:rPr>
        <w:t xml:space="preserve">Module 5 — Tableaux de bord décisionnels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19"/>
                <w:szCs w:val="19"/>
              </w:rPr>
              <w:t xml:space="preserve">Vue</w:t>
            </w:r>
          </w:p>
        </w:tc>
        <w:tc>
          <w:tcPr>
            <w:tcW w:type="dxa" w:w="6700"/>
            <w:shd w:fill="1F3864" w:val="clear"/>
            <w:tcMar>
              <w:top w:type="dxa" w:w="80"/>
              <w:left w:type="dxa" w:w="120"/>
              <w:bottom w:type="dxa" w:w="80"/>
              <w:right w:type="dxa" w:w="120"/>
            </w:tcMar>
            <w:vAlign w:val="center"/>
          </w:tcPr>
          <w:p>
            <w:pPr>
              <w:jc w:val="left"/>
            </w:pPr>
            <w:r>
              <w:rPr>
                <w:b/>
                <w:bCs/>
                <w:color w:val="FFFFFF"/>
                <w:sz w:val="19"/>
                <w:szCs w:val="19"/>
              </w:rPr>
              <w:t xml:space="preserve">Contenu</w:t>
            </w:r>
          </w:p>
        </w:tc>
      </w:tr>
      <w:tr>
        <w:tc>
          <w:tcPr>
            <w:tcW w:type="dxa" w:w="2800"/>
            <w:tcMar>
              <w:top w:type="dxa" w:w="80"/>
              <w:left w:type="dxa" w:w="120"/>
              <w:bottom w:type="dxa" w:w="80"/>
              <w:right w:type="dxa" w:w="120"/>
            </w:tcMar>
            <w:vAlign w:val="center"/>
          </w:tcPr>
          <w:p>
            <w:pPr>
              <w:jc w:val="left"/>
            </w:pPr>
            <w:r>
              <w:rPr>
                <w:b w:val="false"/>
                <w:bCs w:val="false"/>
                <w:color w:val="000000"/>
                <w:sz w:val="19"/>
                <w:szCs w:val="19"/>
              </w:rPr>
              <w:t xml:space="preserve">Vue Direction</w:t>
            </w:r>
          </w:p>
        </w:tc>
        <w:tc>
          <w:tcPr>
            <w:tcW w:type="dxa" w:w="6700"/>
            <w:tcMar>
              <w:top w:type="dxa" w:w="80"/>
              <w:left w:type="dxa" w:w="120"/>
              <w:bottom w:type="dxa" w:w="80"/>
              <w:right w:type="dxa" w:w="120"/>
            </w:tcMar>
            <w:vAlign w:val="center"/>
          </w:tcPr>
          <w:p>
            <w:pPr>
              <w:jc w:val="left"/>
            </w:pPr>
            <w:r>
              <w:rPr>
                <w:b w:val="false"/>
                <w:bCs w:val="false"/>
                <w:color w:val="000000"/>
                <w:sz w:val="19"/>
                <w:szCs w:val="19"/>
              </w:rPr>
              <w:t xml:space="preserve">KPI globaux, tendances, comparaisons, évolution mensuelle</w:t>
            </w:r>
          </w:p>
        </w:tc>
      </w:tr>
      <w:tr>
        <w:tc>
          <w:tcPr>
            <w:tcW w:type="dxa" w:w="28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Vue Exploitation</w:t>
            </w:r>
          </w:p>
        </w:tc>
        <w:tc>
          <w:tcPr>
            <w:tcW w:type="dxa" w:w="67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Performance des quais et terminaux, congestion, temps d'attente</w:t>
            </w:r>
          </w:p>
        </w:tc>
      </w:tr>
      <w:tr>
        <w:tc>
          <w:tcPr>
            <w:tcW w:type="dxa" w:w="2800"/>
            <w:tcMar>
              <w:top w:type="dxa" w:w="80"/>
              <w:left w:type="dxa" w:w="120"/>
              <w:bottom w:type="dxa" w:w="80"/>
              <w:right w:type="dxa" w:w="120"/>
            </w:tcMar>
            <w:vAlign w:val="center"/>
          </w:tcPr>
          <w:p>
            <w:pPr>
              <w:jc w:val="left"/>
            </w:pPr>
            <w:r>
              <w:rPr>
                <w:b w:val="false"/>
                <w:bCs w:val="false"/>
                <w:color w:val="000000"/>
                <w:sz w:val="19"/>
                <w:szCs w:val="19"/>
              </w:rPr>
              <w:t xml:space="preserve">Vue Capitainerie</w:t>
            </w:r>
          </w:p>
        </w:tc>
        <w:tc>
          <w:tcPr>
            <w:tcW w:type="dxa" w:w="6700"/>
            <w:tcMar>
              <w:top w:type="dxa" w:w="80"/>
              <w:left w:type="dxa" w:w="120"/>
              <w:bottom w:type="dxa" w:w="80"/>
              <w:right w:type="dxa" w:w="120"/>
            </w:tcMar>
            <w:vAlign w:val="center"/>
          </w:tcPr>
          <w:p>
            <w:pPr>
              <w:jc w:val="left"/>
            </w:pPr>
            <w:r>
              <w:rPr>
                <w:b w:val="false"/>
                <w:bCs w:val="false"/>
                <w:color w:val="000000"/>
                <w:sz w:val="19"/>
                <w:szCs w:val="19"/>
              </w:rPr>
              <w:t xml:space="preserve">Répartition des escales, analyse des retards, statistiques par type de navire</w:t>
            </w:r>
          </w:p>
        </w:tc>
      </w:tr>
    </w:tbl>
    <w:p>
      <w:pPr>
        <w:spacing w:before="200"/>
      </w:pPr>
    </w:p>
    <w:p>
      <w:pPr>
        <w:pStyle w:val="Heading2"/>
        <w:spacing w:after="160" w:before="320"/>
      </w:pPr>
      <w:r>
        <w:rPr>
          <w:b/>
          <w:bCs/>
          <w:color w:val="1F3864"/>
          <w:sz w:val="24"/>
          <w:szCs w:val="24"/>
        </w:rPr>
        <w:t xml:space="preserve">Module 6 — Alertes et aide à la décision</w:t>
      </w:r>
    </w:p>
    <w:p>
      <w:pPr>
        <w:pStyle w:val="ListParagraph"/>
        <w:numPr>
          <w:ilvl w:val="0"/>
          <w:numId w:val="2"/>
        </w:numPr>
        <w:spacing w:after="80"/>
      </w:pPr>
      <w:r>
        <w:rPr>
          <w:sz w:val="21"/>
          <w:szCs w:val="21"/>
        </w:rPr>
        <w:t xml:space="preserve">Alertes : temps de séjour élevé, quai saturé, retards importants, congestion.</w:t>
      </w:r>
    </w:p>
    <w:p>
      <w:pPr>
        <w:pStyle w:val="ListParagraph"/>
        <w:numPr>
          <w:ilvl w:val="0"/>
          <w:numId w:val="2"/>
        </w:numPr>
        <w:spacing w:after="80"/>
      </w:pPr>
      <w:r>
        <w:rPr>
          <w:sz w:val="21"/>
          <w:szCs w:val="21"/>
        </w:rPr>
        <w:t xml:space="preserve">Analyse : identification des points critiques, classement des terminaux et des quais, analyse des tendances.</w:t>
      </w:r>
    </w:p>
    <w:p>
      <w:pPr>
        <w:pStyle w:val="Heading2"/>
        <w:spacing w:after="160" w:before="320"/>
      </w:pPr>
      <w:r>
        <w:rPr>
          <w:b/>
          <w:bCs/>
          <w:color w:val="1F3864"/>
          <w:sz w:val="24"/>
          <w:szCs w:val="24"/>
        </w:rPr>
        <w:t xml:space="preserve">Module 7 — Reporting</w:t>
      </w:r>
    </w:p>
    <w:p>
      <w:pPr>
        <w:pStyle w:val="ListParagraph"/>
        <w:numPr>
          <w:ilvl w:val="0"/>
          <w:numId w:val="2"/>
        </w:numPr>
        <w:spacing w:after="80"/>
      </w:pPr>
      <w:r>
        <w:rPr>
          <w:sz w:val="21"/>
          <w:szCs w:val="21"/>
        </w:rPr>
        <w:t xml:space="preserve">Rapports journalier, hebdomadaire et mensuel.</w:t>
      </w:r>
    </w:p>
    <w:p>
      <w:pPr>
        <w:pStyle w:val="ListParagraph"/>
        <w:numPr>
          <w:ilvl w:val="0"/>
          <w:numId w:val="2"/>
        </w:numPr>
        <w:spacing w:after="80"/>
      </w:pPr>
      <w:r>
        <w:rPr>
          <w:sz w:val="21"/>
          <w:szCs w:val="21"/>
        </w:rPr>
        <w:t xml:space="preserve">Export au format PDF et Excel.</w:t>
      </w:r>
    </w:p>
    <w:p>
      <w:pPr>
        <w:pStyle w:val="Heading2"/>
        <w:spacing w:after="160" w:before="320"/>
      </w:pPr>
      <w:r>
        <w:rPr>
          <w:b/>
          <w:bCs/>
          <w:color w:val="1F3864"/>
          <w:sz w:val="24"/>
          <w:szCs w:val="24"/>
        </w:rPr>
        <w:t xml:space="preserve">Module 8 — Administration</w:t>
      </w:r>
    </w:p>
    <w:p>
      <w:pPr>
        <w:pStyle w:val="ListParagraph"/>
        <w:numPr>
          <w:ilvl w:val="0"/>
          <w:numId w:val="2"/>
        </w:numPr>
        <w:spacing w:after="80"/>
      </w:pPr>
      <w:r>
        <w:rPr>
          <w:sz w:val="21"/>
          <w:szCs w:val="21"/>
        </w:rPr>
        <w:t xml:space="preserve">Gestion des utilisateurs et des rôles.</w:t>
      </w:r>
    </w:p>
    <w:p>
      <w:pPr>
        <w:pStyle w:val="ListParagraph"/>
        <w:numPr>
          <w:ilvl w:val="0"/>
          <w:numId w:val="2"/>
        </w:numPr>
        <w:spacing w:after="80"/>
      </w:pPr>
      <w:r>
        <w:rPr>
          <w:sz w:val="21"/>
          <w:szCs w:val="21"/>
        </w:rPr>
        <w:t xml:space="preserve">Paramétrage des KPI et des seuils d'alerte.</w:t>
      </w:r>
    </w:p>
    <w:p>
      <w:pPr>
        <w:pStyle w:val="ListParagraph"/>
        <w:numPr>
          <w:ilvl w:val="0"/>
          <w:numId w:val="2"/>
        </w:numPr>
        <w:spacing w:after="80"/>
      </w:pPr>
      <w:r>
        <w:rPr>
          <w:sz w:val="21"/>
          <w:szCs w:val="21"/>
        </w:rPr>
        <w:t xml:space="preserve">Journalisation des actions (traçabilité).</w:t>
      </w:r>
    </w:p>
    <w:p>
      <w:pPr>
        <w:pStyle w:val="Heading1"/>
        <w:pageBreakBefore/>
        <w:spacing w:after="240" w:before="480"/>
      </w:pPr>
      <w:r>
        <w:rPr>
          <w:b/>
          <w:bCs/>
          <w:color w:val="1F3864"/>
          <w:sz w:val="30"/>
          <w:szCs w:val="30"/>
        </w:rPr>
        <w:t xml:space="preserve">5. Exigences non fonctionnelles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Catégorie</w:t>
            </w:r>
          </w:p>
        </w:tc>
        <w:tc>
          <w:tcPr>
            <w:tcW w:type="dxa" w:w="6900"/>
            <w:shd w:fill="1F3864" w:val="clear"/>
            <w:tcMar>
              <w:top w:type="dxa" w:w="80"/>
              <w:left w:type="dxa" w:w="120"/>
              <w:bottom w:type="dxa" w:w="80"/>
              <w:right w:type="dxa" w:w="120"/>
            </w:tcMar>
            <w:vAlign w:val="center"/>
          </w:tcPr>
          <w:p>
            <w:pPr>
              <w:jc w:val="left"/>
            </w:pPr>
            <w:r>
              <w:rPr>
                <w:b/>
                <w:bCs/>
                <w:color w:val="FFFFFF"/>
                <w:sz w:val="19"/>
                <w:szCs w:val="19"/>
              </w:rPr>
              <w:t xml:space="preserve">Exigence</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Performance</w:t>
            </w:r>
          </w:p>
        </w:tc>
        <w:tc>
          <w:tcPr>
            <w:tcW w:type="dxa" w:w="6900"/>
            <w:tcMar>
              <w:top w:type="dxa" w:w="80"/>
              <w:left w:type="dxa" w:w="120"/>
              <w:bottom w:type="dxa" w:w="80"/>
              <w:right w:type="dxa" w:w="120"/>
            </w:tcMar>
            <w:vAlign w:val="center"/>
          </w:tcPr>
          <w:p>
            <w:pPr>
              <w:jc w:val="left"/>
            </w:pPr>
            <w:r>
              <w:rPr>
                <w:b w:val="false"/>
                <w:bCs w:val="false"/>
                <w:color w:val="000000"/>
                <w:sz w:val="19"/>
                <w:szCs w:val="19"/>
              </w:rPr>
              <w:t xml:space="preserve">Temps de réponse des tableaux de bord inférieur à 3 secondes pour un volume de données courant</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Disponibilité</w:t>
            </w:r>
          </w:p>
        </w:tc>
        <w:tc>
          <w:tcPr>
            <w:tcW w:type="dxa" w:w="69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Plateforme accessible en continu pendant les heures ouvrées du PAD</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Sécurité</w:t>
            </w:r>
          </w:p>
        </w:tc>
        <w:tc>
          <w:tcPr>
            <w:tcW w:type="dxa" w:w="6900"/>
            <w:tcMar>
              <w:top w:type="dxa" w:w="80"/>
              <w:left w:type="dxa" w:w="120"/>
              <w:bottom w:type="dxa" w:w="80"/>
              <w:right w:type="dxa" w:w="120"/>
            </w:tcMar>
            <w:vAlign w:val="center"/>
          </w:tcPr>
          <w:p>
            <w:pPr>
              <w:jc w:val="left"/>
            </w:pPr>
            <w:r>
              <w:rPr>
                <w:b w:val="false"/>
                <w:bCs w:val="false"/>
                <w:color w:val="000000"/>
                <w:sz w:val="19"/>
                <w:szCs w:val="19"/>
              </w:rPr>
              <w:t xml:space="preserve">Authentification obligatoire, gestion des rôles, journalisation des accès et des actions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Ergonomie</w:t>
            </w:r>
          </w:p>
        </w:tc>
        <w:tc>
          <w:tcPr>
            <w:tcW w:type="dxa" w:w="69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Interface claire, responsive, adaptée aux profils Direction, Exploitation et Capitainerie</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Fiabilité des données</w:t>
            </w:r>
          </w:p>
        </w:tc>
        <w:tc>
          <w:tcPr>
            <w:tcW w:type="dxa" w:w="6900"/>
            <w:tcMar>
              <w:top w:type="dxa" w:w="80"/>
              <w:left w:type="dxa" w:w="120"/>
              <w:bottom w:type="dxa" w:w="80"/>
              <w:right w:type="dxa" w:w="120"/>
            </w:tcMar>
            <w:vAlign w:val="center"/>
          </w:tcPr>
          <w:p>
            <w:pPr>
              <w:jc w:val="left"/>
            </w:pPr>
            <w:r>
              <w:rPr>
                <w:b w:val="false"/>
                <w:bCs w:val="false"/>
                <w:color w:val="000000"/>
                <w:sz w:val="19"/>
                <w:szCs w:val="19"/>
              </w:rPr>
              <w:t xml:space="preserve">Contrôles de cohérence et de qualité systématiques lors des imports ETL</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Évolutivité</w:t>
            </w:r>
          </w:p>
        </w:tc>
        <w:tc>
          <w:tcPr>
            <w:tcW w:type="dxa" w:w="69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Architecture modulaire permettant l'ajout de nouvelles sources de données (dont Oracle)</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Portabilité</w:t>
            </w:r>
          </w:p>
        </w:tc>
        <w:tc>
          <w:tcPr>
            <w:tcW w:type="dxa" w:w="6900"/>
            <w:tcMar>
              <w:top w:type="dxa" w:w="80"/>
              <w:left w:type="dxa" w:w="120"/>
              <w:bottom w:type="dxa" w:w="80"/>
              <w:right w:type="dxa" w:w="120"/>
            </w:tcMar>
            <w:vAlign w:val="center"/>
          </w:tcPr>
          <w:p>
            <w:pPr>
              <w:jc w:val="left"/>
            </w:pPr>
            <w:r>
              <w:rPr>
                <w:b w:val="false"/>
                <w:bCs w:val="false"/>
                <w:color w:val="000000"/>
                <w:sz w:val="19"/>
                <w:szCs w:val="19"/>
              </w:rPr>
              <w:t xml:space="preserve">Déploiement conteneurisé (Docker) facilitant l'installation sur différents environnements</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Maintenabilité</w:t>
            </w:r>
          </w:p>
        </w:tc>
        <w:tc>
          <w:tcPr>
            <w:tcW w:type="dxa" w:w="69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Code structuré, versionné (Git/GitHub) et documenté</w:t>
            </w:r>
          </w:p>
        </w:tc>
      </w:tr>
    </w:tbl>
    <w:p>
      <w:pPr>
        <w:spacing w:before="200"/>
      </w:pPr>
    </w:p>
    <w:p>
      <w:pPr>
        <w:pStyle w:val="Heading1"/>
        <w:pageBreakBefore/>
        <w:spacing w:after="240" w:before="480"/>
      </w:pPr>
      <w:r>
        <w:rPr>
          <w:b/>
          <w:bCs/>
          <w:color w:val="1F3864"/>
          <w:sz w:val="30"/>
          <w:szCs w:val="30"/>
        </w:rPr>
        <w:t xml:space="preserve">6. Architecture technique</w:t>
      </w:r>
    </w:p>
    <w:p>
      <w:pPr>
        <w:pStyle w:val="Heading2"/>
        <w:spacing w:after="160" w:before="320"/>
      </w:pPr>
      <w:r>
        <w:rPr>
          <w:b/>
          <w:bCs/>
          <w:color w:val="1F3864"/>
          <w:sz w:val="24"/>
          <w:szCs w:val="24"/>
        </w:rPr>
        <w:t xml:space="preserve">6.1 Architecture globale</w:t>
      </w:r>
    </w:p>
    <w:p>
      <w:pPr>
        <w:spacing w:after="160" w:line="276"/>
        <w:jc w:val="both"/>
      </w:pPr>
      <w:r>
        <w:rPr>
          <w:sz w:val="21"/>
          <w:szCs w:val="21"/>
        </w:rPr>
        <w:t xml:space="preserve">La plateforme repose sur une architecture en couches, organisée comme suit :</w:t>
      </w:r>
    </w:p>
    <w:p>
      <w:pPr>
        <w:pBdr>
          <w:top w:val="single" w:color="1F3864" w:sz="6"/>
          <w:bottom w:val="single" w:color="1F3864" w:sz="6"/>
          <w:left w:val="single" w:color="1F3864" w:sz="6"/>
          <w:right w:val="single" w:color="1F3864" w:sz="6"/>
        </w:pBdr>
        <w:shd w:fill="DCE6F1" w:val="clear"/>
        <w:spacing w:after="200" w:before="100"/>
        <w:jc w:val="center"/>
      </w:pPr>
      <w:r>
        <w:rPr>
          <w:b/>
          <w:bCs/>
          <w:color w:val="1F3864"/>
          <w:sz w:val="19"/>
          <w:szCs w:val="19"/>
        </w:rPr>
        <w:t xml:space="preserve">Sources (CSV / Excel / Oracle)  →  ETL  →  PostgreSQL (Data Warehouse)  →  Moteur de calcul des KPI  →  API REST (Django REST Framework)  →  Dashboard Web  →  Rapports / Alertes / Aide à la décision</w:t>
      </w:r>
    </w:p>
    <w:p>
      <w:pPr>
        <w:pStyle w:val="Heading2"/>
        <w:spacing w:after="160" w:before="320"/>
      </w:pPr>
      <w:r>
        <w:rPr>
          <w:b/>
          <w:bCs/>
          <w:color w:val="1F3864"/>
          <w:sz w:val="24"/>
          <w:szCs w:val="24"/>
        </w:rPr>
        <w:t xml:space="preserve">6.2 Stack technique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1F3864" w:val="clear"/>
            <w:tcMar>
              <w:top w:type="dxa" w:w="80"/>
              <w:left w:type="dxa" w:w="120"/>
              <w:bottom w:type="dxa" w:w="80"/>
              <w:right w:type="dxa" w:w="120"/>
            </w:tcMar>
            <w:vAlign w:val="center"/>
          </w:tcPr>
          <w:p>
            <w:pPr>
              <w:jc w:val="left"/>
            </w:pPr>
            <w:r>
              <w:rPr>
                <w:b/>
                <w:bCs/>
                <w:color w:val="FFFFFF"/>
                <w:sz w:val="19"/>
                <w:szCs w:val="19"/>
              </w:rPr>
              <w:t xml:space="preserve">Couche</w:t>
            </w:r>
          </w:p>
        </w:tc>
        <w:tc>
          <w:tcPr>
            <w:tcW w:type="dxa" w:w="6600"/>
            <w:shd w:fill="1F3864" w:val="clear"/>
            <w:tcMar>
              <w:top w:type="dxa" w:w="80"/>
              <w:left w:type="dxa" w:w="120"/>
              <w:bottom w:type="dxa" w:w="80"/>
              <w:right w:type="dxa" w:w="120"/>
            </w:tcMar>
            <w:vAlign w:val="center"/>
          </w:tcPr>
          <w:p>
            <w:pPr>
              <w:jc w:val="left"/>
            </w:pPr>
            <w:r>
              <w:rPr>
                <w:b/>
                <w:bCs/>
                <w:color w:val="FFFFFF"/>
                <w:sz w:val="19"/>
                <w:szCs w:val="19"/>
              </w:rPr>
              <w:t xml:space="preserve">Technologies</w:t>
            </w:r>
          </w:p>
        </w:tc>
      </w:tr>
      <w:tr>
        <w:tc>
          <w:tcPr>
            <w:tcW w:type="dxa" w:w="2900"/>
            <w:tcMar>
              <w:top w:type="dxa" w:w="80"/>
              <w:left w:type="dxa" w:w="120"/>
              <w:bottom w:type="dxa" w:w="80"/>
              <w:right w:type="dxa" w:w="120"/>
            </w:tcMar>
            <w:vAlign w:val="center"/>
          </w:tcPr>
          <w:p>
            <w:pPr>
              <w:jc w:val="left"/>
            </w:pPr>
            <w:r>
              <w:rPr>
                <w:b w:val="false"/>
                <w:bCs w:val="false"/>
                <w:color w:val="000000"/>
                <w:sz w:val="19"/>
                <w:szCs w:val="19"/>
              </w:rPr>
              <w:t xml:space="preserve">Backend</w:t>
            </w:r>
          </w:p>
        </w:tc>
        <w:tc>
          <w:tcPr>
            <w:tcW w:type="dxa" w:w="6600"/>
            <w:tcMar>
              <w:top w:type="dxa" w:w="80"/>
              <w:left w:type="dxa" w:w="120"/>
              <w:bottom w:type="dxa" w:w="80"/>
              <w:right w:type="dxa" w:w="120"/>
            </w:tcMar>
            <w:vAlign w:val="center"/>
          </w:tcPr>
          <w:p>
            <w:pPr>
              <w:jc w:val="left"/>
            </w:pPr>
            <w:r>
              <w:rPr>
                <w:b w:val="false"/>
                <w:bCs w:val="false"/>
                <w:color w:val="000000"/>
                <w:sz w:val="19"/>
                <w:szCs w:val="19"/>
              </w:rPr>
              <w:t xml:space="preserve">Python 3.12, Django 5, Django REST Framework</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Base de données</w:t>
            </w:r>
          </w:p>
        </w:tc>
        <w:tc>
          <w:tcPr>
            <w:tcW w:type="dxa" w:w="6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PostgreSQL</w:t>
            </w:r>
          </w:p>
        </w:tc>
      </w:tr>
      <w:tr>
        <w:tc>
          <w:tcPr>
            <w:tcW w:type="dxa" w:w="2900"/>
            <w:tcMar>
              <w:top w:type="dxa" w:w="80"/>
              <w:left w:type="dxa" w:w="120"/>
              <w:bottom w:type="dxa" w:w="80"/>
              <w:right w:type="dxa" w:w="120"/>
            </w:tcMar>
            <w:vAlign w:val="center"/>
          </w:tcPr>
          <w:p>
            <w:pPr>
              <w:jc w:val="left"/>
            </w:pPr>
            <w:r>
              <w:rPr>
                <w:b w:val="false"/>
                <w:bCs w:val="false"/>
                <w:color w:val="000000"/>
                <w:sz w:val="19"/>
                <w:szCs w:val="19"/>
              </w:rPr>
              <w:t xml:space="preserve">ETL</w:t>
            </w:r>
          </w:p>
        </w:tc>
        <w:tc>
          <w:tcPr>
            <w:tcW w:type="dxa" w:w="6600"/>
            <w:tcMar>
              <w:top w:type="dxa" w:w="80"/>
              <w:left w:type="dxa" w:w="120"/>
              <w:bottom w:type="dxa" w:w="80"/>
              <w:right w:type="dxa" w:w="120"/>
            </w:tcMar>
            <w:vAlign w:val="center"/>
          </w:tcPr>
          <w:p>
            <w:pPr>
              <w:jc w:val="left"/>
            </w:pPr>
            <w:r>
              <w:rPr>
                <w:b w:val="false"/>
                <w:bCs w:val="false"/>
                <w:color w:val="000000"/>
                <w:sz w:val="19"/>
                <w:szCs w:val="19"/>
              </w:rPr>
              <w:t xml:space="preserve">pandas, NumPy, openpyxl, SQLAlchemy</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Frontend</w:t>
            </w:r>
          </w:p>
        </w:tc>
        <w:tc>
          <w:tcPr>
            <w:tcW w:type="dxa" w:w="6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HTML5, CSS3, Bootstrap 5, JavaScript</w:t>
            </w:r>
          </w:p>
        </w:tc>
      </w:tr>
      <w:tr>
        <w:tc>
          <w:tcPr>
            <w:tcW w:type="dxa" w:w="2900"/>
            <w:tcMar>
              <w:top w:type="dxa" w:w="80"/>
              <w:left w:type="dxa" w:w="120"/>
              <w:bottom w:type="dxa" w:w="80"/>
              <w:right w:type="dxa" w:w="120"/>
            </w:tcMar>
            <w:vAlign w:val="center"/>
          </w:tcPr>
          <w:p>
            <w:pPr>
              <w:jc w:val="left"/>
            </w:pPr>
            <w:r>
              <w:rPr>
                <w:b w:val="false"/>
                <w:bCs w:val="false"/>
                <w:color w:val="000000"/>
                <w:sz w:val="19"/>
                <w:szCs w:val="19"/>
              </w:rPr>
              <w:t xml:space="preserve">Visualisation</w:t>
            </w:r>
          </w:p>
        </w:tc>
        <w:tc>
          <w:tcPr>
            <w:tcW w:type="dxa" w:w="6600"/>
            <w:tcMar>
              <w:top w:type="dxa" w:w="80"/>
              <w:left w:type="dxa" w:w="120"/>
              <w:bottom w:type="dxa" w:w="80"/>
              <w:right w:type="dxa" w:w="120"/>
            </w:tcMar>
            <w:vAlign w:val="center"/>
          </w:tcPr>
          <w:p>
            <w:pPr>
              <w:jc w:val="left"/>
            </w:pPr>
            <w:r>
              <w:rPr>
                <w:b w:val="false"/>
                <w:bCs w:val="false"/>
                <w:color w:val="000000"/>
                <w:sz w:val="19"/>
                <w:szCs w:val="19"/>
              </w:rPr>
              <w:t xml:space="preserve">Plotly, Chart.js, DataTables</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Traitement analytique</w:t>
            </w:r>
          </w:p>
        </w:tc>
        <w:tc>
          <w:tcPr>
            <w:tcW w:type="dxa" w:w="6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pandas, SciPy, scikit-learn (option analyse prédictive)</w:t>
            </w:r>
          </w:p>
        </w:tc>
      </w:tr>
      <w:tr>
        <w:tc>
          <w:tcPr>
            <w:tcW w:type="dxa" w:w="2900"/>
            <w:tcMar>
              <w:top w:type="dxa" w:w="80"/>
              <w:left w:type="dxa" w:w="120"/>
              <w:bottom w:type="dxa" w:w="80"/>
              <w:right w:type="dxa" w:w="120"/>
            </w:tcMar>
            <w:vAlign w:val="center"/>
          </w:tcPr>
          <w:p>
            <w:pPr>
              <w:jc w:val="left"/>
            </w:pPr>
            <w:r>
              <w:rPr>
                <w:b w:val="false"/>
                <w:bCs w:val="false"/>
                <w:color w:val="000000"/>
                <w:sz w:val="19"/>
                <w:szCs w:val="19"/>
              </w:rPr>
              <w:t xml:space="preserve">Tâches planifiées</w:t>
            </w:r>
          </w:p>
        </w:tc>
        <w:tc>
          <w:tcPr>
            <w:tcW w:type="dxa" w:w="6600"/>
            <w:tcMar>
              <w:top w:type="dxa" w:w="80"/>
              <w:left w:type="dxa" w:w="120"/>
              <w:bottom w:type="dxa" w:w="80"/>
              <w:right w:type="dxa" w:w="120"/>
            </w:tcMar>
            <w:vAlign w:val="center"/>
          </w:tcPr>
          <w:p>
            <w:pPr>
              <w:jc w:val="left"/>
            </w:pPr>
            <w:r>
              <w:rPr>
                <w:b w:val="false"/>
                <w:bCs w:val="false"/>
                <w:color w:val="000000"/>
                <w:sz w:val="19"/>
                <w:szCs w:val="19"/>
              </w:rPr>
              <w:t xml:space="preserve">Celery, Redis</w:t>
            </w:r>
          </w:p>
        </w:tc>
      </w:tr>
      <w:tr>
        <w:tc>
          <w:tcPr>
            <w:tcW w:type="dxa" w:w="29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Déploiement</w:t>
            </w:r>
          </w:p>
        </w:tc>
        <w:tc>
          <w:tcPr>
            <w:tcW w:type="dxa" w:w="6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Docker, Gunicorn, Nginx</w:t>
            </w:r>
          </w:p>
        </w:tc>
      </w:tr>
      <w:tr>
        <w:tc>
          <w:tcPr>
            <w:tcW w:type="dxa" w:w="2900"/>
            <w:tcMar>
              <w:top w:type="dxa" w:w="80"/>
              <w:left w:type="dxa" w:w="120"/>
              <w:bottom w:type="dxa" w:w="80"/>
              <w:right w:type="dxa" w:w="120"/>
            </w:tcMar>
            <w:vAlign w:val="center"/>
          </w:tcPr>
          <w:p>
            <w:pPr>
              <w:jc w:val="left"/>
            </w:pPr>
            <w:r>
              <w:rPr>
                <w:b w:val="false"/>
                <w:bCs w:val="false"/>
                <w:color w:val="000000"/>
                <w:sz w:val="19"/>
                <w:szCs w:val="19"/>
              </w:rPr>
              <w:t xml:space="preserve">Outils de développement</w:t>
            </w:r>
          </w:p>
        </w:tc>
        <w:tc>
          <w:tcPr>
            <w:tcW w:type="dxa" w:w="6600"/>
            <w:tcMar>
              <w:top w:type="dxa" w:w="80"/>
              <w:left w:type="dxa" w:w="120"/>
              <w:bottom w:type="dxa" w:w="80"/>
              <w:right w:type="dxa" w:w="120"/>
            </w:tcMar>
            <w:vAlign w:val="center"/>
          </w:tcPr>
          <w:p>
            <w:pPr>
              <w:jc w:val="left"/>
            </w:pPr>
            <w:r>
              <w:rPr>
                <w:b w:val="false"/>
                <w:bCs w:val="false"/>
                <w:color w:val="000000"/>
                <w:sz w:val="19"/>
                <w:szCs w:val="19"/>
              </w:rPr>
              <w:t xml:space="preserve">Git, GitHub, VS Code, Postman, pgAdmin</w:t>
            </w:r>
          </w:p>
        </w:tc>
      </w:tr>
    </w:tbl>
    <w:p>
      <w:pPr>
        <w:spacing w:before="200"/>
      </w:pPr>
    </w:p>
    <w:p>
      <w:pPr>
        <w:pStyle w:val="Heading2"/>
        <w:spacing w:after="160" w:before="320"/>
      </w:pPr>
      <w:r>
        <w:rPr>
          <w:b/>
          <w:bCs/>
          <w:color w:val="1F3864"/>
          <w:sz w:val="24"/>
          <w:szCs w:val="24"/>
        </w:rPr>
        <w:t xml:space="preserve">6.3 Modèle décisionnel</w:t>
      </w:r>
    </w:p>
    <w:p>
      <w:pPr>
        <w:spacing w:after="160" w:line="276"/>
        <w:jc w:val="both"/>
      </w:pPr>
      <w:r>
        <w:rPr>
          <w:sz w:val="21"/>
          <w:szCs w:val="21"/>
        </w:rPr>
        <w:t xml:space="preserve">Le modèle de données décisionnel adopte une organisation en schéma en étoile, structurée autour d'une table de faits centrale « Escales » et de dimensions associées : Navire, Quai, Terminal, Compagnie maritime, Service nautique et Calendrier. Cette organisation permettra des analyses multidimensionnelles performantes et une agrégation efficace des indicateurs.</w:t>
      </w:r>
    </w:p>
    <w:p>
      <w:pPr>
        <w:pStyle w:val="Heading1"/>
        <w:pageBreakBefore/>
        <w:spacing w:after="240" w:before="480"/>
      </w:pPr>
      <w:r>
        <w:rPr>
          <w:b/>
          <w:bCs/>
          <w:color w:val="1F3864"/>
          <w:sz w:val="30"/>
          <w:szCs w:val="30"/>
        </w:rPr>
        <w:t xml:space="preserve">7. Livrables attendus</w:t>
      </w:r>
    </w:p>
    <w:p>
      <w:pPr>
        <w:pStyle w:val="Heading3"/>
        <w:spacing w:after="120" w:before="220"/>
      </w:pPr>
      <w:r>
        <w:rPr>
          <w:b/>
          <w:bCs/>
          <w:color w:val="B08D57"/>
          <w:sz w:val="21"/>
          <w:szCs w:val="21"/>
        </w:rPr>
        <w:t xml:space="preserve">7.1 Livrables d'analyse et de conception</w:t>
      </w:r>
    </w:p>
    <w:p>
      <w:pPr>
        <w:pStyle w:val="ListParagraph"/>
        <w:numPr>
          <w:ilvl w:val="0"/>
          <w:numId w:val="2"/>
        </w:numPr>
        <w:spacing w:after="80"/>
      </w:pPr>
      <w:r>
        <w:rPr>
          <w:sz w:val="21"/>
          <w:szCs w:val="21"/>
        </w:rPr>
        <w:t xml:space="preserve">Cahier des charges fonctionnel et technique (présent document).</w:t>
      </w:r>
    </w:p>
    <w:p>
      <w:pPr>
        <w:pStyle w:val="ListParagraph"/>
        <w:numPr>
          <w:ilvl w:val="0"/>
          <w:numId w:val="2"/>
        </w:numPr>
        <w:spacing w:after="80"/>
      </w:pPr>
      <w:r>
        <w:rPr>
          <w:sz w:val="21"/>
          <w:szCs w:val="21"/>
        </w:rPr>
        <w:t xml:space="preserve">Étude de l'existant.</w:t>
      </w:r>
    </w:p>
    <w:p>
      <w:pPr>
        <w:pStyle w:val="ListParagraph"/>
        <w:numPr>
          <w:ilvl w:val="0"/>
          <w:numId w:val="2"/>
        </w:numPr>
        <w:spacing w:after="80"/>
      </w:pPr>
      <w:r>
        <w:rPr>
          <w:sz w:val="21"/>
          <w:szCs w:val="21"/>
        </w:rPr>
        <w:t xml:space="preserve">Modèle conceptuel des données (MCD).</w:t>
      </w:r>
    </w:p>
    <w:p>
      <w:pPr>
        <w:pStyle w:val="ListParagraph"/>
        <w:numPr>
          <w:ilvl w:val="0"/>
          <w:numId w:val="2"/>
        </w:numPr>
        <w:spacing w:after="80"/>
      </w:pPr>
      <w:r>
        <w:rPr>
          <w:sz w:val="21"/>
          <w:szCs w:val="21"/>
        </w:rPr>
        <w:t xml:space="preserve">Modèle logique et physique de la base de données.</w:t>
      </w:r>
    </w:p>
    <w:p>
      <w:pPr>
        <w:pStyle w:val="ListParagraph"/>
        <w:numPr>
          <w:ilvl w:val="0"/>
          <w:numId w:val="2"/>
        </w:numPr>
        <w:spacing w:after="80"/>
      </w:pPr>
      <w:r>
        <w:rPr>
          <w:sz w:val="21"/>
          <w:szCs w:val="21"/>
        </w:rPr>
        <w:t xml:space="preserve">Modèle décisionnel (schéma en étoile ou en flocon).</w:t>
      </w:r>
    </w:p>
    <w:p>
      <w:pPr>
        <w:pStyle w:val="ListParagraph"/>
        <w:numPr>
          <w:ilvl w:val="0"/>
          <w:numId w:val="2"/>
        </w:numPr>
        <w:spacing w:after="80"/>
      </w:pPr>
      <w:r>
        <w:rPr>
          <w:sz w:val="21"/>
          <w:szCs w:val="21"/>
        </w:rPr>
        <w:t xml:space="preserve">Diagrammes UML (cas d'utilisation, classes, séquences, activités).</w:t>
      </w:r>
    </w:p>
    <w:p>
      <w:pPr>
        <w:pStyle w:val="ListParagraph"/>
        <w:numPr>
          <w:ilvl w:val="0"/>
          <w:numId w:val="2"/>
        </w:numPr>
        <w:spacing w:after="80"/>
      </w:pPr>
      <w:r>
        <w:rPr>
          <w:sz w:val="21"/>
          <w:szCs w:val="21"/>
        </w:rPr>
        <w:t xml:space="preserve">Architecture technique de la solution.</w:t>
      </w:r>
    </w:p>
    <w:p>
      <w:pPr>
        <w:pStyle w:val="Heading3"/>
        <w:spacing w:after="120" w:before="220"/>
      </w:pPr>
      <w:r>
        <w:rPr>
          <w:b/>
          <w:bCs/>
          <w:color w:val="B08D57"/>
          <w:sz w:val="21"/>
          <w:szCs w:val="21"/>
        </w:rPr>
        <w:t xml:space="preserve">7.2 Livrables de développement</w:t>
      </w:r>
    </w:p>
    <w:p>
      <w:pPr>
        <w:pStyle w:val="ListParagraph"/>
        <w:numPr>
          <w:ilvl w:val="0"/>
          <w:numId w:val="2"/>
        </w:numPr>
        <w:spacing w:after="80"/>
      </w:pPr>
      <w:r>
        <w:rPr>
          <w:sz w:val="21"/>
          <w:szCs w:val="21"/>
        </w:rPr>
        <w:t xml:space="preserve">Base de données PostgreSQL.</w:t>
      </w:r>
    </w:p>
    <w:p>
      <w:pPr>
        <w:pStyle w:val="ListParagraph"/>
        <w:numPr>
          <w:ilvl w:val="0"/>
          <w:numId w:val="2"/>
        </w:numPr>
        <w:spacing w:after="80"/>
      </w:pPr>
      <w:r>
        <w:rPr>
          <w:sz w:val="21"/>
          <w:szCs w:val="21"/>
        </w:rPr>
        <w:t xml:space="preserve">Scripts ETL d'importation et de transformation des données.</w:t>
      </w:r>
    </w:p>
    <w:p>
      <w:pPr>
        <w:pStyle w:val="ListParagraph"/>
        <w:numPr>
          <w:ilvl w:val="0"/>
          <w:numId w:val="2"/>
        </w:numPr>
        <w:spacing w:after="80"/>
      </w:pPr>
      <w:r>
        <w:rPr>
          <w:sz w:val="21"/>
          <w:szCs w:val="21"/>
        </w:rPr>
        <w:t xml:space="preserve">API REST développée avec Django REST Framework.</w:t>
      </w:r>
    </w:p>
    <w:p>
      <w:pPr>
        <w:pStyle w:val="ListParagraph"/>
        <w:numPr>
          <w:ilvl w:val="0"/>
          <w:numId w:val="2"/>
        </w:numPr>
        <w:spacing w:after="80"/>
      </w:pPr>
      <w:r>
        <w:rPr>
          <w:sz w:val="21"/>
          <w:szCs w:val="21"/>
        </w:rPr>
        <w:t xml:space="preserve">Application web de visualisation des performances.</w:t>
      </w:r>
    </w:p>
    <w:p>
      <w:pPr>
        <w:pStyle w:val="ListParagraph"/>
        <w:numPr>
          <w:ilvl w:val="0"/>
          <w:numId w:val="2"/>
        </w:numPr>
        <w:spacing w:after="80"/>
      </w:pPr>
      <w:r>
        <w:rPr>
          <w:sz w:val="21"/>
          <w:szCs w:val="21"/>
        </w:rPr>
        <w:t xml:space="preserve">Module de calcul automatique des KPI.</w:t>
      </w:r>
    </w:p>
    <w:p>
      <w:pPr>
        <w:pStyle w:val="ListParagraph"/>
        <w:numPr>
          <w:ilvl w:val="0"/>
          <w:numId w:val="2"/>
        </w:numPr>
        <w:spacing w:after="80"/>
      </w:pPr>
      <w:r>
        <w:rPr>
          <w:sz w:val="21"/>
          <w:szCs w:val="21"/>
        </w:rPr>
        <w:t xml:space="preserve">Module de génération des tableaux de bord.</w:t>
      </w:r>
    </w:p>
    <w:p>
      <w:pPr>
        <w:pStyle w:val="ListParagraph"/>
        <w:numPr>
          <w:ilvl w:val="0"/>
          <w:numId w:val="2"/>
        </w:numPr>
        <w:spacing w:after="80"/>
      </w:pPr>
      <w:r>
        <w:rPr>
          <w:sz w:val="21"/>
          <w:szCs w:val="21"/>
        </w:rPr>
        <w:t xml:space="preserve">Module de reporting (PDF et Excel).</w:t>
      </w:r>
    </w:p>
    <w:p>
      <w:pPr>
        <w:pStyle w:val="ListParagraph"/>
        <w:numPr>
          <w:ilvl w:val="0"/>
          <w:numId w:val="2"/>
        </w:numPr>
        <w:spacing w:after="80"/>
      </w:pPr>
      <w:r>
        <w:rPr>
          <w:sz w:val="21"/>
          <w:szCs w:val="21"/>
        </w:rPr>
        <w:t xml:space="preserve">Module d'administration des utilisateurs.</w:t>
      </w:r>
    </w:p>
    <w:p>
      <w:pPr>
        <w:pStyle w:val="ListParagraph"/>
        <w:numPr>
          <w:ilvl w:val="0"/>
          <w:numId w:val="2"/>
        </w:numPr>
        <w:spacing w:after="80"/>
      </w:pPr>
      <w:r>
        <w:rPr>
          <w:sz w:val="21"/>
          <w:szCs w:val="21"/>
        </w:rPr>
        <w:t xml:space="preserve">Module d'alertes.</w:t>
      </w:r>
    </w:p>
    <w:p>
      <w:pPr>
        <w:pStyle w:val="Heading3"/>
        <w:spacing w:after="120" w:before="220"/>
      </w:pPr>
      <w:r>
        <w:rPr>
          <w:b/>
          <w:bCs/>
          <w:color w:val="B08D57"/>
          <w:sz w:val="21"/>
          <w:szCs w:val="21"/>
        </w:rPr>
        <w:t xml:space="preserve">7.3 Livrables de validation</w:t>
      </w:r>
    </w:p>
    <w:p>
      <w:pPr>
        <w:pStyle w:val="ListParagraph"/>
        <w:numPr>
          <w:ilvl w:val="0"/>
          <w:numId w:val="2"/>
        </w:numPr>
        <w:spacing w:after="80"/>
      </w:pPr>
      <w:r>
        <w:rPr>
          <w:sz w:val="21"/>
          <w:szCs w:val="21"/>
        </w:rPr>
        <w:t xml:space="preserve">Jeux de données de test.</w:t>
      </w:r>
    </w:p>
    <w:p>
      <w:pPr>
        <w:pStyle w:val="ListParagraph"/>
        <w:numPr>
          <w:ilvl w:val="0"/>
          <w:numId w:val="2"/>
        </w:numPr>
        <w:spacing w:after="80"/>
      </w:pPr>
      <w:r>
        <w:rPr>
          <w:sz w:val="21"/>
          <w:szCs w:val="21"/>
        </w:rPr>
        <w:t xml:space="preserve">Plan de tests.</w:t>
      </w:r>
    </w:p>
    <w:p>
      <w:pPr>
        <w:pStyle w:val="ListParagraph"/>
        <w:numPr>
          <w:ilvl w:val="0"/>
          <w:numId w:val="2"/>
        </w:numPr>
        <w:spacing w:after="80"/>
      </w:pPr>
      <w:r>
        <w:rPr>
          <w:sz w:val="21"/>
          <w:szCs w:val="21"/>
        </w:rPr>
        <w:t xml:space="preserve">Rapport des tests fonctionnels.</w:t>
      </w:r>
    </w:p>
    <w:p>
      <w:pPr>
        <w:pStyle w:val="ListParagraph"/>
        <w:numPr>
          <w:ilvl w:val="0"/>
          <w:numId w:val="2"/>
        </w:numPr>
        <w:spacing w:after="80"/>
      </w:pPr>
      <w:r>
        <w:rPr>
          <w:sz w:val="21"/>
          <w:szCs w:val="21"/>
        </w:rPr>
        <w:t xml:space="preserve">Rapport des tests de performance.</w:t>
      </w:r>
    </w:p>
    <w:p>
      <w:pPr>
        <w:pStyle w:val="Heading3"/>
        <w:spacing w:after="120" w:before="220"/>
      </w:pPr>
      <w:r>
        <w:rPr>
          <w:b/>
          <w:bCs/>
          <w:color w:val="B08D57"/>
          <w:sz w:val="21"/>
          <w:szCs w:val="21"/>
        </w:rPr>
        <w:t xml:space="preserve">7.4 Livrables documentaires</w:t>
      </w:r>
    </w:p>
    <w:p>
      <w:pPr>
        <w:pStyle w:val="ListParagraph"/>
        <w:numPr>
          <w:ilvl w:val="0"/>
          <w:numId w:val="2"/>
        </w:numPr>
        <w:spacing w:after="80"/>
      </w:pPr>
      <w:r>
        <w:rPr>
          <w:sz w:val="21"/>
          <w:szCs w:val="21"/>
        </w:rPr>
        <w:t xml:space="preserve">Documentation technique de l'application.</w:t>
      </w:r>
    </w:p>
    <w:p>
      <w:pPr>
        <w:pStyle w:val="ListParagraph"/>
        <w:numPr>
          <w:ilvl w:val="0"/>
          <w:numId w:val="2"/>
        </w:numPr>
        <w:spacing w:after="80"/>
      </w:pPr>
      <w:r>
        <w:rPr>
          <w:sz w:val="21"/>
          <w:szCs w:val="21"/>
        </w:rPr>
        <w:t xml:space="preserve">Manuel d'installation.</w:t>
      </w:r>
    </w:p>
    <w:p>
      <w:pPr>
        <w:pStyle w:val="ListParagraph"/>
        <w:numPr>
          <w:ilvl w:val="0"/>
          <w:numId w:val="2"/>
        </w:numPr>
        <w:spacing w:after="80"/>
      </w:pPr>
      <w:r>
        <w:rPr>
          <w:sz w:val="21"/>
          <w:szCs w:val="21"/>
        </w:rPr>
        <w:t xml:space="preserve">Guide utilisateur.</w:t>
      </w:r>
    </w:p>
    <w:p>
      <w:pPr>
        <w:pStyle w:val="ListParagraph"/>
        <w:numPr>
          <w:ilvl w:val="0"/>
          <w:numId w:val="2"/>
        </w:numPr>
        <w:spacing w:after="80"/>
      </w:pPr>
      <w:r>
        <w:rPr>
          <w:sz w:val="21"/>
          <w:szCs w:val="21"/>
        </w:rPr>
        <w:t xml:space="preserve">Documentation de l'API.</w:t>
      </w:r>
    </w:p>
    <w:p>
      <w:pPr>
        <w:pStyle w:val="ListParagraph"/>
        <w:numPr>
          <w:ilvl w:val="0"/>
          <w:numId w:val="2"/>
        </w:numPr>
        <w:spacing w:after="80"/>
      </w:pPr>
      <w:r>
        <w:rPr>
          <w:sz w:val="21"/>
          <w:szCs w:val="21"/>
        </w:rPr>
        <w:t xml:space="preserve">Manuel d'administration.</w:t>
      </w:r>
    </w:p>
    <w:p>
      <w:pPr>
        <w:pStyle w:val="Heading3"/>
        <w:spacing w:after="120" w:before="220"/>
      </w:pPr>
      <w:r>
        <w:rPr>
          <w:b/>
          <w:bCs/>
          <w:color w:val="B08D57"/>
          <w:sz w:val="21"/>
          <w:szCs w:val="21"/>
        </w:rPr>
        <w:t xml:space="preserve">7.5 Livrables de projet</w:t>
      </w:r>
    </w:p>
    <w:p>
      <w:pPr>
        <w:pStyle w:val="ListParagraph"/>
        <w:numPr>
          <w:ilvl w:val="0"/>
          <w:numId w:val="2"/>
        </w:numPr>
        <w:spacing w:after="80"/>
      </w:pPr>
      <w:r>
        <w:rPr>
          <w:sz w:val="21"/>
          <w:szCs w:val="21"/>
        </w:rPr>
        <w:t xml:space="preserve">Dépôt GitHub du projet.</w:t>
      </w:r>
    </w:p>
    <w:p>
      <w:pPr>
        <w:pStyle w:val="ListParagraph"/>
        <w:numPr>
          <w:ilvl w:val="0"/>
          <w:numId w:val="2"/>
        </w:numPr>
        <w:spacing w:after="80"/>
      </w:pPr>
      <w:r>
        <w:rPr>
          <w:sz w:val="21"/>
          <w:szCs w:val="21"/>
        </w:rPr>
        <w:t xml:space="preserve">Présentation de soutenance.</w:t>
      </w:r>
    </w:p>
    <w:p>
      <w:pPr>
        <w:pStyle w:val="ListParagraph"/>
        <w:numPr>
          <w:ilvl w:val="0"/>
          <w:numId w:val="2"/>
        </w:numPr>
        <w:spacing w:after="80"/>
      </w:pPr>
      <w:r>
        <w:rPr>
          <w:sz w:val="21"/>
          <w:szCs w:val="21"/>
        </w:rPr>
        <w:t xml:space="preserve">Rapport de stage ou mémoire de Master.</w:t>
      </w:r>
    </w:p>
    <w:p>
      <w:pPr>
        <w:pStyle w:val="Heading1"/>
        <w:pageBreakBefore/>
        <w:spacing w:after="240" w:before="480"/>
      </w:pPr>
      <w:r>
        <w:rPr>
          <w:b/>
          <w:bCs/>
          <w:color w:val="1F3864"/>
          <w:sz w:val="30"/>
          <w:szCs w:val="30"/>
        </w:rPr>
        <w:t xml:space="preserve">8. Planning prévisionnel</w:t>
      </w:r>
    </w:p>
    <w:p>
      <w:pPr>
        <w:spacing w:after="160" w:line="276"/>
        <w:jc w:val="both"/>
      </w:pPr>
      <w:r>
        <w:rPr>
          <w:sz w:val="21"/>
          <w:szCs w:val="21"/>
        </w:rPr>
        <w:t xml:space="preserve">Le projet est planifié sur une durée totale de 18 semaines, réparties selon les phases suivantes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8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19"/>
                <w:szCs w:val="19"/>
              </w:rPr>
              <w:t xml:space="preserve">Phase</w:t>
            </w:r>
          </w:p>
        </w:tc>
        <w:tc>
          <w:tcPr>
            <w:tcW w:type="dxa" w:w="6300"/>
            <w:shd w:fill="1F3864" w:val="clear"/>
            <w:tcMar>
              <w:top w:type="dxa" w:w="80"/>
              <w:left w:type="dxa" w:w="120"/>
              <w:bottom w:type="dxa" w:w="80"/>
              <w:right w:type="dxa" w:w="120"/>
            </w:tcMar>
            <w:vAlign w:val="center"/>
          </w:tcPr>
          <w:p>
            <w:pPr>
              <w:jc w:val="left"/>
            </w:pPr>
            <w:r>
              <w:rPr>
                <w:b/>
                <w:bCs/>
                <w:color w:val="FFFFFF"/>
                <w:sz w:val="19"/>
                <w:szCs w:val="19"/>
              </w:rPr>
              <w:t xml:space="preserve">Contenu</w:t>
            </w:r>
          </w:p>
        </w:tc>
        <w:tc>
          <w:tcPr>
            <w:tcW w:type="dxa" w:w="1800"/>
            <w:shd w:fill="1F3864" w:val="clear"/>
            <w:tcMar>
              <w:top w:type="dxa" w:w="80"/>
              <w:left w:type="dxa" w:w="120"/>
              <w:bottom w:type="dxa" w:w="80"/>
              <w:right w:type="dxa" w:w="120"/>
            </w:tcMar>
            <w:vAlign w:val="center"/>
          </w:tcPr>
          <w:p>
            <w:pPr>
              <w:jc w:val="left"/>
            </w:pPr>
            <w:r>
              <w:rPr>
                <w:b/>
                <w:bCs/>
                <w:color w:val="FFFFFF"/>
                <w:sz w:val="19"/>
                <w:szCs w:val="19"/>
              </w:rPr>
              <w:t xml:space="preserve">Durée</w:t>
            </w:r>
          </w:p>
        </w:tc>
      </w:tr>
      <w:tr>
        <w:tc>
          <w:tcPr>
            <w:tcW w:type="dxa" w:w="1400"/>
            <w:tcMar>
              <w:top w:type="dxa" w:w="80"/>
              <w:left w:type="dxa" w:w="120"/>
              <w:bottom w:type="dxa" w:w="80"/>
              <w:right w:type="dxa" w:w="120"/>
            </w:tcMar>
            <w:vAlign w:val="center"/>
          </w:tcPr>
          <w:p>
            <w:pPr>
              <w:jc w:val="left"/>
            </w:pPr>
            <w:r>
              <w:rPr>
                <w:b w:val="false"/>
                <w:bCs w:val="false"/>
                <w:color w:val="000000"/>
                <w:sz w:val="19"/>
                <w:szCs w:val="19"/>
              </w:rPr>
              <w:t xml:space="preserve">Phase 0</w:t>
            </w:r>
          </w:p>
        </w:tc>
        <w:tc>
          <w:tcPr>
            <w:tcW w:type="dxa" w:w="6300"/>
            <w:tcMar>
              <w:top w:type="dxa" w:w="80"/>
              <w:left w:type="dxa" w:w="120"/>
              <w:bottom w:type="dxa" w:w="80"/>
              <w:right w:type="dxa" w:w="120"/>
            </w:tcMar>
            <w:vAlign w:val="center"/>
          </w:tcPr>
          <w:p>
            <w:pPr>
              <w:jc w:val="left"/>
            </w:pPr>
            <w:r>
              <w:rPr>
                <w:b w:val="false"/>
                <w:bCs w:val="false"/>
                <w:color w:val="000000"/>
                <w:sz w:val="19"/>
                <w:szCs w:val="19"/>
              </w:rPr>
              <w:t xml:space="preserve">Cadrage du projet</w:t>
            </w:r>
          </w:p>
        </w:tc>
        <w:tc>
          <w:tcPr>
            <w:tcW w:type="dxa" w:w="1800"/>
            <w:tcMar>
              <w:top w:type="dxa" w:w="80"/>
              <w:left w:type="dxa" w:w="120"/>
              <w:bottom w:type="dxa" w:w="80"/>
              <w:right w:type="dxa" w:w="120"/>
            </w:tcMar>
            <w:vAlign w:val="center"/>
          </w:tcPr>
          <w:p>
            <w:pPr>
              <w:jc w:val="left"/>
            </w:pPr>
            <w:r>
              <w:rPr>
                <w:b w:val="false"/>
                <w:bCs w:val="false"/>
                <w:color w:val="000000"/>
                <w:sz w:val="19"/>
                <w:szCs w:val="19"/>
              </w:rPr>
              <w:t xml:space="preserve">Semaine 1</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Phase 1</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Étude de l'existant et analyse des besoins</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Semaines 2–4</w:t>
            </w:r>
          </w:p>
        </w:tc>
      </w:tr>
      <w:tr>
        <w:tc>
          <w:tcPr>
            <w:tcW w:type="dxa" w:w="1400"/>
            <w:tcMar>
              <w:top w:type="dxa" w:w="80"/>
              <w:left w:type="dxa" w:w="120"/>
              <w:bottom w:type="dxa" w:w="80"/>
              <w:right w:type="dxa" w:w="120"/>
            </w:tcMar>
            <w:vAlign w:val="center"/>
          </w:tcPr>
          <w:p>
            <w:pPr>
              <w:jc w:val="left"/>
            </w:pPr>
            <w:r>
              <w:rPr>
                <w:b w:val="false"/>
                <w:bCs w:val="false"/>
                <w:color w:val="000000"/>
                <w:sz w:val="19"/>
                <w:szCs w:val="19"/>
              </w:rPr>
              <w:t xml:space="preserve">Phase 2</w:t>
            </w:r>
          </w:p>
        </w:tc>
        <w:tc>
          <w:tcPr>
            <w:tcW w:type="dxa" w:w="6300"/>
            <w:tcMar>
              <w:top w:type="dxa" w:w="80"/>
              <w:left w:type="dxa" w:w="120"/>
              <w:bottom w:type="dxa" w:w="80"/>
              <w:right w:type="dxa" w:w="120"/>
            </w:tcMar>
            <w:vAlign w:val="center"/>
          </w:tcPr>
          <w:p>
            <w:pPr>
              <w:jc w:val="left"/>
            </w:pPr>
            <w:r>
              <w:rPr>
                <w:b w:val="false"/>
                <w:bCs w:val="false"/>
                <w:color w:val="000000"/>
                <w:sz w:val="19"/>
                <w:szCs w:val="19"/>
              </w:rPr>
              <w:t xml:space="preserve">Conception (MCD, modèle décisionnel, UML, architecture)</w:t>
            </w:r>
          </w:p>
        </w:tc>
        <w:tc>
          <w:tcPr>
            <w:tcW w:type="dxa" w:w="1800"/>
            <w:tcMar>
              <w:top w:type="dxa" w:w="80"/>
              <w:left w:type="dxa" w:w="120"/>
              <w:bottom w:type="dxa" w:w="80"/>
              <w:right w:type="dxa" w:w="120"/>
            </w:tcMar>
            <w:vAlign w:val="center"/>
          </w:tcPr>
          <w:p>
            <w:pPr>
              <w:jc w:val="left"/>
            </w:pPr>
            <w:r>
              <w:rPr>
                <w:b w:val="false"/>
                <w:bCs w:val="false"/>
                <w:color w:val="000000"/>
                <w:sz w:val="19"/>
                <w:szCs w:val="19"/>
              </w:rPr>
              <w:t xml:space="preserve">Semaines 5–7</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Phase 3</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Développement du module ETL</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Semaines 8–9</w:t>
            </w:r>
          </w:p>
        </w:tc>
      </w:tr>
      <w:tr>
        <w:tc>
          <w:tcPr>
            <w:tcW w:type="dxa" w:w="1400"/>
            <w:tcMar>
              <w:top w:type="dxa" w:w="80"/>
              <w:left w:type="dxa" w:w="120"/>
              <w:bottom w:type="dxa" w:w="80"/>
              <w:right w:type="dxa" w:w="120"/>
            </w:tcMar>
            <w:vAlign w:val="center"/>
          </w:tcPr>
          <w:p>
            <w:pPr>
              <w:jc w:val="left"/>
            </w:pPr>
            <w:r>
              <w:rPr>
                <w:b w:val="false"/>
                <w:bCs w:val="false"/>
                <w:color w:val="000000"/>
                <w:sz w:val="19"/>
                <w:szCs w:val="19"/>
              </w:rPr>
              <w:t xml:space="preserve">Phase 4</w:t>
            </w:r>
          </w:p>
        </w:tc>
        <w:tc>
          <w:tcPr>
            <w:tcW w:type="dxa" w:w="6300"/>
            <w:tcMar>
              <w:top w:type="dxa" w:w="80"/>
              <w:left w:type="dxa" w:w="120"/>
              <w:bottom w:type="dxa" w:w="80"/>
              <w:right w:type="dxa" w:w="120"/>
            </w:tcMar>
            <w:vAlign w:val="center"/>
          </w:tcPr>
          <w:p>
            <w:pPr>
              <w:jc w:val="left"/>
            </w:pPr>
            <w:r>
              <w:rPr>
                <w:b w:val="false"/>
                <w:bCs w:val="false"/>
                <w:color w:val="000000"/>
                <w:sz w:val="19"/>
                <w:szCs w:val="19"/>
              </w:rPr>
              <w:t xml:space="preserve">Mise en place du Data Warehouse</w:t>
            </w:r>
          </w:p>
        </w:tc>
        <w:tc>
          <w:tcPr>
            <w:tcW w:type="dxa" w:w="1800"/>
            <w:tcMar>
              <w:top w:type="dxa" w:w="80"/>
              <w:left w:type="dxa" w:w="120"/>
              <w:bottom w:type="dxa" w:w="80"/>
              <w:right w:type="dxa" w:w="120"/>
            </w:tcMar>
            <w:vAlign w:val="center"/>
          </w:tcPr>
          <w:p>
            <w:pPr>
              <w:jc w:val="left"/>
            </w:pPr>
            <w:r>
              <w:rPr>
                <w:b w:val="false"/>
                <w:bCs w:val="false"/>
                <w:color w:val="000000"/>
                <w:sz w:val="19"/>
                <w:szCs w:val="19"/>
              </w:rPr>
              <w:t xml:space="preserve">Semaine 10</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Phase 5</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Moteur de calcul des KPI et API REST</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Semaines 11–12</w:t>
            </w:r>
          </w:p>
        </w:tc>
      </w:tr>
      <w:tr>
        <w:tc>
          <w:tcPr>
            <w:tcW w:type="dxa" w:w="1400"/>
            <w:tcMar>
              <w:top w:type="dxa" w:w="80"/>
              <w:left w:type="dxa" w:w="120"/>
              <w:bottom w:type="dxa" w:w="80"/>
              <w:right w:type="dxa" w:w="120"/>
            </w:tcMar>
            <w:vAlign w:val="center"/>
          </w:tcPr>
          <w:p>
            <w:pPr>
              <w:jc w:val="left"/>
            </w:pPr>
            <w:r>
              <w:rPr>
                <w:b w:val="false"/>
                <w:bCs w:val="false"/>
                <w:color w:val="000000"/>
                <w:sz w:val="19"/>
                <w:szCs w:val="19"/>
              </w:rPr>
              <w:t xml:space="preserve">Phase 6</w:t>
            </w:r>
          </w:p>
        </w:tc>
        <w:tc>
          <w:tcPr>
            <w:tcW w:type="dxa" w:w="6300"/>
            <w:tcMar>
              <w:top w:type="dxa" w:w="80"/>
              <w:left w:type="dxa" w:w="120"/>
              <w:bottom w:type="dxa" w:w="80"/>
              <w:right w:type="dxa" w:w="120"/>
            </w:tcMar>
            <w:vAlign w:val="center"/>
          </w:tcPr>
          <w:p>
            <w:pPr>
              <w:jc w:val="left"/>
            </w:pPr>
            <w:r>
              <w:rPr>
                <w:b w:val="false"/>
                <w:bCs w:val="false"/>
                <w:color w:val="000000"/>
                <w:sz w:val="19"/>
                <w:szCs w:val="19"/>
              </w:rPr>
              <w:t xml:space="preserve">Dashboard et visualisation</w:t>
            </w:r>
          </w:p>
        </w:tc>
        <w:tc>
          <w:tcPr>
            <w:tcW w:type="dxa" w:w="1800"/>
            <w:tcMar>
              <w:top w:type="dxa" w:w="80"/>
              <w:left w:type="dxa" w:w="120"/>
              <w:bottom w:type="dxa" w:w="80"/>
              <w:right w:type="dxa" w:w="120"/>
            </w:tcMar>
            <w:vAlign w:val="center"/>
          </w:tcPr>
          <w:p>
            <w:pPr>
              <w:jc w:val="left"/>
            </w:pPr>
            <w:r>
              <w:rPr>
                <w:b w:val="false"/>
                <w:bCs w:val="false"/>
                <w:color w:val="000000"/>
                <w:sz w:val="19"/>
                <w:szCs w:val="19"/>
              </w:rPr>
              <w:t xml:space="preserve">Semaines 13–14</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Phase 7</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Alertes, reporting et administration</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Semaines 15–16</w:t>
            </w:r>
          </w:p>
        </w:tc>
      </w:tr>
      <w:tr>
        <w:tc>
          <w:tcPr>
            <w:tcW w:type="dxa" w:w="1400"/>
            <w:tcMar>
              <w:top w:type="dxa" w:w="80"/>
              <w:left w:type="dxa" w:w="120"/>
              <w:bottom w:type="dxa" w:w="80"/>
              <w:right w:type="dxa" w:w="120"/>
            </w:tcMar>
            <w:vAlign w:val="center"/>
          </w:tcPr>
          <w:p>
            <w:pPr>
              <w:jc w:val="left"/>
            </w:pPr>
            <w:r>
              <w:rPr>
                <w:b w:val="false"/>
                <w:bCs w:val="false"/>
                <w:color w:val="000000"/>
                <w:sz w:val="19"/>
                <w:szCs w:val="19"/>
              </w:rPr>
              <w:t xml:space="preserve">Phase 8</w:t>
            </w:r>
          </w:p>
        </w:tc>
        <w:tc>
          <w:tcPr>
            <w:tcW w:type="dxa" w:w="6300"/>
            <w:tcMar>
              <w:top w:type="dxa" w:w="80"/>
              <w:left w:type="dxa" w:w="120"/>
              <w:bottom w:type="dxa" w:w="80"/>
              <w:right w:type="dxa" w:w="120"/>
            </w:tcMar>
            <w:vAlign w:val="center"/>
          </w:tcPr>
          <w:p>
            <w:pPr>
              <w:jc w:val="left"/>
            </w:pPr>
            <w:r>
              <w:rPr>
                <w:b w:val="false"/>
                <w:bCs w:val="false"/>
                <w:color w:val="000000"/>
                <w:sz w:val="19"/>
                <w:szCs w:val="19"/>
              </w:rPr>
              <w:t xml:space="preserve">Tests et validation</w:t>
            </w:r>
          </w:p>
        </w:tc>
        <w:tc>
          <w:tcPr>
            <w:tcW w:type="dxa" w:w="1800"/>
            <w:tcMar>
              <w:top w:type="dxa" w:w="80"/>
              <w:left w:type="dxa" w:w="120"/>
              <w:bottom w:type="dxa" w:w="80"/>
              <w:right w:type="dxa" w:w="120"/>
            </w:tcMar>
            <w:vAlign w:val="center"/>
          </w:tcPr>
          <w:p>
            <w:pPr>
              <w:jc w:val="left"/>
            </w:pPr>
            <w:r>
              <w:rPr>
                <w:b w:val="false"/>
                <w:bCs w:val="false"/>
                <w:color w:val="000000"/>
                <w:sz w:val="19"/>
                <w:szCs w:val="19"/>
              </w:rPr>
              <w:t xml:space="preserve">Semaine 17</w:t>
            </w:r>
          </w:p>
        </w:tc>
      </w:tr>
      <w:tr>
        <w:tc>
          <w:tcPr>
            <w:tcW w:type="dxa" w:w="14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Phase 9</w:t>
            </w:r>
          </w:p>
        </w:tc>
        <w:tc>
          <w:tcPr>
            <w:tcW w:type="dxa" w:w="6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Documentation et rédaction du mémoire</w:t>
            </w:r>
          </w:p>
        </w:tc>
        <w:tc>
          <w:tcPr>
            <w:tcW w:type="dxa" w:w="18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Semaine 18 (en continu)</w:t>
            </w:r>
          </w:p>
        </w:tc>
      </w:tr>
    </w:tbl>
    <w:p>
      <w:pPr>
        <w:spacing w:before="200"/>
      </w:pPr>
    </w:p>
    <w:p>
      <w:pPr>
        <w:pStyle w:val="Heading1"/>
        <w:pageBreakBefore/>
        <w:spacing w:after="240" w:before="480"/>
      </w:pPr>
      <w:r>
        <w:rPr>
          <w:b/>
          <w:bCs/>
          <w:color w:val="1F3864"/>
          <w:sz w:val="30"/>
          <w:szCs w:val="30"/>
        </w:rPr>
        <w:t xml:space="preserve">9. Contraintes et risques identifiés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3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Risque</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Impact</w:t>
            </w:r>
          </w:p>
        </w:tc>
        <w:tc>
          <w:tcPr>
            <w:tcW w:type="dxa" w:w="3300"/>
            <w:shd w:fill="1F3864" w:val="clear"/>
            <w:tcMar>
              <w:top w:type="dxa" w:w="80"/>
              <w:left w:type="dxa" w:w="120"/>
              <w:bottom w:type="dxa" w:w="80"/>
              <w:right w:type="dxa" w:w="120"/>
            </w:tcMar>
            <w:vAlign w:val="center"/>
          </w:tcPr>
          <w:p>
            <w:pPr>
              <w:jc w:val="left"/>
            </w:pPr>
            <w:r>
              <w:rPr>
                <w:b/>
                <w:bCs/>
                <w:color w:val="FFFFFF"/>
                <w:sz w:val="19"/>
                <w:szCs w:val="19"/>
              </w:rPr>
              <w:t xml:space="preserve">Mesure d'atténuation</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Qualité insuffisante des données sources</w:t>
            </w:r>
          </w:p>
        </w:tc>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Fiabilité des KPI compromise</w:t>
            </w:r>
          </w:p>
        </w:tc>
        <w:tc>
          <w:tcPr>
            <w:tcW w:type="dxa" w:w="3300"/>
            <w:tcMar>
              <w:top w:type="dxa" w:w="80"/>
              <w:left w:type="dxa" w:w="120"/>
              <w:bottom w:type="dxa" w:w="80"/>
              <w:right w:type="dxa" w:w="120"/>
            </w:tcMar>
            <w:vAlign w:val="center"/>
          </w:tcPr>
          <w:p>
            <w:pPr>
              <w:jc w:val="left"/>
            </w:pPr>
            <w:r>
              <w:rPr>
                <w:b w:val="false"/>
                <w:bCs w:val="false"/>
                <w:color w:val="000000"/>
                <w:sz w:val="19"/>
                <w:szCs w:val="19"/>
              </w:rPr>
              <w:t xml:space="preserve">Mise en place de contrôles qualité systématiques dans l'ETL</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Indisponibilité ou accès limité aux données du PAD</w:t>
            </w:r>
          </w:p>
        </w:tc>
        <w:tc>
          <w:tcPr>
            <w:tcW w:type="dxa" w:w="2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Retard dans la phase d'intégration</w:t>
            </w:r>
          </w:p>
        </w:tc>
        <w:tc>
          <w:tcPr>
            <w:tcW w:type="dxa" w:w="3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Utilisation de jeux de données de test représentatifs</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Complexité de la connexion future à Oracle</w:t>
            </w:r>
          </w:p>
        </w:tc>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Report de cette fonctionnalité</w:t>
            </w:r>
          </w:p>
        </w:tc>
        <w:tc>
          <w:tcPr>
            <w:tcW w:type="dxa" w:w="3300"/>
            <w:tcMar>
              <w:top w:type="dxa" w:w="80"/>
              <w:left w:type="dxa" w:w="120"/>
              <w:bottom w:type="dxa" w:w="80"/>
              <w:right w:type="dxa" w:w="120"/>
            </w:tcMar>
            <w:vAlign w:val="center"/>
          </w:tcPr>
          <w:p>
            <w:pPr>
              <w:jc w:val="left"/>
            </w:pPr>
            <w:r>
              <w:rPr>
                <w:b w:val="false"/>
                <w:bCs w:val="false"/>
                <w:color w:val="000000"/>
                <w:sz w:val="19"/>
                <w:szCs w:val="19"/>
              </w:rPr>
              <w:t xml:space="preserve">Conception d'une interface ETL modulaire et extensible</w:t>
            </w:r>
          </w:p>
        </w:tc>
      </w:tr>
      <w:tr>
        <w:tc>
          <w:tcPr>
            <w:tcW w:type="dxa" w:w="2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Délais serrés sur la période de stage</w:t>
            </w:r>
          </w:p>
        </w:tc>
        <w:tc>
          <w:tcPr>
            <w:tcW w:type="dxa" w:w="26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Non-respect du planning</w:t>
            </w:r>
          </w:p>
        </w:tc>
        <w:tc>
          <w:tcPr>
            <w:tcW w:type="dxa" w:w="3300"/>
            <w:shd w:fill="F2F2F2" w:val="clear"/>
            <w:tcMar>
              <w:top w:type="dxa" w:w="80"/>
              <w:left w:type="dxa" w:w="120"/>
              <w:bottom w:type="dxa" w:w="80"/>
              <w:right w:type="dxa" w:w="120"/>
            </w:tcMar>
            <w:vAlign w:val="center"/>
          </w:tcPr>
          <w:p>
            <w:pPr>
              <w:jc w:val="left"/>
            </w:pPr>
            <w:r>
              <w:rPr>
                <w:b w:val="false"/>
                <w:bCs w:val="false"/>
                <w:color w:val="000000"/>
                <w:sz w:val="19"/>
                <w:szCs w:val="19"/>
              </w:rPr>
              <w:t xml:space="preserve">Priorisation des modules cœur (ETL, KPI, Dashboard)</w:t>
            </w:r>
          </w:p>
        </w:tc>
      </w:tr>
    </w:tbl>
    <w:p>
      <w:pPr>
        <w:spacing w:before="200"/>
      </w:pPr>
    </w:p>
    <w:p>
      <w:pPr>
        <w:pStyle w:val="Heading1"/>
        <w:pageBreakBefore/>
        <w:spacing w:after="240" w:before="480"/>
      </w:pPr>
      <w:r>
        <w:rPr>
          <w:b/>
          <w:bCs/>
          <w:color w:val="1F3864"/>
          <w:sz w:val="30"/>
          <w:szCs w:val="30"/>
        </w:rPr>
        <w:t xml:space="preserve">10. Critères de validation du projet</w:t>
      </w:r>
    </w:p>
    <w:p>
      <w:pPr>
        <w:spacing w:after="160" w:line="276"/>
        <w:jc w:val="both"/>
      </w:pPr>
      <w:r>
        <w:rPr>
          <w:sz w:val="21"/>
          <w:szCs w:val="21"/>
        </w:rPr>
        <w:t xml:space="preserve">Le projet sera considéré comme abouti lorsque les conditions suivantes seront réunies :</w:t>
      </w:r>
    </w:p>
    <w:p>
      <w:pPr>
        <w:pStyle w:val="ListParagraph"/>
        <w:numPr>
          <w:ilvl w:val="0"/>
          <w:numId w:val="2"/>
        </w:numPr>
        <w:spacing w:after="80"/>
      </w:pPr>
      <w:r>
        <w:rPr>
          <w:sz w:val="21"/>
          <w:szCs w:val="21"/>
        </w:rPr>
        <w:t xml:space="preserve">Les données des opérations navires sont correctement centralisées via le pipeline ETL.</w:t>
      </w:r>
    </w:p>
    <w:p>
      <w:pPr>
        <w:pStyle w:val="ListParagraph"/>
        <w:numPr>
          <w:ilvl w:val="0"/>
          <w:numId w:val="2"/>
        </w:numPr>
        <w:spacing w:after="80"/>
      </w:pPr>
      <w:r>
        <w:rPr>
          <w:sz w:val="21"/>
          <w:szCs w:val="21"/>
        </w:rPr>
        <w:t xml:space="preserve">L'ensemble des KPI définis dans le cahier des charges est calculé automatiquement et correctement.</w:t>
      </w:r>
    </w:p>
    <w:p>
      <w:pPr>
        <w:pStyle w:val="ListParagraph"/>
        <w:numPr>
          <w:ilvl w:val="0"/>
          <w:numId w:val="2"/>
        </w:numPr>
        <w:spacing w:after="80"/>
      </w:pPr>
      <w:r>
        <w:rPr>
          <w:sz w:val="21"/>
          <w:szCs w:val="21"/>
        </w:rPr>
        <w:t xml:space="preserve">Les tableaux de bord des trois vues (Direction, Exploitation, Capitainerie) sont fonctionnels et exploitables.</w:t>
      </w:r>
    </w:p>
    <w:p>
      <w:pPr>
        <w:pStyle w:val="ListParagraph"/>
        <w:numPr>
          <w:ilvl w:val="0"/>
          <w:numId w:val="2"/>
        </w:numPr>
        <w:spacing w:after="80"/>
      </w:pPr>
      <w:r>
        <w:rPr>
          <w:sz w:val="21"/>
          <w:szCs w:val="21"/>
        </w:rPr>
        <w:t xml:space="preserve">Le système d'alertes détecte correctement les situations de congestion et de contre-performance définies.</w:t>
      </w:r>
    </w:p>
    <w:p>
      <w:pPr>
        <w:pStyle w:val="ListParagraph"/>
        <w:numPr>
          <w:ilvl w:val="0"/>
          <w:numId w:val="2"/>
        </w:numPr>
        <w:spacing w:after="80"/>
      </w:pPr>
      <w:r>
        <w:rPr>
          <w:sz w:val="21"/>
          <w:szCs w:val="21"/>
        </w:rPr>
        <w:t xml:space="preserve">Les rapports (journalier, hebdomadaire, mensuel) sont générés et exportables en PDF et Excel.</w:t>
      </w:r>
    </w:p>
    <w:p>
      <w:pPr>
        <w:pStyle w:val="ListParagraph"/>
        <w:numPr>
          <w:ilvl w:val="0"/>
          <w:numId w:val="2"/>
        </w:numPr>
        <w:spacing w:after="80"/>
      </w:pPr>
      <w:r>
        <w:rPr>
          <w:sz w:val="21"/>
          <w:szCs w:val="21"/>
        </w:rPr>
        <w:t xml:space="preserve">La documentation technique et les guides utilisateurs sont complets et livrés.</w:t>
      </w:r>
    </w:p>
    <w:p>
      <w:pPr>
        <w:pStyle w:val="ListParagraph"/>
        <w:numPr>
          <w:ilvl w:val="0"/>
          <w:numId w:val="2"/>
        </w:numPr>
        <w:spacing w:after="80"/>
      </w:pPr>
      <w:r>
        <w:rPr>
          <w:sz w:val="21"/>
          <w:szCs w:val="21"/>
        </w:rPr>
        <w:t xml:space="preserve">Les tests fonctionnels et de performance sont réalisés et documentés dans des rapports dédiés.</w:t>
      </w:r>
    </w:p>
    <w:p>
      <w:pPr>
        <w:pBdr>
          <w:bottom w:val="single" w:color="B0B0B0" w:sz="6" w:space="1"/>
        </w:pBdr>
        <w:spacing w:after="200" w:before="100"/>
      </w:pPr>
    </w:p>
    <w:p>
      <w:pPr>
        <w:spacing w:before="300"/>
      </w:pPr>
      <w:r>
        <w:rPr>
          <w:i/>
          <w:iCs/>
          <w:color w:val="595959"/>
          <w:sz w:val="18"/>
          <w:szCs w:val="18"/>
        </w:rPr>
        <w:t xml:space="preserve">Fin du document.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Cahier des charges — Plateforme décisionnelle 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2026-07-14T13:52:13.861Z</dcterms:created>
  <dcterms:modified xsi:type="dcterms:W3CDTF">2026-07-14T13:52:13.887Z</dcterms:modified>
</cp:coreProperties>
</file>

<file path=docProps/custom.xml><?xml version="1.0" encoding="utf-8"?>
<Properties xmlns="http://schemas.openxmlformats.org/officeDocument/2006/custom-properties" xmlns:vt="http://schemas.openxmlformats.org/officeDocument/2006/docPropsVTypes"/>
</file>