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F3864"/>
          <w:sz w:val="24"/>
          <w:szCs w:val="24"/>
        </w:rPr>
        <w:t xml:space="preserve">PORT AUTONOME DE DOUALA</w:t>
      </w:r>
    </w:p>
    <w:p>
      <w:pPr>
        <w:spacing w:after="700"/>
        <w:jc w:val="center"/>
      </w:pPr>
      <w:r>
        <w:rPr>
          <w:i/>
          <w:iCs/>
          <w:color w:val="595959"/>
          <w:sz w:val="20"/>
          <w:szCs w:val="20"/>
        </w:rPr>
        <w:t xml:space="preserve">Direction des Systèmes d'Information</w:t>
      </w:r>
    </w:p>
    <w:p>
      <w:pPr>
        <w:spacing w:after="200" w:before="900"/>
        <w:jc w:val="center"/>
      </w:pPr>
      <w:r>
        <w:rPr>
          <w:b/>
          <w:bCs/>
          <w:color w:val="1F3864"/>
          <w:sz w:val="40"/>
          <w:szCs w:val="40"/>
        </w:rPr>
        <w:t xml:space="preserve">MODÈLE DE DONNÉES</w:t>
      </w:r>
    </w:p>
    <w:p>
      <w:pPr>
        <w:spacing w:after="100"/>
        <w:jc w:val="center"/>
      </w:pPr>
      <w:r>
        <w:rPr>
          <w:b/>
          <w:bCs/>
          <w:color w:val="B08D57"/>
          <w:sz w:val="24"/>
          <w:szCs w:val="24"/>
        </w:rPr>
        <w:t xml:space="preserve">MCD · MLD · MPD</w:t>
      </w:r>
    </w:p>
    <w:p>
      <w:pPr>
        <w:pBdr>
          <w:top w:val="single" w:color="B08D57" w:sz="6" w:space="10"/>
          <w:bottom w:val="single" w:color="B08D57" w:sz="6" w:space="10"/>
        </w:pBdr>
        <w:spacing w:after="400" w:before="400"/>
        <w:jc w:val="center"/>
      </w:pPr>
      <w:r>
        <w:rPr>
          <w:b/>
          <w:bCs/>
          <w:color w:val="1F3864"/>
          <w:sz w:val="24"/>
          <w:szCs w:val="24"/>
        </w:rPr>
        <w:t xml:space="preserve">Plateforme décisionnelle pour l'analyse des performances des opérations navires — Port Autonome de Douala (PAD)</w:t>
      </w:r>
    </w:p>
    <w:p>
      <w:pPr>
        <w:spacing w:after="60" w:before="800"/>
        <w:jc w:val="center"/>
      </w:pPr>
      <w:r>
        <w:rPr>
          <w:color w:val="595959"/>
          <w:sz w:val="20"/>
          <w:szCs w:val="20"/>
        </w:rPr>
        <w:t xml:space="preserve">Version 1.0 — Juillet 2026</w:t>
      </w:r>
    </w:p>
    <w:p>
      <w:pPr>
        <w:spacing w:before="900"/>
      </w:pPr>
    </w:p>
    <w:p>
      <w:pPr>
        <w:pStyle w:val="Heading1"/>
        <w:spacing w:after="200" w:before="300"/>
      </w:pPr>
      <w:r>
        <w:rPr>
          <w:b/>
          <w:bCs/>
          <w:color w:val="1F3864"/>
          <w:sz w:val="30"/>
          <w:szCs w:val="30"/>
        </w:rPr>
        <w:t xml:space="preserve">1. Introduction</w:t>
      </w:r>
    </w:p>
    <w:p>
      <w:pPr>
        <w:spacing w:after="140" w:line="276"/>
        <w:jc w:val="both"/>
      </w:pPr>
      <w:r>
        <w:rPr>
          <w:sz w:val="21"/>
          <w:szCs w:val="21"/>
        </w:rPr>
        <w:t xml:space="preserve">Ce document présente la modélisation des données de la plateforme décisionnelle selon la démarche Merise, en trois niveaux complémentaires :</w:t>
      </w:r>
    </w:p>
    <w:p>
      <w:pPr>
        <w:pStyle w:val="ListParagraph"/>
        <w:numPr>
          <w:ilvl w:val="0"/>
          <w:numId w:val="2"/>
        </w:numPr>
        <w:spacing w:after="70"/>
      </w:pPr>
      <w:r>
        <w:rPr>
          <w:sz w:val="20"/>
          <w:szCs w:val="20"/>
        </w:rPr>
        <w:t xml:space="preserve">Le Modèle Conceptuel de Données (MCD), qui décrit les entités, les associations et leurs cardinalités, indépendamment de toute contrainte technique.</w:t>
      </w:r>
    </w:p>
    <w:p>
      <w:pPr>
        <w:pStyle w:val="ListParagraph"/>
        <w:numPr>
          <w:ilvl w:val="0"/>
          <w:numId w:val="2"/>
        </w:numPr>
        <w:spacing w:after="70"/>
      </w:pPr>
      <w:r>
        <w:rPr>
          <w:sz w:val="20"/>
          <w:szCs w:val="20"/>
        </w:rPr>
        <w:t xml:space="preserve">Le Modèle Logique de Données (MLD), qui traduit le MCD en un schéma relationnel formel, en appliquant les règles de passage Merise (gestion des cardinalités, transformation des associations n,n en tables).</w:t>
      </w:r>
    </w:p>
    <w:p>
      <w:pPr>
        <w:pStyle w:val="ListParagraph"/>
        <w:numPr>
          <w:ilvl w:val="0"/>
          <w:numId w:val="2"/>
        </w:numPr>
        <w:spacing w:after="70"/>
      </w:pPr>
      <w:r>
        <w:rPr>
          <w:sz w:val="20"/>
          <w:szCs w:val="20"/>
        </w:rPr>
        <w:t xml:space="preserve">Le Modèle Physique de Données (MPD), qui implémente ce schéma relationnel dans PostgreSQL avec les types de données, contraintes, clés étrangères et index nécessaires à l'exploitation de la plateforme.</w:t>
      </w:r>
    </w:p>
    <w:p>
      <w:pPr>
        <w:spacing w:after="140" w:line="276"/>
        <w:jc w:val="both"/>
      </w:pPr>
      <w:r>
        <w:rPr>
          <w:sz w:val="21"/>
          <w:szCs w:val="21"/>
        </w:rPr>
        <w:t xml:space="preserve">Cette approche garantit la cohérence entre la conception fonctionnelle du cahier des charges et l'implémentation technique de la base décisionnelle.</w:t>
      </w:r>
    </w:p>
    <w:p>
      <w:pPr>
        <w:pStyle w:val="Heading2"/>
        <w:spacing w:after="140" w:before="240"/>
      </w:pPr>
      <w:r>
        <w:rPr>
          <w:b/>
          <w:bCs/>
          <w:color w:val="1F3864"/>
          <w:sz w:val="25"/>
          <w:szCs w:val="25"/>
        </w:rPr>
        <w:t xml:space="preserve">1.1 Entités du MCD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70"/>
              <w:left w:type="dxa" w:w="110"/>
              <w:bottom w:type="dxa" w:w="70"/>
              <w:right w:type="dxa" w:w="110"/>
            </w:tcMar>
            <w:vAlign w:val="center"/>
          </w:tcPr>
          <w:p>
            <w:r>
              <w:rPr>
                <w:b/>
                <w:bCs/>
                <w:color w:val="FFFFFF"/>
                <w:sz w:val="19"/>
                <w:szCs w:val="19"/>
              </w:rPr>
              <w:t xml:space="preserve">Entité</w:t>
            </w:r>
          </w:p>
        </w:tc>
        <w:tc>
          <w:tcPr>
            <w:tcW w:type="dxa" w:w="6900"/>
            <w:shd w:fill="1F3864" w:val="clear"/>
            <w:tcMar>
              <w:top w:type="dxa" w:w="70"/>
              <w:left w:type="dxa" w:w="110"/>
              <w:bottom w:type="dxa" w:w="70"/>
              <w:right w:type="dxa" w:w="110"/>
            </w:tcMar>
            <w:vAlign w:val="center"/>
          </w:tcPr>
          <w:p>
            <w:r>
              <w:rPr>
                <w:b/>
                <w:bCs/>
                <w:color w:val="FFFFFF"/>
                <w:sz w:val="19"/>
                <w:szCs w:val="19"/>
              </w:rPr>
              <w:t xml:space="preserve">Description</w:t>
            </w:r>
          </w:p>
        </w:tc>
      </w:tr>
      <w:tr>
        <w:tc>
          <w:tcPr>
            <w:tcW w:type="dxa" w:w="2600"/>
            <w:tcMar>
              <w:top w:type="dxa" w:w="70"/>
              <w:left w:type="dxa" w:w="110"/>
              <w:bottom w:type="dxa" w:w="70"/>
              <w:right w:type="dxa" w:w="110"/>
            </w:tcMar>
            <w:vAlign w:val="center"/>
          </w:tcPr>
          <w:p>
            <w:r>
              <w:rPr>
                <w:b w:val="false"/>
                <w:bCs w:val="false"/>
                <w:color w:val="000000"/>
                <w:sz w:val="19"/>
                <w:szCs w:val="19"/>
              </w:rPr>
              <w:t xml:space="preserve">NAVIRE</w:t>
            </w:r>
          </w:p>
        </w:tc>
        <w:tc>
          <w:tcPr>
            <w:tcW w:type="dxa" w:w="6900"/>
            <w:tcMar>
              <w:top w:type="dxa" w:w="70"/>
              <w:left w:type="dxa" w:w="110"/>
              <w:bottom w:type="dxa" w:w="70"/>
              <w:right w:type="dxa" w:w="110"/>
            </w:tcMar>
            <w:vAlign w:val="center"/>
          </w:tcPr>
          <w:p>
            <w:r>
              <w:rPr>
                <w:b w:val="false"/>
                <w:bCs w:val="false"/>
                <w:color w:val="000000"/>
                <w:sz w:val="19"/>
                <w:szCs w:val="19"/>
              </w:rPr>
              <w:t xml:space="preserve">Navire escalant au port, caractérisé par son immatriculation IMO et ses dimensions</w:t>
            </w:r>
          </w:p>
        </w:tc>
      </w:tr>
      <w:tr>
        <w:tc>
          <w:tcPr>
            <w:tcW w:type="dxa" w:w="2600"/>
            <w:shd w:fill="F2F2F2" w:val="clear"/>
            <w:tcMar>
              <w:top w:type="dxa" w:w="70"/>
              <w:left w:type="dxa" w:w="110"/>
              <w:bottom w:type="dxa" w:w="70"/>
              <w:right w:type="dxa" w:w="110"/>
            </w:tcMar>
            <w:vAlign w:val="center"/>
          </w:tcPr>
          <w:p>
            <w:r>
              <w:rPr>
                <w:b w:val="false"/>
                <w:bCs w:val="false"/>
                <w:color w:val="000000"/>
                <w:sz w:val="19"/>
                <w:szCs w:val="19"/>
              </w:rPr>
              <w:t xml:space="preserve">TYPE_NAVIRE</w:t>
            </w:r>
          </w:p>
        </w:tc>
        <w:tc>
          <w:tcPr>
            <w:tcW w:type="dxa" w:w="6900"/>
            <w:shd w:fill="F2F2F2" w:val="clear"/>
            <w:tcMar>
              <w:top w:type="dxa" w:w="70"/>
              <w:left w:type="dxa" w:w="110"/>
              <w:bottom w:type="dxa" w:w="70"/>
              <w:right w:type="dxa" w:w="110"/>
            </w:tcMar>
            <w:vAlign w:val="center"/>
          </w:tcPr>
          <w:p>
            <w:r>
              <w:rPr>
                <w:b w:val="false"/>
                <w:bCs w:val="false"/>
                <w:color w:val="000000"/>
                <w:sz w:val="19"/>
                <w:szCs w:val="19"/>
              </w:rPr>
              <w:t xml:space="preserve">Catégorie du navire (porte-conteneurs, vraquier, pétrolier...)</w:t>
            </w:r>
          </w:p>
        </w:tc>
      </w:tr>
      <w:tr>
        <w:tc>
          <w:tcPr>
            <w:tcW w:type="dxa" w:w="2600"/>
            <w:tcMar>
              <w:top w:type="dxa" w:w="70"/>
              <w:left w:type="dxa" w:w="110"/>
              <w:bottom w:type="dxa" w:w="70"/>
              <w:right w:type="dxa" w:w="110"/>
            </w:tcMar>
            <w:vAlign w:val="center"/>
          </w:tcPr>
          <w:p>
            <w:r>
              <w:rPr>
                <w:b w:val="false"/>
                <w:bCs w:val="false"/>
                <w:color w:val="000000"/>
                <w:sz w:val="19"/>
                <w:szCs w:val="19"/>
              </w:rPr>
              <w:t xml:space="preserve">COMPAGNIE_MARITIME</w:t>
            </w:r>
          </w:p>
        </w:tc>
        <w:tc>
          <w:tcPr>
            <w:tcW w:type="dxa" w:w="6900"/>
            <w:tcMar>
              <w:top w:type="dxa" w:w="70"/>
              <w:left w:type="dxa" w:w="110"/>
              <w:bottom w:type="dxa" w:w="70"/>
              <w:right w:type="dxa" w:w="110"/>
            </w:tcMar>
            <w:vAlign w:val="center"/>
          </w:tcPr>
          <w:p>
            <w:r>
              <w:rPr>
                <w:b w:val="false"/>
                <w:bCs w:val="false"/>
                <w:color w:val="000000"/>
                <w:sz w:val="19"/>
                <w:szCs w:val="19"/>
              </w:rPr>
              <w:t xml:space="preserve">Armateur ou compagnie exploitant le navire</w:t>
            </w:r>
          </w:p>
        </w:tc>
      </w:tr>
      <w:tr>
        <w:tc>
          <w:tcPr>
            <w:tcW w:type="dxa" w:w="2600"/>
            <w:shd w:fill="F2F2F2" w:val="clear"/>
            <w:tcMar>
              <w:top w:type="dxa" w:w="70"/>
              <w:left w:type="dxa" w:w="110"/>
              <w:bottom w:type="dxa" w:w="70"/>
              <w:right w:type="dxa" w:w="110"/>
            </w:tcMar>
            <w:vAlign w:val="center"/>
          </w:tcPr>
          <w:p>
            <w:r>
              <w:rPr>
                <w:b w:val="false"/>
                <w:bCs w:val="false"/>
                <w:color w:val="000000"/>
                <w:sz w:val="19"/>
                <w:szCs w:val="19"/>
              </w:rPr>
              <w:t xml:space="preserve">AGENT_MARITIME</w:t>
            </w:r>
          </w:p>
        </w:tc>
        <w:tc>
          <w:tcPr>
            <w:tcW w:type="dxa" w:w="6900"/>
            <w:shd w:fill="F2F2F2" w:val="clear"/>
            <w:tcMar>
              <w:top w:type="dxa" w:w="70"/>
              <w:left w:type="dxa" w:w="110"/>
              <w:bottom w:type="dxa" w:w="70"/>
              <w:right w:type="dxa" w:w="110"/>
            </w:tcMar>
            <w:vAlign w:val="center"/>
          </w:tcPr>
          <w:p>
            <w:r>
              <w:rPr>
                <w:b w:val="false"/>
                <w:bCs w:val="false"/>
                <w:color w:val="000000"/>
                <w:sz w:val="19"/>
                <w:szCs w:val="19"/>
              </w:rPr>
              <w:t xml:space="preserve">Consignataire représentant le navire auprès du port</w:t>
            </w:r>
          </w:p>
        </w:tc>
      </w:tr>
      <w:tr>
        <w:tc>
          <w:tcPr>
            <w:tcW w:type="dxa" w:w="2600"/>
            <w:tcMar>
              <w:top w:type="dxa" w:w="70"/>
              <w:left w:type="dxa" w:w="110"/>
              <w:bottom w:type="dxa" w:w="70"/>
              <w:right w:type="dxa" w:w="110"/>
            </w:tcMar>
            <w:vAlign w:val="center"/>
          </w:tcPr>
          <w:p>
            <w:r>
              <w:rPr>
                <w:b w:val="false"/>
                <w:bCs w:val="false"/>
                <w:color w:val="000000"/>
                <w:sz w:val="19"/>
                <w:szCs w:val="19"/>
              </w:rPr>
              <w:t xml:space="preserve">QUAI</w:t>
            </w:r>
          </w:p>
        </w:tc>
        <w:tc>
          <w:tcPr>
            <w:tcW w:type="dxa" w:w="6900"/>
            <w:tcMar>
              <w:top w:type="dxa" w:w="70"/>
              <w:left w:type="dxa" w:w="110"/>
              <w:bottom w:type="dxa" w:w="70"/>
              <w:right w:type="dxa" w:w="110"/>
            </w:tcMar>
            <w:vAlign w:val="center"/>
          </w:tcPr>
          <w:p>
            <w:r>
              <w:rPr>
                <w:b w:val="false"/>
                <w:bCs w:val="false"/>
                <w:color w:val="000000"/>
                <w:sz w:val="19"/>
                <w:szCs w:val="19"/>
              </w:rPr>
              <w:t xml:space="preserve">Poste d'accostage physique, rattaché à un terminal</w:t>
            </w:r>
          </w:p>
        </w:tc>
      </w:tr>
      <w:tr>
        <w:tc>
          <w:tcPr>
            <w:tcW w:type="dxa" w:w="2600"/>
            <w:shd w:fill="F2F2F2" w:val="clear"/>
            <w:tcMar>
              <w:top w:type="dxa" w:w="70"/>
              <w:left w:type="dxa" w:w="110"/>
              <w:bottom w:type="dxa" w:w="70"/>
              <w:right w:type="dxa" w:w="110"/>
            </w:tcMar>
            <w:vAlign w:val="center"/>
          </w:tcPr>
          <w:p>
            <w:r>
              <w:rPr>
                <w:b w:val="false"/>
                <w:bCs w:val="false"/>
                <w:color w:val="000000"/>
                <w:sz w:val="19"/>
                <w:szCs w:val="19"/>
              </w:rPr>
              <w:t xml:space="preserve">TERMINAL</w:t>
            </w:r>
          </w:p>
        </w:tc>
        <w:tc>
          <w:tcPr>
            <w:tcW w:type="dxa" w:w="6900"/>
            <w:shd w:fill="F2F2F2" w:val="clear"/>
            <w:tcMar>
              <w:top w:type="dxa" w:w="70"/>
              <w:left w:type="dxa" w:w="110"/>
              <w:bottom w:type="dxa" w:w="70"/>
              <w:right w:type="dxa" w:w="110"/>
            </w:tcMar>
            <w:vAlign w:val="center"/>
          </w:tcPr>
          <w:p>
            <w:r>
              <w:rPr>
                <w:b w:val="false"/>
                <w:bCs w:val="false"/>
                <w:color w:val="000000"/>
                <w:sz w:val="19"/>
                <w:szCs w:val="19"/>
              </w:rPr>
              <w:t xml:space="preserve">Zone portuaire regroupant plusieurs quais</w:t>
            </w:r>
          </w:p>
        </w:tc>
      </w:tr>
      <w:tr>
        <w:tc>
          <w:tcPr>
            <w:tcW w:type="dxa" w:w="2600"/>
            <w:tcMar>
              <w:top w:type="dxa" w:w="70"/>
              <w:left w:type="dxa" w:w="110"/>
              <w:bottom w:type="dxa" w:w="70"/>
              <w:right w:type="dxa" w:w="110"/>
            </w:tcMar>
            <w:vAlign w:val="center"/>
          </w:tcPr>
          <w:p>
            <w:r>
              <w:rPr>
                <w:b w:val="false"/>
                <w:bCs w:val="false"/>
                <w:color w:val="000000"/>
                <w:sz w:val="19"/>
                <w:szCs w:val="19"/>
              </w:rPr>
              <w:t xml:space="preserve">SERVICE_NAUTIQUE</w:t>
            </w:r>
          </w:p>
        </w:tc>
        <w:tc>
          <w:tcPr>
            <w:tcW w:type="dxa" w:w="6900"/>
            <w:tcMar>
              <w:top w:type="dxa" w:w="70"/>
              <w:left w:type="dxa" w:w="110"/>
              <w:bottom w:type="dxa" w:w="70"/>
              <w:right w:type="dxa" w:w="110"/>
            </w:tcMar>
            <w:vAlign w:val="center"/>
          </w:tcPr>
          <w:p>
            <w:r>
              <w:rPr>
                <w:b w:val="false"/>
                <w:bCs w:val="false"/>
                <w:color w:val="000000"/>
                <w:sz w:val="19"/>
                <w:szCs w:val="19"/>
              </w:rPr>
              <w:t xml:space="preserve">Service mobilisé lors d'une escale (pilotage, remorquage, lamanage)</w:t>
            </w:r>
          </w:p>
        </w:tc>
      </w:tr>
      <w:tr>
        <w:tc>
          <w:tcPr>
            <w:tcW w:type="dxa" w:w="2600"/>
            <w:shd w:fill="F2F2F2" w:val="clear"/>
            <w:tcMar>
              <w:top w:type="dxa" w:w="70"/>
              <w:left w:type="dxa" w:w="110"/>
              <w:bottom w:type="dxa" w:w="70"/>
              <w:right w:type="dxa" w:w="110"/>
            </w:tcMar>
            <w:vAlign w:val="center"/>
          </w:tcPr>
          <w:p>
            <w:r>
              <w:rPr>
                <w:b w:val="false"/>
                <w:bCs w:val="false"/>
                <w:color w:val="000000"/>
                <w:sz w:val="19"/>
                <w:szCs w:val="19"/>
              </w:rPr>
              <w:t xml:space="preserve">CALENDRIER</w:t>
            </w:r>
          </w:p>
        </w:tc>
        <w:tc>
          <w:tcPr>
            <w:tcW w:type="dxa" w:w="6900"/>
            <w:shd w:fill="F2F2F2" w:val="clear"/>
            <w:tcMar>
              <w:top w:type="dxa" w:w="70"/>
              <w:left w:type="dxa" w:w="110"/>
              <w:bottom w:type="dxa" w:w="70"/>
              <w:right w:type="dxa" w:w="110"/>
            </w:tcMar>
            <w:vAlign w:val="center"/>
          </w:tcPr>
          <w:p>
            <w:r>
              <w:rPr>
                <w:b w:val="false"/>
                <w:bCs w:val="false"/>
                <w:color w:val="000000"/>
                <w:sz w:val="19"/>
                <w:szCs w:val="19"/>
              </w:rPr>
              <w:t xml:space="preserve">Dimension temporelle (jour, mois, trimestre, année)</w:t>
            </w:r>
          </w:p>
        </w:tc>
      </w:tr>
      <w:tr>
        <w:tc>
          <w:tcPr>
            <w:tcW w:type="dxa" w:w="2600"/>
            <w:tcMar>
              <w:top w:type="dxa" w:w="70"/>
              <w:left w:type="dxa" w:w="110"/>
              <w:bottom w:type="dxa" w:w="70"/>
              <w:right w:type="dxa" w:w="110"/>
            </w:tcMar>
            <w:vAlign w:val="center"/>
          </w:tcPr>
          <w:p>
            <w:r>
              <w:rPr>
                <w:b w:val="false"/>
                <w:bCs w:val="false"/>
                <w:color w:val="000000"/>
                <w:sz w:val="19"/>
                <w:szCs w:val="19"/>
              </w:rPr>
              <w:t xml:space="preserve">KPI</w:t>
            </w:r>
          </w:p>
        </w:tc>
        <w:tc>
          <w:tcPr>
            <w:tcW w:type="dxa" w:w="6900"/>
            <w:tcMar>
              <w:top w:type="dxa" w:w="70"/>
              <w:left w:type="dxa" w:w="110"/>
              <w:bottom w:type="dxa" w:w="70"/>
              <w:right w:type="dxa" w:w="110"/>
            </w:tcMar>
            <w:vAlign w:val="center"/>
          </w:tcPr>
          <w:p>
            <w:r>
              <w:rPr>
                <w:b w:val="false"/>
                <w:bCs w:val="false"/>
                <w:color w:val="000000"/>
                <w:sz w:val="19"/>
                <w:szCs w:val="19"/>
              </w:rPr>
              <w:t xml:space="preserve">Indicateur de performance défini (code, formule, catégorie)</w:t>
            </w:r>
          </w:p>
        </w:tc>
      </w:tr>
      <w:tr>
        <w:tc>
          <w:tcPr>
            <w:tcW w:type="dxa" w:w="2600"/>
            <w:shd w:fill="F2F2F2" w:val="clear"/>
            <w:tcMar>
              <w:top w:type="dxa" w:w="70"/>
              <w:left w:type="dxa" w:w="110"/>
              <w:bottom w:type="dxa" w:w="70"/>
              <w:right w:type="dxa" w:w="110"/>
            </w:tcMar>
            <w:vAlign w:val="center"/>
          </w:tcPr>
          <w:p>
            <w:r>
              <w:rPr>
                <w:b w:val="false"/>
                <w:bCs w:val="false"/>
                <w:color w:val="000000"/>
                <w:sz w:val="19"/>
                <w:szCs w:val="19"/>
              </w:rPr>
              <w:t xml:space="preserve">SEUIL_ALERTE</w:t>
            </w:r>
          </w:p>
        </w:tc>
        <w:tc>
          <w:tcPr>
            <w:tcW w:type="dxa" w:w="6900"/>
            <w:shd w:fill="F2F2F2" w:val="clear"/>
            <w:tcMar>
              <w:top w:type="dxa" w:w="70"/>
              <w:left w:type="dxa" w:w="110"/>
              <w:bottom w:type="dxa" w:w="70"/>
              <w:right w:type="dxa" w:w="110"/>
            </w:tcMar>
            <w:vAlign w:val="center"/>
          </w:tcPr>
          <w:p>
            <w:r>
              <w:rPr>
                <w:b w:val="false"/>
                <w:bCs w:val="false"/>
                <w:color w:val="000000"/>
                <w:sz w:val="19"/>
                <w:szCs w:val="19"/>
              </w:rPr>
              <w:t xml:space="preserve">Seuil configuré pour un KPI, déclenchant une alerte en cas de dépassement</w:t>
            </w:r>
          </w:p>
        </w:tc>
      </w:tr>
      <w:tr>
        <w:tc>
          <w:tcPr>
            <w:tcW w:type="dxa" w:w="2600"/>
            <w:tcMar>
              <w:top w:type="dxa" w:w="70"/>
              <w:left w:type="dxa" w:w="110"/>
              <w:bottom w:type="dxa" w:w="70"/>
              <w:right w:type="dxa" w:w="110"/>
            </w:tcMar>
            <w:vAlign w:val="center"/>
          </w:tcPr>
          <w:p>
            <w:r>
              <w:rPr>
                <w:b w:val="false"/>
                <w:bCs w:val="false"/>
                <w:color w:val="000000"/>
                <w:sz w:val="19"/>
                <w:szCs w:val="19"/>
              </w:rPr>
              <w:t xml:space="preserve">ALERTE</w:t>
            </w:r>
          </w:p>
        </w:tc>
        <w:tc>
          <w:tcPr>
            <w:tcW w:type="dxa" w:w="6900"/>
            <w:tcMar>
              <w:top w:type="dxa" w:w="70"/>
              <w:left w:type="dxa" w:w="110"/>
              <w:bottom w:type="dxa" w:w="70"/>
              <w:right w:type="dxa" w:w="110"/>
            </w:tcMar>
            <w:vAlign w:val="center"/>
          </w:tcPr>
          <w:p>
            <w:r>
              <w:rPr>
                <w:b w:val="false"/>
                <w:bCs w:val="false"/>
                <w:color w:val="000000"/>
                <w:sz w:val="19"/>
                <w:szCs w:val="19"/>
              </w:rPr>
              <w:t xml:space="preserve">Occurrence d'une alerte détectée par le système</w:t>
            </w:r>
          </w:p>
        </w:tc>
      </w:tr>
      <w:tr>
        <w:tc>
          <w:tcPr>
            <w:tcW w:type="dxa" w:w="2600"/>
            <w:shd w:fill="F2F2F2" w:val="clear"/>
            <w:tcMar>
              <w:top w:type="dxa" w:w="70"/>
              <w:left w:type="dxa" w:w="110"/>
              <w:bottom w:type="dxa" w:w="70"/>
              <w:right w:type="dxa" w:w="110"/>
            </w:tcMar>
            <w:vAlign w:val="center"/>
          </w:tcPr>
          <w:p>
            <w:r>
              <w:rPr>
                <w:b w:val="false"/>
                <w:bCs w:val="false"/>
                <w:color w:val="000000"/>
                <w:sz w:val="19"/>
                <w:szCs w:val="19"/>
              </w:rPr>
              <w:t xml:space="preserve">UTILISATEUR</w:t>
            </w:r>
          </w:p>
        </w:tc>
        <w:tc>
          <w:tcPr>
            <w:tcW w:type="dxa" w:w="6900"/>
            <w:shd w:fill="F2F2F2" w:val="clear"/>
            <w:tcMar>
              <w:top w:type="dxa" w:w="70"/>
              <w:left w:type="dxa" w:w="110"/>
              <w:bottom w:type="dxa" w:w="70"/>
              <w:right w:type="dxa" w:w="110"/>
            </w:tcMar>
            <w:vAlign w:val="center"/>
          </w:tcPr>
          <w:p>
            <w:r>
              <w:rPr>
                <w:b w:val="false"/>
                <w:bCs w:val="false"/>
                <w:color w:val="000000"/>
                <w:sz w:val="19"/>
                <w:szCs w:val="19"/>
              </w:rPr>
              <w:t xml:space="preserve">Compte d'accès à la plateforme, rattaché à un rôle</w:t>
            </w:r>
          </w:p>
        </w:tc>
      </w:tr>
      <w:tr>
        <w:tc>
          <w:tcPr>
            <w:tcW w:type="dxa" w:w="2600"/>
            <w:tcMar>
              <w:top w:type="dxa" w:w="70"/>
              <w:left w:type="dxa" w:w="110"/>
              <w:bottom w:type="dxa" w:w="70"/>
              <w:right w:type="dxa" w:w="110"/>
            </w:tcMar>
            <w:vAlign w:val="center"/>
          </w:tcPr>
          <w:p>
            <w:r>
              <w:rPr>
                <w:b w:val="false"/>
                <w:bCs w:val="false"/>
                <w:color w:val="000000"/>
                <w:sz w:val="19"/>
                <w:szCs w:val="19"/>
              </w:rPr>
              <w:t xml:space="preserve">ROLE</w:t>
            </w:r>
          </w:p>
        </w:tc>
        <w:tc>
          <w:tcPr>
            <w:tcW w:type="dxa" w:w="6900"/>
            <w:tcMar>
              <w:top w:type="dxa" w:w="70"/>
              <w:left w:type="dxa" w:w="110"/>
              <w:bottom w:type="dxa" w:w="70"/>
              <w:right w:type="dxa" w:w="110"/>
            </w:tcMar>
            <w:vAlign w:val="center"/>
          </w:tcPr>
          <w:p>
            <w:r>
              <w:rPr>
                <w:b w:val="false"/>
                <w:bCs w:val="false"/>
                <w:color w:val="000000"/>
                <w:sz w:val="19"/>
                <w:szCs w:val="19"/>
              </w:rPr>
              <w:t xml:space="preserve">Profil d'habilitation (Administrateur, Direction, Exploitation, Capitainerie)</w:t>
            </w:r>
          </w:p>
        </w:tc>
      </w:tr>
      <w:tr>
        <w:tc>
          <w:tcPr>
            <w:tcW w:type="dxa" w:w="2600"/>
            <w:shd w:fill="F2F2F2" w:val="clear"/>
            <w:tcMar>
              <w:top w:type="dxa" w:w="70"/>
              <w:left w:type="dxa" w:w="110"/>
              <w:bottom w:type="dxa" w:w="70"/>
              <w:right w:type="dxa" w:w="110"/>
            </w:tcMar>
            <w:vAlign w:val="center"/>
          </w:tcPr>
          <w:p>
            <w:r>
              <w:rPr>
                <w:b w:val="false"/>
                <w:bCs w:val="false"/>
                <w:color w:val="000000"/>
                <w:sz w:val="19"/>
                <w:szCs w:val="19"/>
              </w:rPr>
              <w:t xml:space="preserve">RAPPORT</w:t>
            </w:r>
          </w:p>
        </w:tc>
        <w:tc>
          <w:tcPr>
            <w:tcW w:type="dxa" w:w="6900"/>
            <w:shd w:fill="F2F2F2" w:val="clear"/>
            <w:tcMar>
              <w:top w:type="dxa" w:w="70"/>
              <w:left w:type="dxa" w:w="110"/>
              <w:bottom w:type="dxa" w:w="70"/>
              <w:right w:type="dxa" w:w="110"/>
            </w:tcMar>
            <w:vAlign w:val="center"/>
          </w:tcPr>
          <w:p>
            <w:r>
              <w:rPr>
                <w:b w:val="false"/>
                <w:bCs w:val="false"/>
                <w:color w:val="000000"/>
                <w:sz w:val="19"/>
                <w:szCs w:val="19"/>
              </w:rPr>
              <w:t xml:space="preserve">Rapport généré (journalier, hebdomadaire, mensuel)</w:t>
            </w:r>
          </w:p>
        </w:tc>
      </w:tr>
      <w:tr>
        <w:tc>
          <w:tcPr>
            <w:tcW w:type="dxa" w:w="2600"/>
            <w:tcMar>
              <w:top w:type="dxa" w:w="70"/>
              <w:left w:type="dxa" w:w="110"/>
              <w:bottom w:type="dxa" w:w="70"/>
              <w:right w:type="dxa" w:w="110"/>
            </w:tcMar>
            <w:vAlign w:val="center"/>
          </w:tcPr>
          <w:p>
            <w:r>
              <w:rPr>
                <w:b w:val="false"/>
                <w:bCs w:val="false"/>
                <w:color w:val="000000"/>
                <w:sz w:val="19"/>
                <w:szCs w:val="19"/>
              </w:rPr>
              <w:t xml:space="preserve">JOURNAL_IMPORT</w:t>
            </w:r>
          </w:p>
        </w:tc>
        <w:tc>
          <w:tcPr>
            <w:tcW w:type="dxa" w:w="6900"/>
            <w:tcMar>
              <w:top w:type="dxa" w:w="70"/>
              <w:left w:type="dxa" w:w="110"/>
              <w:bottom w:type="dxa" w:w="70"/>
              <w:right w:type="dxa" w:w="110"/>
            </w:tcMar>
            <w:vAlign w:val="center"/>
          </w:tcPr>
          <w:p>
            <w:r>
              <w:rPr>
                <w:b w:val="false"/>
                <w:bCs w:val="false"/>
                <w:color w:val="000000"/>
                <w:sz w:val="19"/>
                <w:szCs w:val="19"/>
              </w:rPr>
              <w:t xml:space="preserve">Historique des imports ETL</w:t>
            </w:r>
          </w:p>
        </w:tc>
      </w:tr>
      <w:tr>
        <w:tc>
          <w:tcPr>
            <w:tcW w:type="dxa" w:w="2600"/>
            <w:shd w:fill="F2F2F2" w:val="clear"/>
            <w:tcMar>
              <w:top w:type="dxa" w:w="70"/>
              <w:left w:type="dxa" w:w="110"/>
              <w:bottom w:type="dxa" w:w="70"/>
              <w:right w:type="dxa" w:w="110"/>
            </w:tcMar>
            <w:vAlign w:val="center"/>
          </w:tcPr>
          <w:p>
            <w:r>
              <w:rPr>
                <w:b w:val="false"/>
                <w:bCs w:val="false"/>
                <w:color w:val="000000"/>
                <w:sz w:val="19"/>
                <w:szCs w:val="19"/>
              </w:rPr>
              <w:t xml:space="preserve">JOURNAL_ACTION</w:t>
            </w:r>
          </w:p>
        </w:tc>
        <w:tc>
          <w:tcPr>
            <w:tcW w:type="dxa" w:w="6900"/>
            <w:shd w:fill="F2F2F2" w:val="clear"/>
            <w:tcMar>
              <w:top w:type="dxa" w:w="70"/>
              <w:left w:type="dxa" w:w="110"/>
              <w:bottom w:type="dxa" w:w="70"/>
              <w:right w:type="dxa" w:w="110"/>
            </w:tcMar>
            <w:vAlign w:val="center"/>
          </w:tcPr>
          <w:p>
            <w:r>
              <w:rPr>
                <w:b w:val="false"/>
                <w:bCs w:val="false"/>
                <w:color w:val="000000"/>
                <w:sz w:val="19"/>
                <w:szCs w:val="19"/>
              </w:rPr>
              <w:t xml:space="preserve">Journal de traçabilité des actions utilisateurs</w:t>
            </w:r>
          </w:p>
        </w:tc>
      </w:tr>
    </w:tbl>
    <w:p>
      <w:pPr>
        <w:pStyle w:val="Heading2"/>
        <w:spacing w:after="140" w:before="240"/>
      </w:pPr>
      <w:r>
        <w:rPr>
          <w:b/>
          <w:bCs/>
          <w:color w:val="1F3864"/>
          <w:sz w:val="25"/>
          <w:szCs w:val="25"/>
        </w:rPr>
        <w:t xml:space="preserve">1.2 Association centrale : ESCALE</w:t>
      </w:r>
    </w:p>
    <w:p>
      <w:pPr>
        <w:spacing w:after="140" w:line="276"/>
        <w:jc w:val="both"/>
      </w:pPr>
      <w:r>
        <w:rPr>
          <w:sz w:val="21"/>
          <w:szCs w:val="21"/>
        </w:rPr>
        <w:t xml:space="preserve">Conformément à la logique du modèle décisionnel, l'ESCALE est modélisée comme une association porteuse de données (n-aire) reliant NAVIRE, QUAI, AGENT_MARITIME et CALENDRIER. Elle porte les attributs de mesure du processus (temps d'attente, temps de séjour, temps de pilotage, temps d'accostage), qui constitueront les faits analysés par le moteur de calcul des KPI. Cette approche assure la cohérence directe entre le MCD et le schéma en étoile du Data Warehouse présenté dans l'architecture technique.</w:t>
      </w:r>
    </w:p>
    <w:p>
      <w:pPr>
        <w:sectPr>
          <w:headerReference w:type="default" r:id="rId7"/>
          <w:footerReference w:type="default" r:id="rId8"/>
          <w:pgSz w:w="11906" w:h="16838" w:orient="portrait"/>
          <w:pgMar w:top="1100" w:right="1100" w:bottom="1100" w:left="1100" w:header="708" w:footer="708" w:gutter="0"/>
          <w:pgNumType/>
          <w:docGrid w:linePitch="360"/>
        </w:sectPr>
      </w:pPr>
    </w:p>
    <w:p>
      <w:pPr>
        <w:pStyle w:val="Heading1"/>
        <w:spacing w:after="200" w:before="300"/>
      </w:pPr>
      <w:r>
        <w:rPr>
          <w:b/>
          <w:bCs/>
          <w:color w:val="1F3864"/>
          <w:sz w:val="30"/>
          <w:szCs w:val="30"/>
        </w:rPr>
        <w:t xml:space="preserve">2. Modèle Conceptuel de Données (MCD)</w:t>
      </w:r>
    </w:p>
    <w:p>
      <w:pPr>
        <w:spacing w:after="140" w:line="276"/>
        <w:jc w:val="both"/>
      </w:pPr>
      <w:r>
        <w:rPr>
          <w:sz w:val="21"/>
          <w:szCs w:val="21"/>
        </w:rPr>
        <w:t xml:space="preserve">Le diagramme ci-dessous représente l'ensemble des entités et associations du système, avec leurs cardinalités minimales et maximales, selon la notation Merise standard.</w:t>
      </w:r>
    </w:p>
    <w:p>
      <w:pPr>
        <w:spacing w:before="120"/>
        <w:jc w:val="center"/>
      </w:pPr>
      <w:r>
        <w:drawing>
          <wp:inline distT="0" distB="0" distL="0" distR="0">
            <wp:extent cx="86106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610600" cy="6096000"/>
                    </a:xfrm>
                    <a:prstGeom prst="rect">
                      <a:avLst/>
                    </a:prstGeom>
                  </pic:spPr>
                </pic:pic>
              </a:graphicData>
            </a:graphic>
          </wp:inline>
        </w:drawing>
      </w:r>
    </w:p>
    <w:p>
      <w:pPr>
        <w:spacing w:after="300" w:before="120"/>
        <w:jc w:val="center"/>
      </w:pPr>
      <w:r>
        <w:rPr>
          <w:b/>
          <w:bCs/>
          <w:i/>
          <w:iCs/>
          <w:color w:val="B08D57"/>
          <w:sz w:val="19"/>
          <w:szCs w:val="19"/>
        </w:rPr>
        <w:t xml:space="preserve">Figure 1 — Modèle Conceptuel de Données (MCD)</w:t>
      </w:r>
    </w:p>
    <w:p>
      <w:pPr>
        <w:sectPr>
          <w:headerReference w:type="default" r:id="rId9"/>
          <w:footerReference w:type="default" r:id="rId10"/>
          <w:pgSz w:w="16838" w:h="11906" w:orient="landscape"/>
          <w:pgMar w:top="800" w:right="800" w:bottom="800" w:left="800" w:header="708" w:footer="708" w:gutter="0"/>
          <w:pgNumType/>
          <w:docGrid w:linePitch="360"/>
        </w:sectPr>
      </w:pPr>
    </w:p>
    <w:p>
      <w:pPr>
        <w:pStyle w:val="Heading1"/>
        <w:spacing w:after="200" w:before="300"/>
      </w:pPr>
      <w:r>
        <w:rPr>
          <w:b/>
          <w:bCs/>
          <w:color w:val="1F3864"/>
          <w:sz w:val="30"/>
          <w:szCs w:val="30"/>
        </w:rPr>
        <w:t xml:space="preserve">3. Règles de passage MCD → MLD/MPD</w:t>
      </w:r>
    </w:p>
    <w:p>
      <w:pPr>
        <w:spacing w:after="140" w:line="276"/>
        <w:jc w:val="both"/>
      </w:pPr>
      <w:r>
        <w:rPr>
          <w:sz w:val="21"/>
          <w:szCs w:val="21"/>
        </w:rPr>
        <w:t xml:space="preserve">Le passage du MCD au schéma relationnel applique les règles standards de la méthode Merise :</w:t>
      </w:r>
    </w:p>
    <w:p>
      <w:pPr>
        <w:pStyle w:val="ListParagraph"/>
        <w:numPr>
          <w:ilvl w:val="0"/>
          <w:numId w:val="2"/>
        </w:numPr>
        <w:spacing w:after="70"/>
      </w:pPr>
      <w:r>
        <w:rPr>
          <w:sz w:val="20"/>
          <w:szCs w:val="20"/>
        </w:rPr>
        <w:t xml:space="preserve">Chaque entité devient une table ; son identifiant devient la clé primaire.</w:t>
      </w:r>
    </w:p>
    <w:p>
      <w:pPr>
        <w:pStyle w:val="ListParagraph"/>
        <w:numPr>
          <w:ilvl w:val="0"/>
          <w:numId w:val="2"/>
        </w:numPr>
        <w:spacing w:after="70"/>
      </w:pPr>
      <w:r>
        <w:rPr>
          <w:sz w:val="20"/>
          <w:szCs w:val="20"/>
        </w:rPr>
        <w:t xml:space="preserve">Une association binaire (1,1)–(0,n) se traduit par l'ajout d'une clé étrangère dans la table du côté (1,1), référençant la table du côté (0,n).</w:t>
      </w:r>
    </w:p>
    <w:p>
      <w:pPr>
        <w:pStyle w:val="ListParagraph"/>
        <w:numPr>
          <w:ilvl w:val="0"/>
          <w:numId w:val="2"/>
        </w:numPr>
        <w:spacing w:after="70"/>
      </w:pPr>
      <w:r>
        <w:rPr>
          <w:sz w:val="20"/>
          <w:szCs w:val="20"/>
        </w:rPr>
        <w:t xml:space="preserve">Une association binaire ou n-aire (0,n)–(0,n) devient une table de jonction distincte, portant les clés étrangères de chaque entité reliée ainsi que ses éventuels attributs propres.</w:t>
      </w:r>
    </w:p>
    <w:p>
      <w:pPr>
        <w:pStyle w:val="ListParagraph"/>
        <w:numPr>
          <w:ilvl w:val="0"/>
          <w:numId w:val="2"/>
        </w:numPr>
        <w:spacing w:after="70"/>
      </w:pPr>
      <w:r>
        <w:rPr>
          <w:sz w:val="20"/>
          <w:szCs w:val="20"/>
        </w:rPr>
        <w:t xml:space="preserve">L'association porteuse ESCALE (n-aire, cardinalité 1,1 vis-à-vis de chacune des quatre entités NAVIRE, QUAI, AGENT_MARITIME et CALENDRIER) devient une table ESCALE intégrant les quatre clés étrangères correspondantes — elle constitue la table de faits du modèle décisionnel.</w:t>
      </w:r>
    </w:p>
    <w:p>
      <w:pPr>
        <w:spacing w:after="140" w:line="276"/>
        <w:jc w:val="both"/>
      </w:pPr>
      <w:r>
        <w:rPr>
          <w:sz w:val="21"/>
          <w:szCs w:val="21"/>
        </w:rPr>
        <w:t xml:space="preserve">Sur cette base, les associations CLASSER, EXPLOITER, REGROUPER, ENCADRER, DECLENCHER, CONCERNER, POSSEDER, GENERER, INITIER et TRACER (toutes de type (1,1)–(0,n)) se traduisent par de simples clés étrangères, tandis que MOBILISER, CALCULER, AGREGER et RECEVOIR (de type (0,n)–(0,n)) donnent naissance aux tables de jonction MOBILISER, VALEUR_KPI, RAPPORT_KPI et UTILISATEUR_ALERTE.</w:t>
      </w:r>
    </w:p>
    <w:p>
      <w:pPr>
        <w:pStyle w:val="Heading1"/>
        <w:spacing w:after="200" w:before="300"/>
      </w:pPr>
      <w:r>
        <w:rPr>
          <w:b/>
          <w:bCs/>
          <w:color w:val="1F3864"/>
          <w:sz w:val="30"/>
          <w:szCs w:val="30"/>
        </w:rPr>
        <w:t xml:space="preserve">4. Modèle Logique de Données (MLD)</w:t>
      </w:r>
    </w:p>
    <w:p>
      <w:pPr>
        <w:spacing w:after="140" w:line="276"/>
        <w:jc w:val="both"/>
      </w:pPr>
      <w:r>
        <w:rPr>
          <w:sz w:val="21"/>
          <w:szCs w:val="21"/>
        </w:rPr>
        <w:t xml:space="preserve">Le schéma relationnel est présenté ci-dessous selon le formalisme standard Table(clé_primaire, attributs, #clé_étrangère) :</w:t>
      </w:r>
    </w:p>
    <w:p>
      <w:pPr>
        <w:spacing w:after="90"/>
      </w:pPr>
      <w:r>
        <w:rPr>
          <w:rFonts w:ascii="Consolas" w:cs="Consolas" w:eastAsia="Consolas" w:hAnsi="Consolas"/>
          <w:b/>
          <w:bCs/>
          <w:color w:val="1F3864"/>
          <w:sz w:val="19"/>
          <w:szCs w:val="19"/>
        </w:rPr>
        <w:t xml:space="preserve">TYPE_NAVIRE</w:t>
      </w:r>
      <w:r>
        <w:rPr>
          <w:rFonts w:ascii="Consolas" w:cs="Consolas" w:eastAsia="Consolas" w:hAnsi="Consolas"/>
          <w:color w:val="333333"/>
          <w:sz w:val="19"/>
          <w:szCs w:val="19"/>
        </w:rPr>
        <w:t xml:space="preserve">(id_type, libelle, categorie)</w:t>
      </w:r>
    </w:p>
    <w:p>
      <w:pPr>
        <w:spacing w:after="90"/>
      </w:pPr>
      <w:r>
        <w:rPr>
          <w:rFonts w:ascii="Consolas" w:cs="Consolas" w:eastAsia="Consolas" w:hAnsi="Consolas"/>
          <w:b/>
          <w:bCs/>
          <w:color w:val="1F3864"/>
          <w:sz w:val="19"/>
          <w:szCs w:val="19"/>
        </w:rPr>
        <w:t xml:space="preserve">COMPAGNIE_MARITIME</w:t>
      </w:r>
      <w:r>
        <w:rPr>
          <w:rFonts w:ascii="Consolas" w:cs="Consolas" w:eastAsia="Consolas" w:hAnsi="Consolas"/>
          <w:color w:val="333333"/>
          <w:sz w:val="19"/>
          <w:szCs w:val="19"/>
        </w:rPr>
        <w:t xml:space="preserve">(id_compagnie, raison_sociale, pays)</w:t>
      </w:r>
    </w:p>
    <w:p>
      <w:pPr>
        <w:spacing w:after="90"/>
      </w:pPr>
      <w:r>
        <w:rPr>
          <w:rFonts w:ascii="Consolas" w:cs="Consolas" w:eastAsia="Consolas" w:hAnsi="Consolas"/>
          <w:b/>
          <w:bCs/>
          <w:color w:val="1F3864"/>
          <w:sz w:val="19"/>
          <w:szCs w:val="19"/>
        </w:rPr>
        <w:t xml:space="preserve">TERMINAL</w:t>
      </w:r>
      <w:r>
        <w:rPr>
          <w:rFonts w:ascii="Consolas" w:cs="Consolas" w:eastAsia="Consolas" w:hAnsi="Consolas"/>
          <w:color w:val="333333"/>
          <w:sz w:val="19"/>
          <w:szCs w:val="19"/>
        </w:rPr>
        <w:t xml:space="preserve">(id_terminal, nom, specialite)</w:t>
      </w:r>
    </w:p>
    <w:p>
      <w:pPr>
        <w:spacing w:after="90"/>
      </w:pPr>
      <w:r>
        <w:rPr>
          <w:rFonts w:ascii="Consolas" w:cs="Consolas" w:eastAsia="Consolas" w:hAnsi="Consolas"/>
          <w:b/>
          <w:bCs/>
          <w:color w:val="1F3864"/>
          <w:sz w:val="19"/>
          <w:szCs w:val="19"/>
        </w:rPr>
        <w:t xml:space="preserve">AGENT_MARITIME</w:t>
      </w:r>
      <w:r>
        <w:rPr>
          <w:rFonts w:ascii="Consolas" w:cs="Consolas" w:eastAsia="Consolas" w:hAnsi="Consolas"/>
          <w:color w:val="333333"/>
          <w:sz w:val="19"/>
          <w:szCs w:val="19"/>
        </w:rPr>
        <w:t xml:space="preserve">(id_agent, nom, contact)</w:t>
      </w:r>
    </w:p>
    <w:p>
      <w:pPr>
        <w:spacing w:after="90"/>
      </w:pPr>
      <w:r>
        <w:rPr>
          <w:rFonts w:ascii="Consolas" w:cs="Consolas" w:eastAsia="Consolas" w:hAnsi="Consolas"/>
          <w:b/>
          <w:bCs/>
          <w:color w:val="1F3864"/>
          <w:sz w:val="19"/>
          <w:szCs w:val="19"/>
        </w:rPr>
        <w:t xml:space="preserve">SERVICE_NAUTIQUE</w:t>
      </w:r>
      <w:r>
        <w:rPr>
          <w:rFonts w:ascii="Consolas" w:cs="Consolas" w:eastAsia="Consolas" w:hAnsi="Consolas"/>
          <w:color w:val="333333"/>
          <w:sz w:val="19"/>
          <w:szCs w:val="19"/>
        </w:rPr>
        <w:t xml:space="preserve">(id_service, type_service, duree_moyenne_ref)</w:t>
      </w:r>
    </w:p>
    <w:p>
      <w:pPr>
        <w:spacing w:after="90"/>
      </w:pPr>
      <w:r>
        <w:rPr>
          <w:rFonts w:ascii="Consolas" w:cs="Consolas" w:eastAsia="Consolas" w:hAnsi="Consolas"/>
          <w:b/>
          <w:bCs/>
          <w:color w:val="1F3864"/>
          <w:sz w:val="19"/>
          <w:szCs w:val="19"/>
        </w:rPr>
        <w:t xml:space="preserve">CALENDRIER</w:t>
      </w:r>
      <w:r>
        <w:rPr>
          <w:rFonts w:ascii="Consolas" w:cs="Consolas" w:eastAsia="Consolas" w:hAnsi="Consolas"/>
          <w:color w:val="333333"/>
          <w:sz w:val="19"/>
          <w:szCs w:val="19"/>
        </w:rPr>
        <w:t xml:space="preserve">(id_date, date_calendaire, mois, trimestre, annee, jour_semaine)</w:t>
      </w:r>
    </w:p>
    <w:p>
      <w:pPr>
        <w:spacing w:after="90"/>
      </w:pPr>
      <w:r>
        <w:rPr>
          <w:rFonts w:ascii="Consolas" w:cs="Consolas" w:eastAsia="Consolas" w:hAnsi="Consolas"/>
          <w:b/>
          <w:bCs/>
          <w:color w:val="1F3864"/>
          <w:sz w:val="19"/>
          <w:szCs w:val="19"/>
        </w:rPr>
        <w:t xml:space="preserve">ROLE</w:t>
      </w:r>
      <w:r>
        <w:rPr>
          <w:rFonts w:ascii="Consolas" w:cs="Consolas" w:eastAsia="Consolas" w:hAnsi="Consolas"/>
          <w:color w:val="333333"/>
          <w:sz w:val="19"/>
          <w:szCs w:val="19"/>
        </w:rPr>
        <w:t xml:space="preserve">(id_role, libelle, permissions)</w:t>
      </w:r>
    </w:p>
    <w:p>
      <w:pPr>
        <w:spacing w:after="90"/>
      </w:pPr>
      <w:r>
        <w:rPr>
          <w:rFonts w:ascii="Consolas" w:cs="Consolas" w:eastAsia="Consolas" w:hAnsi="Consolas"/>
          <w:b/>
          <w:bCs/>
          <w:color w:val="1F3864"/>
          <w:sz w:val="19"/>
          <w:szCs w:val="19"/>
        </w:rPr>
        <w:t xml:space="preserve">QUAI</w:t>
      </w:r>
      <w:r>
        <w:rPr>
          <w:rFonts w:ascii="Consolas" w:cs="Consolas" w:eastAsia="Consolas" w:hAnsi="Consolas"/>
          <w:color w:val="333333"/>
          <w:sz w:val="19"/>
          <w:szCs w:val="19"/>
        </w:rPr>
        <w:t xml:space="preserve">(id_quai, nom, longueur, tirant_eau_max, #id_terminal)</w:t>
      </w:r>
    </w:p>
    <w:p>
      <w:pPr>
        <w:spacing w:after="90"/>
      </w:pPr>
      <w:r>
        <w:rPr>
          <w:rFonts w:ascii="Consolas" w:cs="Consolas" w:eastAsia="Consolas" w:hAnsi="Consolas"/>
          <w:b/>
          <w:bCs/>
          <w:color w:val="1F3864"/>
          <w:sz w:val="19"/>
          <w:szCs w:val="19"/>
        </w:rPr>
        <w:t xml:space="preserve">NAVIRE</w:t>
      </w:r>
      <w:r>
        <w:rPr>
          <w:rFonts w:ascii="Consolas" w:cs="Consolas" w:eastAsia="Consolas" w:hAnsi="Consolas"/>
          <w:color w:val="333333"/>
          <w:sz w:val="19"/>
          <w:szCs w:val="19"/>
        </w:rPr>
        <w:t xml:space="preserve">(id_navire, nom, imo, pavillon, longueur, jauge_brute, #id_type, #id_compagnie)</w:t>
      </w:r>
    </w:p>
    <w:p>
      <w:pPr>
        <w:spacing w:after="90"/>
      </w:pPr>
      <w:r>
        <w:rPr>
          <w:rFonts w:ascii="Consolas" w:cs="Consolas" w:eastAsia="Consolas" w:hAnsi="Consolas"/>
          <w:b/>
          <w:bCs/>
          <w:color w:val="1F3864"/>
          <w:sz w:val="19"/>
          <w:szCs w:val="19"/>
        </w:rPr>
        <w:t xml:space="preserve">UTILISATEUR</w:t>
      </w:r>
      <w:r>
        <w:rPr>
          <w:rFonts w:ascii="Consolas" w:cs="Consolas" w:eastAsia="Consolas" w:hAnsi="Consolas"/>
          <w:color w:val="333333"/>
          <w:sz w:val="19"/>
          <w:szCs w:val="19"/>
        </w:rPr>
        <w:t xml:space="preserve">(id_utilisateur, nom, email, mot_de_passe, actif, #id_role)</w:t>
      </w:r>
    </w:p>
    <w:p>
      <w:pPr>
        <w:spacing w:after="90"/>
      </w:pPr>
      <w:r>
        <w:rPr>
          <w:rFonts w:ascii="Consolas" w:cs="Consolas" w:eastAsia="Consolas" w:hAnsi="Consolas"/>
          <w:b/>
          <w:bCs/>
          <w:color w:val="1F3864"/>
          <w:sz w:val="19"/>
          <w:szCs w:val="19"/>
        </w:rPr>
        <w:t xml:space="preserve">ESCALE</w:t>
      </w:r>
      <w:r>
        <w:rPr>
          <w:rFonts w:ascii="Consolas" w:cs="Consolas" w:eastAsia="Consolas" w:hAnsi="Consolas"/>
          <w:color w:val="333333"/>
          <w:sz w:val="19"/>
          <w:szCs w:val="19"/>
        </w:rPr>
        <w:t xml:space="preserve">(id_escale, date_arrivee, date_accostage, date_appareillage, date_depart, temps_attente, temps_sejour, temps_pilotage, temps_accostage, statut, #id_navire, #id_quai, #id_agent, #id_date)</w:t>
      </w:r>
    </w:p>
    <w:p>
      <w:pPr>
        <w:spacing w:after="90"/>
      </w:pPr>
      <w:r>
        <w:rPr>
          <w:rFonts w:ascii="Consolas" w:cs="Consolas" w:eastAsia="Consolas" w:hAnsi="Consolas"/>
          <w:b/>
          <w:bCs/>
          <w:color w:val="1F3864"/>
          <w:sz w:val="19"/>
          <w:szCs w:val="19"/>
        </w:rPr>
        <w:t xml:space="preserve">MOBILISER</w:t>
      </w:r>
      <w:r>
        <w:rPr>
          <w:rFonts w:ascii="Consolas" w:cs="Consolas" w:eastAsia="Consolas" w:hAnsi="Consolas"/>
          <w:color w:val="333333"/>
          <w:sz w:val="19"/>
          <w:szCs w:val="19"/>
        </w:rPr>
        <w:t xml:space="preserve">(#id_escale, #id_service, duree_reelle, ordre_intervention)</w:t>
      </w:r>
    </w:p>
    <w:p>
      <w:pPr>
        <w:spacing w:after="90"/>
      </w:pPr>
      <w:r>
        <w:rPr>
          <w:rFonts w:ascii="Consolas" w:cs="Consolas" w:eastAsia="Consolas" w:hAnsi="Consolas"/>
          <w:b/>
          <w:bCs/>
          <w:color w:val="1F3864"/>
          <w:sz w:val="19"/>
          <w:szCs w:val="19"/>
        </w:rPr>
        <w:t xml:space="preserve">KPI</w:t>
      </w:r>
      <w:r>
        <w:rPr>
          <w:rFonts w:ascii="Consolas" w:cs="Consolas" w:eastAsia="Consolas" w:hAnsi="Consolas"/>
          <w:color w:val="333333"/>
          <w:sz w:val="19"/>
          <w:szCs w:val="19"/>
        </w:rPr>
        <w:t xml:space="preserve">(id_kpi, code, libelle, categorie, unite, formule)</w:t>
      </w:r>
    </w:p>
    <w:p>
      <w:pPr>
        <w:spacing w:after="90"/>
      </w:pPr>
      <w:r>
        <w:rPr>
          <w:rFonts w:ascii="Consolas" w:cs="Consolas" w:eastAsia="Consolas" w:hAnsi="Consolas"/>
          <w:b/>
          <w:bCs/>
          <w:color w:val="1F3864"/>
          <w:sz w:val="19"/>
          <w:szCs w:val="19"/>
        </w:rPr>
        <w:t xml:space="preserve">VALEUR_KPI</w:t>
      </w:r>
      <w:r>
        <w:rPr>
          <w:rFonts w:ascii="Consolas" w:cs="Consolas" w:eastAsia="Consolas" w:hAnsi="Consolas"/>
          <w:color w:val="333333"/>
          <w:sz w:val="19"/>
          <w:szCs w:val="19"/>
        </w:rPr>
        <w:t xml:space="preserve">(id_valeur, #id_kpi, #id_date, valeur, date_calcul)</w:t>
      </w:r>
    </w:p>
    <w:p>
      <w:pPr>
        <w:spacing w:after="90"/>
      </w:pPr>
      <w:r>
        <w:rPr>
          <w:rFonts w:ascii="Consolas" w:cs="Consolas" w:eastAsia="Consolas" w:hAnsi="Consolas"/>
          <w:b/>
          <w:bCs/>
          <w:color w:val="1F3864"/>
          <w:sz w:val="19"/>
          <w:szCs w:val="19"/>
        </w:rPr>
        <w:t xml:space="preserve">SEUIL_ALERTE</w:t>
      </w:r>
      <w:r>
        <w:rPr>
          <w:rFonts w:ascii="Consolas" w:cs="Consolas" w:eastAsia="Consolas" w:hAnsi="Consolas"/>
          <w:color w:val="333333"/>
          <w:sz w:val="19"/>
          <w:szCs w:val="19"/>
        </w:rPr>
        <w:t xml:space="preserve">(id_seuil, #id_kpi, valeur_min, valeur_max, niveau_gravite)</w:t>
      </w:r>
    </w:p>
    <w:p>
      <w:pPr>
        <w:spacing w:after="90"/>
      </w:pPr>
      <w:r>
        <w:rPr>
          <w:rFonts w:ascii="Consolas" w:cs="Consolas" w:eastAsia="Consolas" w:hAnsi="Consolas"/>
          <w:b/>
          <w:bCs/>
          <w:color w:val="1F3864"/>
          <w:sz w:val="19"/>
          <w:szCs w:val="19"/>
        </w:rPr>
        <w:t xml:space="preserve">ALERTE</w:t>
      </w:r>
      <w:r>
        <w:rPr>
          <w:rFonts w:ascii="Consolas" w:cs="Consolas" w:eastAsia="Consolas" w:hAnsi="Consolas"/>
          <w:color w:val="333333"/>
          <w:sz w:val="19"/>
          <w:szCs w:val="19"/>
        </w:rPr>
        <w:t xml:space="preserve">(id_alerte, #id_seuil, #id_escale, type_alerte, message, date_declenchement, statut)</w:t>
      </w:r>
    </w:p>
    <w:p>
      <w:pPr>
        <w:spacing w:after="90"/>
      </w:pPr>
      <w:r>
        <w:rPr>
          <w:rFonts w:ascii="Consolas" w:cs="Consolas" w:eastAsia="Consolas" w:hAnsi="Consolas"/>
          <w:b/>
          <w:bCs/>
          <w:color w:val="1F3864"/>
          <w:sz w:val="19"/>
          <w:szCs w:val="19"/>
        </w:rPr>
        <w:t xml:space="preserve">UTILISATEUR_ALERTE</w:t>
      </w:r>
      <w:r>
        <w:rPr>
          <w:rFonts w:ascii="Consolas" w:cs="Consolas" w:eastAsia="Consolas" w:hAnsi="Consolas"/>
          <w:color w:val="333333"/>
          <w:sz w:val="19"/>
          <w:szCs w:val="19"/>
        </w:rPr>
        <w:t xml:space="preserve">(#id_utilisateur, #id_alerte, date_lecture, statut_lecture)</w:t>
      </w:r>
    </w:p>
    <w:p>
      <w:pPr>
        <w:spacing w:after="90"/>
      </w:pPr>
      <w:r>
        <w:rPr>
          <w:rFonts w:ascii="Consolas" w:cs="Consolas" w:eastAsia="Consolas" w:hAnsi="Consolas"/>
          <w:b/>
          <w:bCs/>
          <w:color w:val="1F3864"/>
          <w:sz w:val="19"/>
          <w:szCs w:val="19"/>
        </w:rPr>
        <w:t xml:space="preserve">RAPPORT</w:t>
      </w:r>
      <w:r>
        <w:rPr>
          <w:rFonts w:ascii="Consolas" w:cs="Consolas" w:eastAsia="Consolas" w:hAnsi="Consolas"/>
          <w:color w:val="333333"/>
          <w:sz w:val="19"/>
          <w:szCs w:val="19"/>
        </w:rPr>
        <w:t xml:space="preserve">(id_rapport, #id_utilisateur, type_rapport, periode, date_generation, format)</w:t>
      </w:r>
    </w:p>
    <w:p>
      <w:pPr>
        <w:spacing w:after="90"/>
      </w:pPr>
      <w:r>
        <w:rPr>
          <w:rFonts w:ascii="Consolas" w:cs="Consolas" w:eastAsia="Consolas" w:hAnsi="Consolas"/>
          <w:b/>
          <w:bCs/>
          <w:color w:val="1F3864"/>
          <w:sz w:val="19"/>
          <w:szCs w:val="19"/>
        </w:rPr>
        <w:t xml:space="preserve">RAPPORT_KPI</w:t>
      </w:r>
      <w:r>
        <w:rPr>
          <w:rFonts w:ascii="Consolas" w:cs="Consolas" w:eastAsia="Consolas" w:hAnsi="Consolas"/>
          <w:color w:val="333333"/>
          <w:sz w:val="19"/>
          <w:szCs w:val="19"/>
        </w:rPr>
        <w:t xml:space="preserve">(#id_rapport, #id_kpi)</w:t>
      </w:r>
    </w:p>
    <w:p>
      <w:pPr>
        <w:spacing w:after="90"/>
      </w:pPr>
      <w:r>
        <w:rPr>
          <w:rFonts w:ascii="Consolas" w:cs="Consolas" w:eastAsia="Consolas" w:hAnsi="Consolas"/>
          <w:b/>
          <w:bCs/>
          <w:color w:val="1F3864"/>
          <w:sz w:val="19"/>
          <w:szCs w:val="19"/>
        </w:rPr>
        <w:t xml:space="preserve">JOURNAL_IMPORT</w:t>
      </w:r>
      <w:r>
        <w:rPr>
          <w:rFonts w:ascii="Consolas" w:cs="Consolas" w:eastAsia="Consolas" w:hAnsi="Consolas"/>
          <w:color w:val="333333"/>
          <w:sz w:val="19"/>
          <w:szCs w:val="19"/>
        </w:rPr>
        <w:t xml:space="preserve">(id_import, #id_utilisateur, source, date_import, nb_lignes, statut, erreurs)</w:t>
      </w:r>
    </w:p>
    <w:p>
      <w:pPr>
        <w:spacing w:after="90"/>
      </w:pPr>
      <w:r>
        <w:rPr>
          <w:rFonts w:ascii="Consolas" w:cs="Consolas" w:eastAsia="Consolas" w:hAnsi="Consolas"/>
          <w:b/>
          <w:bCs/>
          <w:color w:val="1F3864"/>
          <w:sz w:val="19"/>
          <w:szCs w:val="19"/>
        </w:rPr>
        <w:t xml:space="preserve">JOURNAL_ACTION</w:t>
      </w:r>
      <w:r>
        <w:rPr>
          <w:rFonts w:ascii="Consolas" w:cs="Consolas" w:eastAsia="Consolas" w:hAnsi="Consolas"/>
          <w:color w:val="333333"/>
          <w:sz w:val="19"/>
          <w:szCs w:val="19"/>
        </w:rPr>
        <w:t xml:space="preserve">(id_log, #id_utilisateur, action, date_action)</w:t>
      </w:r>
    </w:p>
    <w:p>
      <w:pPr>
        <w:sectPr>
          <w:headerReference w:type="default" r:id="rId11"/>
          <w:footerReference w:type="default" r:id="rId12"/>
          <w:pgSz w:w="11906" w:h="16838" w:orient="portrait"/>
          <w:pgMar w:top="1100" w:right="1100" w:bottom="1100" w:left="1100" w:header="708" w:footer="708" w:gutter="0"/>
          <w:pgNumType/>
          <w:docGrid w:linePitch="360"/>
        </w:sectPr>
      </w:pPr>
    </w:p>
    <w:p>
      <w:pPr>
        <w:pStyle w:val="Heading1"/>
        <w:spacing w:after="200" w:before="300"/>
      </w:pPr>
      <w:r>
        <w:rPr>
          <w:b/>
          <w:bCs/>
          <w:color w:val="1F3864"/>
          <w:sz w:val="30"/>
          <w:szCs w:val="30"/>
        </w:rPr>
        <w:t xml:space="preserve">5. Modèle Physique de Données (MPD)</w:t>
      </w:r>
    </w:p>
    <w:p>
      <w:pPr>
        <w:spacing w:after="140" w:line="276"/>
        <w:jc w:val="both"/>
      </w:pPr>
      <w:r>
        <w:rPr>
          <w:sz w:val="21"/>
          <w:szCs w:val="21"/>
        </w:rPr>
        <w:t xml:space="preserve">Le schéma physique implémente le MLD dans PostgreSQL. Les clés primaires sont soulignées, les clés étrangères sont annotées « (FK) », et les traits en pointillés dorés indiquent les relations de clé étrangère entre tables.</w:t>
      </w:r>
    </w:p>
    <w:p>
      <w:pPr>
        <w:spacing w:before="120"/>
        <w:jc w:val="center"/>
      </w:pPr>
      <w:r>
        <w:drawing>
          <wp:inline distT="0" distB="0" distL="0" distR="0">
            <wp:extent cx="611505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6096000"/>
                    </a:xfrm>
                    <a:prstGeom prst="rect">
                      <a:avLst/>
                    </a:prstGeom>
                  </pic:spPr>
                </pic:pic>
              </a:graphicData>
            </a:graphic>
          </wp:inline>
        </w:drawing>
      </w:r>
    </w:p>
    <w:p>
      <w:pPr>
        <w:spacing w:after="300" w:before="120"/>
        <w:jc w:val="center"/>
      </w:pPr>
      <w:r>
        <w:rPr>
          <w:b/>
          <w:bCs/>
          <w:i/>
          <w:iCs/>
          <w:color w:val="B08D57"/>
          <w:sz w:val="19"/>
          <w:szCs w:val="19"/>
        </w:rPr>
        <w:t xml:space="preserve">Figure 2 — Modèle Physique de Données (MPD) — schéma relationnel PostgreSQL</w:t>
      </w:r>
    </w:p>
    <w:p>
      <w:pPr>
        <w:sectPr>
          <w:headerReference w:type="default" r:id="rId13"/>
          <w:footerReference w:type="default" r:id="rId14"/>
          <w:pgSz w:w="16838" w:h="11906" w:orient="landscape"/>
          <w:pgMar w:top="800" w:right="800" w:bottom="800" w:left="800" w:header="708" w:footer="708" w:gutter="0"/>
          <w:pgNumType/>
          <w:docGrid w:linePitch="360"/>
        </w:sectPr>
      </w:pPr>
    </w:p>
    <w:p>
      <w:pPr>
        <w:pStyle w:val="Heading1"/>
        <w:spacing w:after="200" w:before="300"/>
      </w:pPr>
      <w:r>
        <w:rPr>
          <w:b/>
          <w:bCs/>
          <w:color w:val="1F3864"/>
          <w:sz w:val="30"/>
          <w:szCs w:val="30"/>
        </w:rPr>
        <w:t xml:space="preserve">6. Script de création (extrait)</w:t>
      </w:r>
    </w:p>
    <w:p>
      <w:pPr>
        <w:spacing w:after="140" w:line="276"/>
        <w:jc w:val="both"/>
      </w:pPr>
      <w:r>
        <w:rPr>
          <w:sz w:val="21"/>
          <w:szCs w:val="21"/>
        </w:rPr>
        <w:t xml:space="preserve">Le script complet de création des 20 tables (CREATE TABLE), contraintes, clés étrangères et index est fourni en fichier séparé (schema_pad.sql), prêt à être exécuté sur une instance PostgreSQL 15+. Un extrait représentatif de la table de faits ESCALE et de sa table de jonction associée est présenté ci-dessous :</w:t>
      </w:r>
    </w:p>
    <w:p>
      <w:pPr>
        <w:pBdr>
          <w:top w:val="single" w:color="CCCCCC" w:sz="4"/>
          <w:bottom w:val="single" w:color="CCCCCC" w:sz="4"/>
          <w:left w:val="single" w:color="CCCCCC" w:sz="4"/>
          <w:right w:val="single" w:color="CCCCCC" w:sz="4"/>
        </w:pBdr>
        <w:shd w:fill="F5F5F5" w:val="clear"/>
        <w:spacing w:after="40" w:line="250"/>
      </w:pPr>
      <w:r>
        <w:rPr>
          <w:rFonts w:ascii="Consolas" w:cs="Consolas" w:eastAsia="Consolas" w:hAnsi="Consolas"/>
          <w:color w:val="1F3864"/>
          <w:sz w:val="18"/>
          <w:szCs w:val="18"/>
        </w:rPr>
        <w:t xml:space="preserve">CREATE TABLE escale (</w:t>
      </w:r>
      <w:r>
        <w:rPr>
          <w:rFonts w:ascii="Consolas" w:cs="Consolas" w:eastAsia="Consolas" w:hAnsi="Consolas"/>
          <w:color w:val="1F3864"/>
          <w:sz w:val="18"/>
          <w:szCs w:val="18"/>
        </w:rPr>
        <w:br/>
        <w:t xml:space="preserve">    id_escale           SERIAL PRIMARY KEY,</w:t>
      </w:r>
      <w:r>
        <w:rPr>
          <w:rFonts w:ascii="Consolas" w:cs="Consolas" w:eastAsia="Consolas" w:hAnsi="Consolas"/>
          <w:color w:val="1F3864"/>
          <w:sz w:val="18"/>
          <w:szCs w:val="18"/>
        </w:rPr>
        <w:br/>
        <w:t xml:space="preserve">    date_arrivee        TIMESTAMP NOT NULL,</w:t>
      </w:r>
      <w:r>
        <w:rPr>
          <w:rFonts w:ascii="Consolas" w:cs="Consolas" w:eastAsia="Consolas" w:hAnsi="Consolas"/>
          <w:color w:val="1F3864"/>
          <w:sz w:val="18"/>
          <w:szCs w:val="18"/>
        </w:rPr>
        <w:br/>
        <w:t xml:space="preserve">    date_accostage      TIMESTAMP,</w:t>
      </w:r>
      <w:r>
        <w:rPr>
          <w:rFonts w:ascii="Consolas" w:cs="Consolas" w:eastAsia="Consolas" w:hAnsi="Consolas"/>
          <w:color w:val="1F3864"/>
          <w:sz w:val="18"/>
          <w:szCs w:val="18"/>
        </w:rPr>
        <w:br/>
        <w:t xml:space="preserve">    date_appareillage   TIMESTAMP,</w:t>
      </w:r>
      <w:r>
        <w:rPr>
          <w:rFonts w:ascii="Consolas" w:cs="Consolas" w:eastAsia="Consolas" w:hAnsi="Consolas"/>
          <w:color w:val="1F3864"/>
          <w:sz w:val="18"/>
          <w:szCs w:val="18"/>
        </w:rPr>
        <w:br/>
        <w:t xml:space="preserve">    date_depart         TIMESTAMP,</w:t>
      </w:r>
      <w:r>
        <w:rPr>
          <w:rFonts w:ascii="Consolas" w:cs="Consolas" w:eastAsia="Consolas" w:hAnsi="Consolas"/>
          <w:color w:val="1F3864"/>
          <w:sz w:val="18"/>
          <w:szCs w:val="18"/>
        </w:rPr>
        <w:br/>
        <w:t xml:space="preserve">    temps_attente       NUMERIC(8,2),</w:t>
      </w:r>
      <w:r>
        <w:rPr>
          <w:rFonts w:ascii="Consolas" w:cs="Consolas" w:eastAsia="Consolas" w:hAnsi="Consolas"/>
          <w:color w:val="1F3864"/>
          <w:sz w:val="18"/>
          <w:szCs w:val="18"/>
        </w:rPr>
        <w:br/>
        <w:t xml:space="preserve">    temps_sejour        NUMERIC(8,2),</w:t>
      </w:r>
      <w:r>
        <w:rPr>
          <w:rFonts w:ascii="Consolas" w:cs="Consolas" w:eastAsia="Consolas" w:hAnsi="Consolas"/>
          <w:color w:val="1F3864"/>
          <w:sz w:val="18"/>
          <w:szCs w:val="18"/>
        </w:rPr>
        <w:br/>
        <w:t xml:space="preserve">    temps_pilotage      NUMERIC(8,2),</w:t>
      </w:r>
      <w:r>
        <w:rPr>
          <w:rFonts w:ascii="Consolas" w:cs="Consolas" w:eastAsia="Consolas" w:hAnsi="Consolas"/>
          <w:color w:val="1F3864"/>
          <w:sz w:val="18"/>
          <w:szCs w:val="18"/>
        </w:rPr>
        <w:br/>
        <w:t xml:space="preserve">    temps_accostage     NUMERIC(8,2),</w:t>
      </w:r>
      <w:r>
        <w:rPr>
          <w:rFonts w:ascii="Consolas" w:cs="Consolas" w:eastAsia="Consolas" w:hAnsi="Consolas"/>
          <w:color w:val="1F3864"/>
          <w:sz w:val="18"/>
          <w:szCs w:val="18"/>
        </w:rPr>
        <w:br/>
        <w:t xml:space="preserve">    statut              VARCHAR(30) NOT NULL DEFAULT 'planifiee',</w:t>
      </w:r>
      <w:r>
        <w:rPr>
          <w:rFonts w:ascii="Consolas" w:cs="Consolas" w:eastAsia="Consolas" w:hAnsi="Consolas"/>
          <w:color w:val="1F3864"/>
          <w:sz w:val="18"/>
          <w:szCs w:val="18"/>
        </w:rPr>
        <w:br/>
        <w:t xml:space="preserve">    id_navire           INTEGER NOT NULL REFERENCES navire(id_navire),</w:t>
      </w:r>
      <w:r>
        <w:rPr>
          <w:rFonts w:ascii="Consolas" w:cs="Consolas" w:eastAsia="Consolas" w:hAnsi="Consolas"/>
          <w:color w:val="1F3864"/>
          <w:sz w:val="18"/>
          <w:szCs w:val="18"/>
        </w:rPr>
        <w:br/>
        <w:t xml:space="preserve">    id_quai             INTEGER NOT NULL REFERENCES quai(id_quai),</w:t>
      </w:r>
      <w:r>
        <w:rPr>
          <w:rFonts w:ascii="Consolas" w:cs="Consolas" w:eastAsia="Consolas" w:hAnsi="Consolas"/>
          <w:color w:val="1F3864"/>
          <w:sz w:val="18"/>
          <w:szCs w:val="18"/>
        </w:rPr>
        <w:br/>
        <w:t xml:space="preserve">    id_agent            INTEGER NOT NULL REFERENCES agent_maritime(id_agent),</w:t>
      </w:r>
      <w:r>
        <w:rPr>
          <w:rFonts w:ascii="Consolas" w:cs="Consolas" w:eastAsia="Consolas" w:hAnsi="Consolas"/>
          <w:color w:val="1F3864"/>
          <w:sz w:val="18"/>
          <w:szCs w:val="18"/>
        </w:rPr>
        <w:br/>
        <w:t xml:space="preserve">    id_date             INTEGER NOT NULL REFERENCES calendrier(id_date)</w:t>
      </w:r>
      <w:r>
        <w:rPr>
          <w:rFonts w:ascii="Consolas" w:cs="Consolas" w:eastAsia="Consolas" w:hAnsi="Consolas"/>
          <w:color w:val="1F3864"/>
          <w:sz w:val="18"/>
          <w:szCs w:val="18"/>
        </w:rPr>
        <w:br/>
        <w:t xml:space="preserve">);</w:t>
      </w:r>
      <w:r>
        <w:rPr>
          <w:rFonts w:ascii="Consolas" w:cs="Consolas" w:eastAsia="Consolas" w:hAnsi="Consolas"/>
          <w:color w:val="1F3864"/>
          <w:sz w:val="18"/>
          <w:szCs w:val="18"/>
        </w:rPr>
        <w:br/>
        <w:t xml:space="preserve"> </w:t>
      </w:r>
      <w:r>
        <w:rPr>
          <w:rFonts w:ascii="Consolas" w:cs="Consolas" w:eastAsia="Consolas" w:hAnsi="Consolas"/>
          <w:color w:val="1F3864"/>
          <w:sz w:val="18"/>
          <w:szCs w:val="18"/>
        </w:rPr>
        <w:br/>
        <w:t xml:space="preserve">CREATE TABLE mobiliser (</w:t>
      </w:r>
      <w:r>
        <w:rPr>
          <w:rFonts w:ascii="Consolas" w:cs="Consolas" w:eastAsia="Consolas" w:hAnsi="Consolas"/>
          <w:color w:val="1F3864"/>
          <w:sz w:val="18"/>
          <w:szCs w:val="18"/>
        </w:rPr>
        <w:br/>
        <w:t xml:space="preserve">    id_escale           INTEGER NOT NULL REFERENCES escale(id_escale) ON DELETE CASCADE,</w:t>
      </w:r>
      <w:r>
        <w:rPr>
          <w:rFonts w:ascii="Consolas" w:cs="Consolas" w:eastAsia="Consolas" w:hAnsi="Consolas"/>
          <w:color w:val="1F3864"/>
          <w:sz w:val="18"/>
          <w:szCs w:val="18"/>
        </w:rPr>
        <w:br/>
        <w:t xml:space="preserve">    id_service          INTEGER NOT NULL REFERENCES service_nautique(id_service),</w:t>
      </w:r>
      <w:r>
        <w:rPr>
          <w:rFonts w:ascii="Consolas" w:cs="Consolas" w:eastAsia="Consolas" w:hAnsi="Consolas"/>
          <w:color w:val="1F3864"/>
          <w:sz w:val="18"/>
          <w:szCs w:val="18"/>
        </w:rPr>
        <w:br/>
        <w:t xml:space="preserve">    duree_reelle        NUMERIC(6,2),</w:t>
      </w:r>
      <w:r>
        <w:rPr>
          <w:rFonts w:ascii="Consolas" w:cs="Consolas" w:eastAsia="Consolas" w:hAnsi="Consolas"/>
          <w:color w:val="1F3864"/>
          <w:sz w:val="18"/>
          <w:szCs w:val="18"/>
        </w:rPr>
        <w:br/>
        <w:t xml:space="preserve">    ordre_intervention  SMALLINT,</w:t>
      </w:r>
      <w:r>
        <w:rPr>
          <w:rFonts w:ascii="Consolas" w:cs="Consolas" w:eastAsia="Consolas" w:hAnsi="Consolas"/>
          <w:color w:val="1F3864"/>
          <w:sz w:val="18"/>
          <w:szCs w:val="18"/>
        </w:rPr>
        <w:br/>
        <w:t xml:space="preserve">    PRIMARY KEY (id_escale, id_service)</w:t>
      </w:r>
      <w:r>
        <w:rPr>
          <w:rFonts w:ascii="Consolas" w:cs="Consolas" w:eastAsia="Consolas" w:hAnsi="Consolas"/>
          <w:color w:val="1F3864"/>
          <w:sz w:val="18"/>
          <w:szCs w:val="18"/>
        </w:rPr>
        <w:br/>
        <w:t xml:space="preserve">);</w:t>
      </w:r>
    </w:p>
    <w:p>
      <w:pPr>
        <w:pStyle w:val="Heading1"/>
        <w:spacing w:after="200" w:before="300"/>
      </w:pPr>
      <w:r>
        <w:rPr>
          <w:b/>
          <w:bCs/>
          <w:color w:val="1F3864"/>
          <w:sz w:val="30"/>
          <w:szCs w:val="30"/>
        </w:rPr>
        <w:t xml:space="preserve">7. Note de conception</w:t>
      </w:r>
    </w:p>
    <w:p>
      <w:pPr>
        <w:spacing w:after="140" w:line="276"/>
        <w:jc w:val="both"/>
      </w:pPr>
      <w:r>
        <w:rPr>
          <w:sz w:val="21"/>
          <w:szCs w:val="21"/>
        </w:rPr>
        <w:t xml:space="preserve">Pour simplifier l'exploitation analytique, la table VALEUR_KPI stocke des valeurs de KPI agrégées globalement par période (via id_date). L'analyse multidimensionnelle du Module 4 (par terminal, quai, compagnie, type de navire) s'appuie directement sur des requêtes jointes à la table de faits ESCALE plutôt que sur un cube pré-agrégé, ce qui simplifie le modèle tout en conservant la flexibilité nécessaire aux filtres dynamiques du tableau de bord. Cette approche pourra évoluer vers des tables d'agrégats matérialisés (vues matérialisées PostgreSQL) si les volumes de données ou les temps de réponse l'exigent.</w:t>
      </w:r>
    </w:p>
    <w:sectPr>
      <w:headerReference w:type="default" r:id="rId15"/>
      <w:footerReference w:type="default" r:id="rId16"/>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MCD / MLD / MPD — Plateforme décisionnelle PAD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MCD / MLD / MPD — Plateforme décisionnelle PAD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MCD / MLD / MPD — Plateforme décisionnelle PAD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MCD / MLD / MPD — Plateforme décisionnelle PAD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MCD / MLD / MPD — Plateforme décisionnelle 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54ca478ee55f95ea78bb31b15267b0a4099c48e7.png"/><Relationship Id="rId18" Type="http://schemas.openxmlformats.org/officeDocument/2006/relationships/image" Target="media/1441ebeba14d824101e63ea9af507c1b57b0fb6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2026-07-17T07:36:39.784Z</dcterms:created>
  <dcterms:modified xsi:type="dcterms:W3CDTF">2026-07-17T07:36:39.796Z</dcterms:modified>
</cp:coreProperties>
</file>

<file path=docProps/custom.xml><?xml version="1.0" encoding="utf-8"?>
<Properties xmlns="http://schemas.openxmlformats.org/officeDocument/2006/custom-properties" xmlns:vt="http://schemas.openxmlformats.org/officeDocument/2006/docPropsVTypes"/>
</file>