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24E80" w14:textId="0842574E" w:rsidR="00B77F4B" w:rsidRDefault="00C720F1">
      <w:r>
        <w:t>Remarques sur interface Suivi de prêt</w:t>
      </w:r>
    </w:p>
    <w:p w14:paraId="73332A67" w14:textId="77777777" w:rsidR="00C720F1" w:rsidRDefault="00C720F1"/>
    <w:p w14:paraId="387D9C69" w14:textId="02C9BA29" w:rsidR="00C720F1" w:rsidRDefault="00C720F1" w:rsidP="00C720F1">
      <w:pPr>
        <w:pStyle w:val="Paragraphedeliste"/>
        <w:numPr>
          <w:ilvl w:val="0"/>
          <w:numId w:val="1"/>
        </w:numPr>
      </w:pPr>
      <w:r>
        <w:t>On ne l’a pas rempli, mais les statuts ne vont pas</w:t>
      </w:r>
    </w:p>
    <w:p w14:paraId="23F77653" w14:textId="421C65F0" w:rsidR="00C720F1" w:rsidRDefault="00C720F1" w:rsidP="00C720F1">
      <w:pPr>
        <w:pStyle w:val="Paragraphedeliste"/>
        <w:numPr>
          <w:ilvl w:val="0"/>
          <w:numId w:val="1"/>
        </w:numPr>
      </w:pPr>
      <w:r>
        <w:t xml:space="preserve">Pour banque ou courtier, on doit pouvoir </w:t>
      </w:r>
      <w:proofErr w:type="spellStart"/>
      <w:r>
        <w:t>mettres</w:t>
      </w:r>
      <w:proofErr w:type="spellEnd"/>
      <w:r>
        <w:t xml:space="preserve"> les coordonnées comme je l’ai </w:t>
      </w:r>
      <w:proofErr w:type="spellStart"/>
      <w:r>
        <w:t>déaj</w:t>
      </w:r>
      <w:proofErr w:type="spellEnd"/>
      <w:r>
        <w:t xml:space="preserve"> dit, disponible à l’export, et aussi dans une </w:t>
      </w:r>
      <w:proofErr w:type="spellStart"/>
      <w:r>
        <w:t>fentre</w:t>
      </w:r>
      <w:proofErr w:type="spellEnd"/>
      <w:r>
        <w:t xml:space="preserve"> qui s’affiche si l’on clique dessus</w:t>
      </w:r>
    </w:p>
    <w:p w14:paraId="74169EF0" w14:textId="6E3DA389" w:rsidR="00C720F1" w:rsidRDefault="00C720F1" w:rsidP="00C720F1">
      <w:pPr>
        <w:pStyle w:val="Paragraphedeliste"/>
        <w:numPr>
          <w:ilvl w:val="0"/>
          <w:numId w:val="1"/>
        </w:numPr>
      </w:pPr>
      <w:r>
        <w:t>Il faut qu’il y ait un bouton « Sans prêt », qui enlève toutes les infos de la lignes à partir de la colonne « banque », et que la ligne soit fusionné en notant « acquisition avec fonds personnels »</w:t>
      </w:r>
    </w:p>
    <w:sectPr w:rsidR="00C720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305412"/>
    <w:multiLevelType w:val="hybridMultilevel"/>
    <w:tmpl w:val="B600C39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7900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0F1"/>
    <w:rsid w:val="00015310"/>
    <w:rsid w:val="00111B0A"/>
    <w:rsid w:val="00B77F4B"/>
    <w:rsid w:val="00C720F1"/>
    <w:rsid w:val="00E53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7A063"/>
  <w15:chartTrackingRefBased/>
  <w15:docId w15:val="{552C49E2-B194-4540-9604-81896307B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72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72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720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72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720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72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72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72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72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720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72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720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720F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720F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720F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720F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720F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720F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72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72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72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72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72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720F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720F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720F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72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720F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720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71</Words>
  <Characters>391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Pueyo Cazalis</dc:creator>
  <cp:keywords/>
  <dc:description/>
  <cp:lastModifiedBy>Nicolas Pueyo Cazalis</cp:lastModifiedBy>
  <cp:revision>1</cp:revision>
  <dcterms:created xsi:type="dcterms:W3CDTF">2026-07-13T13:12:00Z</dcterms:created>
  <dcterms:modified xsi:type="dcterms:W3CDTF">2026-07-13T13:15:00Z</dcterms:modified>
</cp:coreProperties>
</file>