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rial" w:hAnsi="Arial"/>
          <w:b/>
          <w:color w:val="1F6E73"/>
          <w:sz w:val="26"/>
        </w:rPr>
        <w:t>RELATÓRIO TÉCNICO-ACADÊMICO</w:t>
      </w:r>
    </w:p>
    <w:p>
      <w:pPr>
        <w:spacing w:before="360"/>
        <w:jc w:val="center"/>
      </w:pPr>
      <w:r>
        <w:rPr>
          <w:rFonts w:ascii="Arial" w:hAnsi="Arial"/>
          <w:b/>
          <w:color w:val="16324F"/>
          <w:sz w:val="50"/>
        </w:rPr>
        <w:t>ESTABILIDADE GLOBAL DE</w:t>
        <w:br/>
        <w:t>ESTRUTURAS PRÉ-MOLDADAS</w:t>
      </w:r>
    </w:p>
    <w:p>
      <w:pPr>
        <w:spacing w:before="240"/>
        <w:jc w:val="center"/>
      </w:pPr>
      <w:r>
        <w:rPr>
          <w:rFonts w:ascii="Arial" w:hAnsi="Arial"/>
          <w:color w:val="5C6670"/>
          <w:sz w:val="24"/>
        </w:rPr>
        <w:t>Comparação dos procedimentos de Hogeslag e γz em estruturas de um, dois e três pavimentos</w:t>
      </w:r>
    </w:p>
    <w:p>
      <w:pPr>
        <w:spacing w:before="700"/>
        <w:jc w:val="center"/>
      </w:pPr>
      <w:r>
        <w:rPr>
          <w:b/>
          <w:color w:val="1F6E73"/>
          <w:sz w:val="20"/>
        </w:rPr>
        <w:t>ANÁLISE COMPUTACIONAL E INTERPRETAÇÃO DOS RESULTADOS</w:t>
      </w:r>
    </w:p>
    <w:p>
      <w:pPr>
        <w:spacing w:before="1300"/>
        <w:jc w:val="center"/>
      </w:pPr>
      <w:r>
        <w:rPr>
          <w:rFonts w:ascii="Arial" w:hAnsi="Arial"/>
          <w:color w:val="202A33"/>
          <w:sz w:val="20"/>
        </w:rPr>
        <w:t>Aluno(a): __________________________________________</w:t>
        <w:br/>
      </w:r>
      <w:r>
        <w:rPr>
          <w:rFonts w:ascii="Arial" w:hAnsi="Arial"/>
          <w:color w:val="202A33"/>
          <w:sz w:val="20"/>
        </w:rPr>
        <w:t>Disciplina: _________________________________________</w:t>
        <w:br/>
      </w:r>
      <w:r>
        <w:rPr>
          <w:rFonts w:ascii="Arial" w:hAnsi="Arial"/>
          <w:color w:val="202A33"/>
          <w:sz w:val="20"/>
        </w:rPr>
        <w:t>Docente: ___________________________________________</w:t>
        <w:br/>
      </w:r>
      <w:r>
        <w:rPr>
          <w:rFonts w:ascii="Arial" w:hAnsi="Arial"/>
          <w:color w:val="202A33"/>
          <w:sz w:val="20"/>
        </w:rPr>
        <w:t>Instituição: _________________________________________</w:t>
        <w:br/>
      </w:r>
    </w:p>
    <w:p>
      <w:pPr>
        <w:spacing w:before="700"/>
        <w:jc w:val="center"/>
      </w:pPr>
      <w:r>
        <w:rPr>
          <w:b/>
          <w:color w:val="1F6E73"/>
          <w:sz w:val="22"/>
        </w:rPr>
        <w:t>2026</w:t>
      </w:r>
    </w:p>
    <w:p>
      <w:r>
        <w:br w:type="page"/>
      </w:r>
    </w:p>
    <w:p>
      <w:pPr>
        <w:pStyle w:val="Heading1"/>
      </w:pPr>
      <w:r>
        <w:t>RESUMO EXECUTIVO</w:t>
      </w:r>
    </w:p>
    <w:p>
      <w:r>
        <w:t>Este relatório apresenta a análise de estabilidade global de três estruturas planas de concreto pré-moldado, designadas E1, E2 e E3, com um, dois e três pavimentos, respectivamente. Foram comparadas duas condições de fundação: F1, com bases engastadas, e F2, com molas rotacionais individuais de 75 MN·m/rad por pilar. O modelo considera quatro alinhamentos de pilares, três vãos de 18 m por nível, pé-direito de 6 m, ligações viga-pilar articuladas e compatibilidade dos deslocamentos horizontais dos pilares em cada nível.</w:t>
      </w:r>
    </w:p>
    <w:p>
      <w:r>
        <w:t>A análise computacional abrangeu as combinações C1 a C4, as distribuições de vento V1 e V2, os dois sentidos das ações horizontais e diferentes distribuições parciais de sobrecarga nos vãos. A memória de cálculo registra 21.072 cenários processados sem erro de execução. Desses, 8.520 foram classificados pelo programa como regulares para a solução de segunda ordem linearizada, 306 como quase críticos e 12.246 como instáveis ou sem solução estável de segunda ordem.</w:t>
      </w:r>
    </w:p>
    <w:p>
      <w:r>
        <w:t>Os resultados indicam aumento expressivo da sensibilidade à estabilidade com o crescimento da altura. E1 e E2 não apresentaram cenários classificados como instáveis na varredura, enquanto E3 apresentou perda de positividade da matriz de rigidez em parcela importante dos casos, especialmente com a fundação F2. A flexibilidade rotacional da fundação elevou, em geral, os deslocamentos relativos e reduziu os indicadores modais normalizados, embora a resposta dos momentos dependa da estrutura e do caso de carregamento.</w:t>
      </w:r>
    </w:p>
    <w:tbl>
      <w:tblPr>
        <w:tblW w:type="auto" w:w="0"/>
        <w:jc w:val="center"/>
        <w:tblLayout w:type="fixed"/>
        <w:tblLook w:firstColumn="1" w:firstRow="1" w:lastColumn="0" w:lastRow="0" w:noHBand="0" w:noVBand="1" w:val="04A0"/>
      </w:tblPr>
      <w:tblGrid>
        <w:gridCol w:w="9354"/>
      </w:tblGrid>
      <w:tr>
        <w:tc>
          <w:tcPr>
            <w:tcW w:type="dxa" w:w="9859"/>
            <w:shd w:fill="EAF1F5"/>
          </w:tcPr>
          <w:p>
            <w:pPr>
              <w:spacing w:after="40"/>
            </w:pPr>
            <w:r/>
            <w:r>
              <w:rPr>
                <w:rFonts w:ascii="Arial" w:hAnsi="Arial"/>
                <w:b/>
                <w:color w:val="1F6E73"/>
                <w:sz w:val="20"/>
              </w:rPr>
              <w:t>Conclusão central</w:t>
              <w:br/>
            </w:r>
            <w:r>
              <w:rPr>
                <w:rFonts w:ascii="Arial" w:hAnsi="Arial"/>
                <w:sz w:val="18"/>
              </w:rPr>
              <w:t>O estudo evidencia a influência conjunta da altura, das condições de apoio e da distribuição das ações na estabilidade global. Os resultados de E3 devem ser interpretados com cautela: os esforços de segunda ordem muito elevados e a quantidade de cenários instáveis indicam que a resposta linearizada não é robusta para várias combinações. Esses valores não devem ser utilizados diretamente como esforços de dimensionamento.</w:t>
            </w:r>
          </w:p>
        </w:tc>
      </w:tr>
    </w:tbl>
    <w:p>
      <w:pPr>
        <w:spacing w:after="20"/>
      </w:pPr>
    </w:p>
    <w:p>
      <w:r>
        <w:t>O procedimento de γz foi aplicado como comparação didática, conforme a própria restrição do enunciado para estruturas com menos de quatro pavimentos. Os parâmetros de Hogeslag foram calculados com as equivalências explicitadas na memória, mas a adaptação para cargas em vários níveis e fundações com molas permanece condicionada à fundamentação teórica dessas equivalências. A análise por autovalores foi utilizada como referência complementar, sem substituir Hogeslag nem uma análise não linear completa.</w:t>
      </w:r>
    </w:p>
    <w:p>
      <w:pPr>
        <w:pStyle w:val="Heading1"/>
      </w:pPr>
      <w:r>
        <w:t>ORGANIZAÇÃO DO RELATÓRIO</w:t>
      </w:r>
    </w:p>
    <w:p>
      <w:pPr>
        <w:pStyle w:val="ListBullet"/>
        <w:spacing w:after="60"/>
      </w:pPr>
      <w:r>
        <w:t>Introdução e objetivos</w:t>
      </w:r>
    </w:p>
    <w:p>
      <w:pPr>
        <w:pStyle w:val="ListBullet"/>
        <w:spacing w:after="60"/>
      </w:pPr>
      <w:r>
        <w:t>Descrição do problema e dados de entrada</w:t>
      </w:r>
    </w:p>
    <w:p>
      <w:pPr>
        <w:pStyle w:val="ListBullet"/>
        <w:spacing w:after="60"/>
      </w:pPr>
      <w:r>
        <w:t>Modelo estrutural e procedimentos de análise</w:t>
      </w:r>
    </w:p>
    <w:p>
      <w:pPr>
        <w:pStyle w:val="ListBullet"/>
        <w:spacing w:after="60"/>
      </w:pPr>
      <w:r>
        <w:t>Estratégia computacional e abrangência das combinações</w:t>
      </w:r>
    </w:p>
    <w:p>
      <w:pPr>
        <w:pStyle w:val="ListBullet"/>
        <w:spacing w:after="60"/>
      </w:pPr>
      <w:r>
        <w:t>Resultados e interpretação</w:t>
      </w:r>
    </w:p>
    <w:p>
      <w:pPr>
        <w:pStyle w:val="ListBullet"/>
        <w:spacing w:after="60"/>
      </w:pPr>
      <w:r>
        <w:t>Discussão comparativa</w:t>
      </w:r>
    </w:p>
    <w:p>
      <w:pPr>
        <w:pStyle w:val="ListBullet"/>
        <w:spacing w:after="60"/>
      </w:pPr>
      <w:r>
        <w:t>Limitações e cuidados na utilização dos resultados</w:t>
      </w:r>
    </w:p>
    <w:p>
      <w:pPr>
        <w:pStyle w:val="ListBullet"/>
        <w:spacing w:after="60"/>
      </w:pPr>
      <w:r>
        <w:t>Conclusões e recomendações</w:t>
      </w:r>
    </w:p>
    <w:p>
      <w:pPr>
        <w:pStyle w:val="ListBullet"/>
        <w:spacing w:after="60"/>
      </w:pPr>
      <w:r>
        <w:t>Atendimento aos resultados solicitados</w:t>
      </w:r>
    </w:p>
    <w:p>
      <w:pPr>
        <w:pStyle w:val="ListBullet"/>
        <w:spacing w:after="60"/>
      </w:pPr>
      <w:r>
        <w:t>Referências</w:t>
      </w:r>
    </w:p>
    <w:p>
      <w:r>
        <w:br w:type="page"/>
      </w:r>
    </w:p>
    <w:p>
      <w:pPr>
        <w:pStyle w:val="Heading1"/>
      </w:pPr>
      <w:r>
        <w:t>1. INTRODUÇÃO E OBJETIVOS</w:t>
      </w:r>
    </w:p>
    <w:p>
      <w:r>
        <w:t>A estabilidade global constitui aspecto essencial da análise de estruturas de concreto pré-moldado, sobretudo quando a altura do sistema e a flexibilidade dos apoios influenciam os deslocamentos laterais. O exercício propõe comparar três estruturas com diferentes números de pavimentos e duas condições de fundação, avaliando a influência das cargas verticais, das ações horizontais, das imperfeições globais e do carregamento parcial das vigas.</w:t>
      </w:r>
    </w:p>
    <w:p>
      <w:r>
        <w:t>O problema foi idealizado como um conjunto de quatro pilares contínuos ligados por vigas articuladas. As vigas são consideradas axialmente indeformáveis para compatibilizar os deslocamentos horizontais dos pilares em cada nível, sem impedir suas rotações. A comparação é realizada para as configurações E1, E2 e E3, tanto com fundações engastadas (F1) quanto com fundações dotadas de molas rotacionais (F2).</w:t>
      </w:r>
    </w:p>
    <w:p>
      <w:pPr>
        <w:pStyle w:val="Heading2"/>
      </w:pPr>
      <w:r>
        <w:t>1.1 Objetivo geral</w:t>
      </w:r>
    </w:p>
    <w:p>
      <w:r>
        <w:t>Avaliar comparativamente a estabilidade global das estruturas E1, E2 e E3, considerando as condições F1 e F2, mediante o cálculo dos parâmetros de Hogeslag e γz e a análise dos deslocamentos, reações e esforços internos produzidos pelas combinações de ações propostas.</w:t>
      </w:r>
    </w:p>
    <w:p>
      <w:pPr>
        <w:pStyle w:val="Heading2"/>
      </w:pPr>
      <w:r>
        <w:t>1.2 Objetivos específicos</w:t>
      </w:r>
    </w:p>
    <w:p>
      <w:pPr>
        <w:pStyle w:val="ListBullet"/>
        <w:spacing w:after="60"/>
      </w:pPr>
      <w:r>
        <w:t>Determinar reações de apoio, forças normais e momentos de primeira ordem por pilar e pavimento.</w:t>
      </w:r>
    </w:p>
    <w:p>
      <w:pPr>
        <w:pStyle w:val="ListBullet"/>
        <w:spacing w:after="60"/>
      </w:pPr>
      <w:r>
        <w:t>Calcular os deslocamentos horizontais dos níveis e as derivas entre pavimentos.</w:t>
      </w:r>
    </w:p>
    <w:p>
      <w:pPr>
        <w:pStyle w:val="ListBullet"/>
        <w:spacing w:after="60"/>
      </w:pPr>
      <w:r>
        <w:t>Obter os parâmetros de Hogeslag e γz e identificar situações de não aplicabilidade ou de perda de estabilidade.</w:t>
      </w:r>
    </w:p>
    <w:p>
      <w:pPr>
        <w:pStyle w:val="ListBullet"/>
        <w:spacing w:after="60"/>
      </w:pPr>
      <w:r>
        <w:t>Construir diagramas e envoltórias de momentos fletores, considerando sentidos opostos do vento e carregamentos parciais.</w:t>
      </w:r>
    </w:p>
    <w:p>
      <w:pPr>
        <w:pStyle w:val="ListBullet"/>
        <w:spacing w:after="60"/>
      </w:pPr>
      <w:r>
        <w:t>Comparar a influência do número de pavimentos e da rigidez rotacional da fundação.</w:t>
      </w:r>
    </w:p>
    <w:p>
      <w:pPr>
        <w:pStyle w:val="ListBullet"/>
        <w:spacing w:after="60"/>
      </w:pPr>
      <w:r>
        <w:t>Identificar os casos governantes e discutir a necessidade de revisão das seções dos pilares.</w:t>
      </w:r>
    </w:p>
    <w:p>
      <w:pPr>
        <w:pStyle w:val="Heading1"/>
      </w:pPr>
      <w:r>
        <w:t>2. DESCRIÇÃO DO PROBLEMA E DADOS DE ENTRADA</w:t>
      </w:r>
    </w:p>
    <w:p>
      <w:pPr>
        <w:pStyle w:val="Heading2"/>
      </w:pPr>
      <w:r>
        <w:t>2.1 Configurações geométricas</w:t>
      </w:r>
    </w:p>
    <w:tbl>
      <w:tblPr>
        <w:tblStyle w:val="TableGrid"/>
        <w:tblW w:type="auto" w:w="0"/>
        <w:jc w:val="center"/>
        <w:tblLayout w:type="fixed"/>
        <w:tblLook w:firstColumn="1" w:firstRow="1" w:lastColumn="0" w:lastRow="0" w:noHBand="0" w:noVBand="1" w:val="04A0"/>
      </w:tblPr>
      <w:tblGrid>
        <w:gridCol w:w="2465"/>
        <w:gridCol w:w="2465"/>
        <w:gridCol w:w="2465"/>
        <w:gridCol w:w="2465"/>
      </w:tblGrid>
      <w:tr>
        <w:trPr>
          <w:tblHeader w:val="true"/>
        </w:trPr>
        <w:tc>
          <w:tcPr>
            <w:tcW w:type="dxa" w:w="1701"/>
            <w:vAlign w:val="center"/>
            <w:shd w:fill="16324F"/>
          </w:tcPr>
          <w:p>
            <w:pPr>
              <w:spacing w:after="20" w:before="20" w:line="240" w:lineRule="auto"/>
              <w:jc w:val="center"/>
            </w:pPr>
            <w:r/>
            <w:r>
              <w:rPr>
                <w:rFonts w:ascii="Arial" w:hAnsi="Arial"/>
                <w:b/>
                <w:color w:val="FFFFFF"/>
                <w:sz w:val="16"/>
              </w:rPr>
              <w:t>Estrutura</w:t>
            </w:r>
          </w:p>
        </w:tc>
        <w:tc>
          <w:tcPr>
            <w:tcW w:type="dxa" w:w="1701"/>
            <w:vAlign w:val="center"/>
            <w:shd w:fill="16324F"/>
          </w:tcPr>
          <w:p>
            <w:pPr>
              <w:spacing w:after="20" w:before="20" w:line="240" w:lineRule="auto"/>
              <w:jc w:val="center"/>
            </w:pPr>
            <w:r/>
            <w:r>
              <w:rPr>
                <w:rFonts w:ascii="Arial" w:hAnsi="Arial"/>
                <w:b/>
                <w:color w:val="FFFFFF"/>
                <w:sz w:val="16"/>
              </w:rPr>
              <w:t>Pavimentos</w:t>
            </w:r>
          </w:p>
        </w:tc>
        <w:tc>
          <w:tcPr>
            <w:tcW w:type="dxa" w:w="3402"/>
            <w:vAlign w:val="center"/>
            <w:shd w:fill="16324F"/>
          </w:tcPr>
          <w:p>
            <w:pPr>
              <w:spacing w:after="20" w:before="20" w:line="240" w:lineRule="auto"/>
              <w:jc w:val="center"/>
            </w:pPr>
            <w:r/>
            <w:r>
              <w:rPr>
                <w:rFonts w:ascii="Arial" w:hAnsi="Arial"/>
                <w:b/>
                <w:color w:val="FFFFFF"/>
                <w:sz w:val="16"/>
              </w:rPr>
              <w:t>Cotas dos níveis (m)</w:t>
            </w:r>
          </w:p>
        </w:tc>
        <w:tc>
          <w:tcPr>
            <w:tcW w:type="dxa" w:w="2268"/>
            <w:vAlign w:val="center"/>
            <w:shd w:fill="16324F"/>
          </w:tcPr>
          <w:p>
            <w:pPr>
              <w:spacing w:after="20" w:before="20" w:line="240" w:lineRule="auto"/>
              <w:jc w:val="center"/>
            </w:pPr>
            <w:r/>
            <w:r>
              <w:rPr>
                <w:rFonts w:ascii="Arial" w:hAnsi="Arial"/>
                <w:b/>
                <w:color w:val="FFFFFF"/>
                <w:sz w:val="16"/>
              </w:rPr>
              <w:t>Altura total (m)</w:t>
            </w:r>
          </w:p>
        </w:tc>
      </w:tr>
      <w:tr>
        <w:tc>
          <w:tcPr>
            <w:tcW w:type="dxa" w:w="1701"/>
            <w:vAlign w:val="center"/>
          </w:tcPr>
          <w:p>
            <w:pPr>
              <w:spacing w:after="20" w:before="20" w:line="240" w:lineRule="auto"/>
            </w:pPr>
            <w:r/>
            <w:r>
              <w:rPr>
                <w:rFonts w:ascii="Arial" w:hAnsi="Arial"/>
                <w:b w:val="0"/>
                <w:color w:val="202A33"/>
                <w:sz w:val="16"/>
              </w:rPr>
              <w:t>E1</w:t>
            </w:r>
          </w:p>
        </w:tc>
        <w:tc>
          <w:tcPr>
            <w:tcW w:type="dxa" w:w="1701"/>
            <w:vAlign w:val="center"/>
          </w:tcPr>
          <w:p>
            <w:pPr>
              <w:spacing w:after="20" w:before="20" w:line="240" w:lineRule="auto"/>
            </w:pPr>
            <w:r/>
            <w:r>
              <w:rPr>
                <w:rFonts w:ascii="Arial" w:hAnsi="Arial"/>
                <w:b w:val="0"/>
                <w:color w:val="202A33"/>
                <w:sz w:val="16"/>
              </w:rPr>
              <w:t>1</w:t>
            </w:r>
          </w:p>
        </w:tc>
        <w:tc>
          <w:tcPr>
            <w:tcW w:type="dxa" w:w="3402"/>
            <w:vAlign w:val="center"/>
          </w:tcPr>
          <w:p>
            <w:pPr>
              <w:spacing w:after="20" w:before="20" w:line="240" w:lineRule="auto"/>
            </w:pPr>
            <w:r/>
            <w:r>
              <w:rPr>
                <w:rFonts w:ascii="Arial" w:hAnsi="Arial"/>
                <w:b w:val="0"/>
                <w:color w:val="202A33"/>
                <w:sz w:val="16"/>
              </w:rPr>
              <w:t>6</w:t>
            </w:r>
          </w:p>
        </w:tc>
        <w:tc>
          <w:tcPr>
            <w:tcW w:type="dxa" w:w="2268"/>
            <w:vAlign w:val="center"/>
          </w:tcPr>
          <w:p>
            <w:pPr>
              <w:spacing w:after="20" w:before="20" w:line="240" w:lineRule="auto"/>
            </w:pPr>
            <w:r/>
            <w:r>
              <w:rPr>
                <w:rFonts w:ascii="Arial" w:hAnsi="Arial"/>
                <w:b w:val="0"/>
                <w:color w:val="202A33"/>
                <w:sz w:val="16"/>
              </w:rPr>
              <w:t>6</w:t>
            </w:r>
          </w:p>
        </w:tc>
      </w:tr>
      <w:tr>
        <w:tc>
          <w:tcPr>
            <w:tcW w:type="dxa" w:w="1701"/>
            <w:vAlign w:val="center"/>
            <w:shd w:fill="F4F7F9"/>
          </w:tcPr>
          <w:p>
            <w:pPr>
              <w:spacing w:after="20" w:before="20" w:line="240" w:lineRule="auto"/>
            </w:pPr>
            <w:r/>
            <w:r>
              <w:rPr>
                <w:rFonts w:ascii="Arial" w:hAnsi="Arial"/>
                <w:b w:val="0"/>
                <w:color w:val="202A33"/>
                <w:sz w:val="16"/>
              </w:rPr>
              <w:t>E2</w:t>
            </w:r>
          </w:p>
        </w:tc>
        <w:tc>
          <w:tcPr>
            <w:tcW w:type="dxa" w:w="1701"/>
            <w:vAlign w:val="center"/>
            <w:shd w:fill="F4F7F9"/>
          </w:tcPr>
          <w:p>
            <w:pPr>
              <w:spacing w:after="20" w:before="20" w:line="240" w:lineRule="auto"/>
            </w:pPr>
            <w:r/>
            <w:r>
              <w:rPr>
                <w:rFonts w:ascii="Arial" w:hAnsi="Arial"/>
                <w:b w:val="0"/>
                <w:color w:val="202A33"/>
                <w:sz w:val="16"/>
              </w:rPr>
              <w:t>2</w:t>
            </w:r>
          </w:p>
        </w:tc>
        <w:tc>
          <w:tcPr>
            <w:tcW w:type="dxa" w:w="3402"/>
            <w:vAlign w:val="center"/>
            <w:shd w:fill="F4F7F9"/>
          </w:tcPr>
          <w:p>
            <w:pPr>
              <w:spacing w:after="20" w:before="20" w:line="240" w:lineRule="auto"/>
            </w:pPr>
            <w:r/>
            <w:r>
              <w:rPr>
                <w:rFonts w:ascii="Arial" w:hAnsi="Arial"/>
                <w:b w:val="0"/>
                <w:color w:val="202A33"/>
                <w:sz w:val="16"/>
              </w:rPr>
              <w:t>6 e 12</w:t>
            </w:r>
          </w:p>
        </w:tc>
        <w:tc>
          <w:tcPr>
            <w:tcW w:type="dxa" w:w="2268"/>
            <w:vAlign w:val="center"/>
            <w:shd w:fill="F4F7F9"/>
          </w:tcPr>
          <w:p>
            <w:pPr>
              <w:spacing w:after="20" w:before="20" w:line="240" w:lineRule="auto"/>
            </w:pPr>
            <w:r/>
            <w:r>
              <w:rPr>
                <w:rFonts w:ascii="Arial" w:hAnsi="Arial"/>
                <w:b w:val="0"/>
                <w:color w:val="202A33"/>
                <w:sz w:val="16"/>
              </w:rPr>
              <w:t>12</w:t>
            </w:r>
          </w:p>
        </w:tc>
      </w:tr>
      <w:tr>
        <w:tc>
          <w:tcPr>
            <w:tcW w:type="dxa" w:w="1701"/>
            <w:vAlign w:val="center"/>
          </w:tcPr>
          <w:p>
            <w:pPr>
              <w:spacing w:after="20" w:before="20" w:line="240" w:lineRule="auto"/>
            </w:pPr>
            <w:r/>
            <w:r>
              <w:rPr>
                <w:rFonts w:ascii="Arial" w:hAnsi="Arial"/>
                <w:b w:val="0"/>
                <w:color w:val="202A33"/>
                <w:sz w:val="16"/>
              </w:rPr>
              <w:t>E3</w:t>
            </w:r>
          </w:p>
        </w:tc>
        <w:tc>
          <w:tcPr>
            <w:tcW w:type="dxa" w:w="1701"/>
            <w:vAlign w:val="center"/>
          </w:tcPr>
          <w:p>
            <w:pPr>
              <w:spacing w:after="20" w:before="20" w:line="240" w:lineRule="auto"/>
            </w:pPr>
            <w:r/>
            <w:r>
              <w:rPr>
                <w:rFonts w:ascii="Arial" w:hAnsi="Arial"/>
                <w:b w:val="0"/>
                <w:color w:val="202A33"/>
                <w:sz w:val="16"/>
              </w:rPr>
              <w:t>3</w:t>
            </w:r>
          </w:p>
        </w:tc>
        <w:tc>
          <w:tcPr>
            <w:tcW w:type="dxa" w:w="3402"/>
            <w:vAlign w:val="center"/>
          </w:tcPr>
          <w:p>
            <w:pPr>
              <w:spacing w:after="20" w:before="20" w:line="240" w:lineRule="auto"/>
            </w:pPr>
            <w:r/>
            <w:r>
              <w:rPr>
                <w:rFonts w:ascii="Arial" w:hAnsi="Arial"/>
                <w:b w:val="0"/>
                <w:color w:val="202A33"/>
                <w:sz w:val="16"/>
              </w:rPr>
              <w:t>6, 12 e 18</w:t>
            </w:r>
          </w:p>
        </w:tc>
        <w:tc>
          <w:tcPr>
            <w:tcW w:type="dxa" w:w="2268"/>
            <w:vAlign w:val="center"/>
          </w:tcPr>
          <w:p>
            <w:pPr>
              <w:spacing w:after="20" w:before="20" w:line="240" w:lineRule="auto"/>
            </w:pPr>
            <w:r/>
            <w:r>
              <w:rPr>
                <w:rFonts w:ascii="Arial" w:hAnsi="Arial"/>
                <w:b w:val="0"/>
                <w:color w:val="202A33"/>
                <w:sz w:val="16"/>
              </w:rPr>
              <w:t>18</w:t>
            </w:r>
          </w:p>
        </w:tc>
      </w:tr>
    </w:tbl>
    <w:p>
      <w:pPr>
        <w:spacing w:after="20"/>
      </w:pPr>
    </w:p>
    <w:p>
      <w:r>
        <w:t>As três estruturas possuem quatro alinhamentos de pilares e três vãos de 18 m em cada nível. O pé-direito adotado é de 6 m. A seção inicial dos pilares é quadrada, com dimensões de 40 × 40 cm, mantida constante ao longo da altura na análise de referência.</w:t>
      </w:r>
    </w:p>
    <w:p>
      <w:pPr>
        <w:pStyle w:val="Heading2"/>
      </w:pPr>
      <w:r>
        <w:t>2.2 Propriedades dos materiais e parâmetros</w:t>
      </w:r>
    </w:p>
    <w:tbl>
      <w:tblPr>
        <w:tblStyle w:val="TableGrid"/>
        <w:tblW w:type="auto" w:w="0"/>
        <w:jc w:val="center"/>
        <w:tblLayout w:type="fixed"/>
        <w:tblLook w:firstColumn="1" w:firstRow="1" w:lastColumn="0" w:lastRow="0" w:noHBand="0" w:noVBand="1" w:val="04A0"/>
      </w:tblPr>
      <w:tblGrid>
        <w:gridCol w:w="4929"/>
        <w:gridCol w:w="4929"/>
      </w:tblGrid>
      <w:tr>
        <w:trPr>
          <w:tblHeader w:val="true"/>
        </w:trPr>
        <w:tc>
          <w:tcPr>
            <w:tcW w:type="dxa" w:w="5102"/>
            <w:vAlign w:val="center"/>
            <w:shd w:fill="16324F"/>
          </w:tcPr>
          <w:p>
            <w:pPr>
              <w:spacing w:after="20" w:before="20" w:line="240" w:lineRule="auto"/>
              <w:jc w:val="center"/>
            </w:pPr>
            <w:r/>
            <w:r>
              <w:rPr>
                <w:rFonts w:ascii="Arial" w:hAnsi="Arial"/>
                <w:b/>
                <w:color w:val="FFFFFF"/>
                <w:sz w:val="16"/>
              </w:rPr>
              <w:t>Parâmetro</w:t>
            </w:r>
          </w:p>
        </w:tc>
        <w:tc>
          <w:tcPr>
            <w:tcW w:type="dxa" w:w="3969"/>
            <w:vAlign w:val="center"/>
            <w:shd w:fill="16324F"/>
          </w:tcPr>
          <w:p>
            <w:pPr>
              <w:spacing w:after="20" w:before="20" w:line="240" w:lineRule="auto"/>
              <w:jc w:val="center"/>
            </w:pPr>
            <w:r/>
            <w:r>
              <w:rPr>
                <w:rFonts w:ascii="Arial" w:hAnsi="Arial"/>
                <w:b/>
                <w:color w:val="FFFFFF"/>
                <w:sz w:val="16"/>
              </w:rPr>
              <w:t>Valor adotado</w:t>
            </w:r>
          </w:p>
        </w:tc>
      </w:tr>
      <w:tr>
        <w:tc>
          <w:tcPr>
            <w:tcW w:type="dxa" w:w="5102"/>
            <w:vAlign w:val="center"/>
          </w:tcPr>
          <w:p>
            <w:pPr>
              <w:spacing w:after="20" w:before="20" w:line="240" w:lineRule="auto"/>
            </w:pPr>
            <w:r/>
            <w:r>
              <w:rPr>
                <w:rFonts w:ascii="Arial" w:hAnsi="Arial"/>
                <w:b w:val="0"/>
                <w:color w:val="202A33"/>
                <w:sz w:val="16"/>
              </w:rPr>
              <w:t>Módulo de elasticidade do concreto, Ec</w:t>
            </w:r>
          </w:p>
        </w:tc>
        <w:tc>
          <w:tcPr>
            <w:tcW w:type="dxa" w:w="3969"/>
            <w:vAlign w:val="center"/>
          </w:tcPr>
          <w:p>
            <w:pPr>
              <w:spacing w:after="20" w:before="20" w:line="240" w:lineRule="auto"/>
            </w:pPr>
            <w:r/>
            <w:r>
              <w:rPr>
                <w:rFonts w:ascii="Arial" w:hAnsi="Arial"/>
                <w:b w:val="0"/>
                <w:color w:val="202A33"/>
                <w:sz w:val="16"/>
              </w:rPr>
              <w:t>30 GPa</w:t>
            </w:r>
          </w:p>
        </w:tc>
      </w:tr>
      <w:tr>
        <w:tc>
          <w:tcPr>
            <w:tcW w:type="dxa" w:w="5102"/>
            <w:vAlign w:val="center"/>
            <w:shd w:fill="F4F7F9"/>
          </w:tcPr>
          <w:p>
            <w:pPr>
              <w:spacing w:after="20" w:before="20" w:line="240" w:lineRule="auto"/>
            </w:pPr>
            <w:r/>
            <w:r>
              <w:rPr>
                <w:rFonts w:ascii="Arial" w:hAnsi="Arial"/>
                <w:b w:val="0"/>
                <w:color w:val="202A33"/>
                <w:sz w:val="16"/>
              </w:rPr>
              <w:t>Peso específico do concreto armado</w:t>
            </w:r>
          </w:p>
        </w:tc>
        <w:tc>
          <w:tcPr>
            <w:tcW w:type="dxa" w:w="3969"/>
            <w:vAlign w:val="center"/>
            <w:shd w:fill="F4F7F9"/>
          </w:tcPr>
          <w:p>
            <w:pPr>
              <w:spacing w:after="20" w:before="20" w:line="240" w:lineRule="auto"/>
            </w:pPr>
            <w:r/>
            <w:r>
              <w:rPr>
                <w:rFonts w:ascii="Arial" w:hAnsi="Arial"/>
                <w:b w:val="0"/>
                <w:color w:val="202A33"/>
                <w:sz w:val="16"/>
              </w:rPr>
              <w:t>25 kN/m³</w:t>
            </w:r>
          </w:p>
        </w:tc>
      </w:tr>
      <w:tr>
        <w:tc>
          <w:tcPr>
            <w:tcW w:type="dxa" w:w="5102"/>
            <w:vAlign w:val="center"/>
          </w:tcPr>
          <w:p>
            <w:pPr>
              <w:spacing w:after="20" w:before="20" w:line="240" w:lineRule="auto"/>
            </w:pPr>
            <w:r/>
            <w:r>
              <w:rPr>
                <w:rFonts w:ascii="Arial" w:hAnsi="Arial"/>
                <w:b w:val="0"/>
                <w:color w:val="202A33"/>
                <w:sz w:val="16"/>
              </w:rPr>
              <w:t>Seção inicial dos pilares</w:t>
            </w:r>
          </w:p>
        </w:tc>
        <w:tc>
          <w:tcPr>
            <w:tcW w:type="dxa" w:w="3969"/>
            <w:vAlign w:val="center"/>
          </w:tcPr>
          <w:p>
            <w:pPr>
              <w:spacing w:after="20" w:before="20" w:line="240" w:lineRule="auto"/>
            </w:pPr>
            <w:r/>
            <w:r>
              <w:rPr>
                <w:rFonts w:ascii="Arial" w:hAnsi="Arial"/>
                <w:b w:val="0"/>
                <w:color w:val="202A33"/>
                <w:sz w:val="16"/>
              </w:rPr>
              <w:t>0,40 × 0,40 m</w:t>
            </w:r>
          </w:p>
        </w:tc>
      </w:tr>
      <w:tr>
        <w:tc>
          <w:tcPr>
            <w:tcW w:type="dxa" w:w="5102"/>
            <w:vAlign w:val="center"/>
            <w:shd w:fill="F4F7F9"/>
          </w:tcPr>
          <w:p>
            <w:pPr>
              <w:spacing w:after="20" w:before="20" w:line="240" w:lineRule="auto"/>
            </w:pPr>
            <w:r/>
            <w:r>
              <w:rPr>
                <w:rFonts w:ascii="Arial" w:hAnsi="Arial"/>
                <w:b w:val="0"/>
                <w:color w:val="202A33"/>
                <w:sz w:val="16"/>
              </w:rPr>
              <w:t>Área da seção</w:t>
            </w:r>
          </w:p>
        </w:tc>
        <w:tc>
          <w:tcPr>
            <w:tcW w:type="dxa" w:w="3969"/>
            <w:vAlign w:val="center"/>
            <w:shd w:fill="F4F7F9"/>
          </w:tcPr>
          <w:p>
            <w:pPr>
              <w:spacing w:after="20" w:before="20" w:line="240" w:lineRule="auto"/>
            </w:pPr>
            <w:r/>
            <w:r>
              <w:rPr>
                <w:rFonts w:ascii="Arial" w:hAnsi="Arial"/>
                <w:b w:val="0"/>
                <w:color w:val="202A33"/>
                <w:sz w:val="16"/>
              </w:rPr>
              <w:t>0,160 m²</w:t>
            </w:r>
          </w:p>
        </w:tc>
      </w:tr>
      <w:tr>
        <w:tc>
          <w:tcPr>
            <w:tcW w:type="dxa" w:w="5102"/>
            <w:vAlign w:val="center"/>
          </w:tcPr>
          <w:p>
            <w:pPr>
              <w:spacing w:after="20" w:before="20" w:line="240" w:lineRule="auto"/>
            </w:pPr>
            <w:r/>
            <w:r>
              <w:rPr>
                <w:rFonts w:ascii="Arial" w:hAnsi="Arial"/>
                <w:b w:val="0"/>
                <w:color w:val="202A33"/>
                <w:sz w:val="16"/>
              </w:rPr>
              <w:t>Inércia da seção quadrada</w:t>
            </w:r>
          </w:p>
        </w:tc>
        <w:tc>
          <w:tcPr>
            <w:tcW w:type="dxa" w:w="3969"/>
            <w:vAlign w:val="center"/>
          </w:tcPr>
          <w:p>
            <w:pPr>
              <w:spacing w:after="20" w:before="20" w:line="240" w:lineRule="auto"/>
            </w:pPr>
            <w:r/>
            <w:r>
              <w:rPr>
                <w:rFonts w:ascii="Arial" w:hAnsi="Arial"/>
                <w:b w:val="0"/>
                <w:color w:val="202A33"/>
                <w:sz w:val="16"/>
              </w:rPr>
              <w:t>0,002133 m⁴</w:t>
            </w:r>
          </w:p>
        </w:tc>
      </w:tr>
      <w:tr>
        <w:tc>
          <w:tcPr>
            <w:tcW w:type="dxa" w:w="5102"/>
            <w:vAlign w:val="center"/>
            <w:shd w:fill="F4F7F9"/>
          </w:tcPr>
          <w:p>
            <w:pPr>
              <w:spacing w:after="20" w:before="20" w:line="240" w:lineRule="auto"/>
            </w:pPr>
            <w:r/>
            <w:r>
              <w:rPr>
                <w:rFonts w:ascii="Arial" w:hAnsi="Arial"/>
                <w:b w:val="0"/>
                <w:color w:val="202A33"/>
                <w:sz w:val="16"/>
              </w:rPr>
              <w:t>Excentricidade das reações das vigas</w:t>
            </w:r>
          </w:p>
        </w:tc>
        <w:tc>
          <w:tcPr>
            <w:tcW w:type="dxa" w:w="3969"/>
            <w:vAlign w:val="center"/>
            <w:shd w:fill="F4F7F9"/>
          </w:tcPr>
          <w:p>
            <w:pPr>
              <w:spacing w:after="20" w:before="20" w:line="240" w:lineRule="auto"/>
            </w:pPr>
            <w:r/>
            <w:r>
              <w:rPr>
                <w:rFonts w:ascii="Arial" w:hAnsi="Arial"/>
                <w:b w:val="0"/>
                <w:color w:val="202A33"/>
                <w:sz w:val="16"/>
              </w:rPr>
              <w:t>0,40 m</w:t>
            </w:r>
          </w:p>
        </w:tc>
      </w:tr>
      <w:tr>
        <w:tc>
          <w:tcPr>
            <w:tcW w:type="dxa" w:w="5102"/>
            <w:vAlign w:val="center"/>
          </w:tcPr>
          <w:p>
            <w:pPr>
              <w:spacing w:after="20" w:before="20" w:line="240" w:lineRule="auto"/>
            </w:pPr>
            <w:r/>
            <w:r>
              <w:rPr>
                <w:rFonts w:ascii="Arial" w:hAnsi="Arial"/>
                <w:b w:val="0"/>
                <w:color w:val="202A33"/>
                <w:sz w:val="16"/>
              </w:rPr>
              <w:t>Peso próprio linear por pilar</w:t>
            </w:r>
          </w:p>
        </w:tc>
        <w:tc>
          <w:tcPr>
            <w:tcW w:type="dxa" w:w="3969"/>
            <w:vAlign w:val="center"/>
          </w:tcPr>
          <w:p>
            <w:pPr>
              <w:spacing w:after="20" w:before="20" w:line="240" w:lineRule="auto"/>
            </w:pPr>
            <w:r/>
            <w:r>
              <w:rPr>
                <w:rFonts w:ascii="Arial" w:hAnsi="Arial"/>
                <w:b w:val="0"/>
                <w:color w:val="202A33"/>
                <w:sz w:val="16"/>
              </w:rPr>
              <w:t>4,0 kN/m</w:t>
            </w:r>
          </w:p>
        </w:tc>
      </w:tr>
      <w:tr>
        <w:tc>
          <w:tcPr>
            <w:tcW w:type="dxa" w:w="5102"/>
            <w:vAlign w:val="center"/>
            <w:shd w:fill="F4F7F9"/>
          </w:tcPr>
          <w:p>
            <w:pPr>
              <w:spacing w:after="20" w:before="20" w:line="240" w:lineRule="auto"/>
            </w:pPr>
            <w:r/>
            <w:r>
              <w:rPr>
                <w:rFonts w:ascii="Arial" w:hAnsi="Arial"/>
                <w:b w:val="0"/>
                <w:color w:val="202A33"/>
                <w:sz w:val="16"/>
              </w:rPr>
              <w:t>Rigidez rotacional da mola F2</w:t>
            </w:r>
          </w:p>
        </w:tc>
        <w:tc>
          <w:tcPr>
            <w:tcW w:type="dxa" w:w="3969"/>
            <w:vAlign w:val="center"/>
            <w:shd w:fill="F4F7F9"/>
          </w:tcPr>
          <w:p>
            <w:pPr>
              <w:spacing w:after="20" w:before="20" w:line="240" w:lineRule="auto"/>
            </w:pPr>
            <w:r/>
            <w:r>
              <w:rPr>
                <w:rFonts w:ascii="Arial" w:hAnsi="Arial"/>
                <w:b w:val="0"/>
                <w:color w:val="202A33"/>
                <w:sz w:val="16"/>
              </w:rPr>
              <w:t>75 MN·m/rad por pilar</w:t>
            </w:r>
          </w:p>
        </w:tc>
      </w:tr>
    </w:tbl>
    <w:p>
      <w:pPr>
        <w:spacing w:after="20"/>
      </w:pPr>
    </w:p>
    <w:p>
      <w:pPr>
        <w:pStyle w:val="Heading2"/>
      </w:pPr>
      <w:r>
        <w:t>2.3 Ações características</w:t>
      </w:r>
    </w:p>
    <w:tbl>
      <w:tblPr>
        <w:tblStyle w:val="TableGrid"/>
        <w:tblW w:type="auto" w:w="0"/>
        <w:jc w:val="center"/>
        <w:tblLayout w:type="fixed"/>
        <w:tblLook w:firstColumn="1" w:firstRow="1" w:lastColumn="0" w:lastRow="0" w:noHBand="0" w:noVBand="1" w:val="04A0"/>
      </w:tblPr>
      <w:tblGrid>
        <w:gridCol w:w="3286"/>
        <w:gridCol w:w="3286"/>
        <w:gridCol w:w="3286"/>
      </w:tblGrid>
      <w:tr>
        <w:trPr>
          <w:tblHeader w:val="true"/>
        </w:trPr>
        <w:tc>
          <w:tcPr>
            <w:tcW w:type="dxa" w:w="2438"/>
            <w:vAlign w:val="center"/>
            <w:shd w:fill="16324F"/>
          </w:tcPr>
          <w:p>
            <w:pPr>
              <w:spacing w:after="20" w:before="20" w:line="240" w:lineRule="auto"/>
              <w:jc w:val="center"/>
            </w:pPr>
            <w:r/>
            <w:r>
              <w:rPr>
                <w:rFonts w:ascii="Arial" w:hAnsi="Arial"/>
                <w:b/>
                <w:color w:val="FFFFFF"/>
                <w:sz w:val="16"/>
              </w:rPr>
              <w:t>Ação</w:t>
            </w:r>
          </w:p>
        </w:tc>
        <w:tc>
          <w:tcPr>
            <w:tcW w:type="dxa" w:w="1984"/>
            <w:vAlign w:val="center"/>
            <w:shd w:fill="16324F"/>
          </w:tcPr>
          <w:p>
            <w:pPr>
              <w:spacing w:after="20" w:before="20" w:line="240" w:lineRule="auto"/>
              <w:jc w:val="center"/>
            </w:pPr>
            <w:r/>
            <w:r>
              <w:rPr>
                <w:rFonts w:ascii="Arial" w:hAnsi="Arial"/>
                <w:b/>
                <w:color w:val="FFFFFF"/>
                <w:sz w:val="16"/>
              </w:rPr>
              <w:t>Valor</w:t>
            </w:r>
          </w:p>
        </w:tc>
        <w:tc>
          <w:tcPr>
            <w:tcW w:type="dxa" w:w="4649"/>
            <w:vAlign w:val="center"/>
            <w:shd w:fill="16324F"/>
          </w:tcPr>
          <w:p>
            <w:pPr>
              <w:spacing w:after="20" w:before="20" w:line="240" w:lineRule="auto"/>
              <w:jc w:val="center"/>
            </w:pPr>
            <w:r/>
            <w:r>
              <w:rPr>
                <w:rFonts w:ascii="Arial" w:hAnsi="Arial"/>
                <w:b/>
                <w:color w:val="FFFFFF"/>
                <w:sz w:val="16"/>
              </w:rPr>
              <w:t>Tratamento no exercício</w:t>
            </w:r>
          </w:p>
        </w:tc>
      </w:tr>
      <w:tr>
        <w:tc>
          <w:tcPr>
            <w:tcW w:type="dxa" w:w="2438"/>
            <w:vAlign w:val="center"/>
          </w:tcPr>
          <w:p>
            <w:pPr>
              <w:spacing w:after="20" w:before="20" w:line="240" w:lineRule="auto"/>
            </w:pPr>
            <w:r/>
            <w:r>
              <w:rPr>
                <w:rFonts w:ascii="Arial" w:hAnsi="Arial"/>
                <w:b w:val="0"/>
                <w:color w:val="202A33"/>
                <w:sz w:val="16"/>
              </w:rPr>
              <w:t>Permanente nas vigas (gk)</w:t>
            </w:r>
          </w:p>
        </w:tc>
        <w:tc>
          <w:tcPr>
            <w:tcW w:type="dxa" w:w="1984"/>
            <w:vAlign w:val="center"/>
          </w:tcPr>
          <w:p>
            <w:pPr>
              <w:spacing w:after="20" w:before="20" w:line="240" w:lineRule="auto"/>
            </w:pPr>
            <w:r/>
            <w:r>
              <w:rPr>
                <w:rFonts w:ascii="Arial" w:hAnsi="Arial"/>
                <w:b w:val="0"/>
                <w:color w:val="202A33"/>
                <w:sz w:val="16"/>
              </w:rPr>
              <w:t>13 kN/m</w:t>
            </w:r>
          </w:p>
        </w:tc>
        <w:tc>
          <w:tcPr>
            <w:tcW w:type="dxa" w:w="4649"/>
            <w:vAlign w:val="center"/>
          </w:tcPr>
          <w:p>
            <w:pPr>
              <w:spacing w:after="20" w:before="20" w:line="240" w:lineRule="auto"/>
            </w:pPr>
            <w:r/>
            <w:r>
              <w:rPr>
                <w:rFonts w:ascii="Arial" w:hAnsi="Arial"/>
                <w:b w:val="0"/>
                <w:color w:val="202A33"/>
                <w:sz w:val="16"/>
              </w:rPr>
              <w:t>Aplicada em todos os vãos e níveis.</w:t>
            </w:r>
          </w:p>
        </w:tc>
      </w:tr>
      <w:tr>
        <w:tc>
          <w:tcPr>
            <w:tcW w:type="dxa" w:w="2438"/>
            <w:vAlign w:val="center"/>
            <w:shd w:fill="F4F7F9"/>
          </w:tcPr>
          <w:p>
            <w:pPr>
              <w:spacing w:after="20" w:before="20" w:line="240" w:lineRule="auto"/>
            </w:pPr>
            <w:r/>
            <w:r>
              <w:rPr>
                <w:rFonts w:ascii="Arial" w:hAnsi="Arial"/>
                <w:b w:val="0"/>
                <w:color w:val="202A33"/>
                <w:sz w:val="16"/>
              </w:rPr>
              <w:t>Sobrecarga nas vigas (qk)</w:t>
            </w:r>
          </w:p>
        </w:tc>
        <w:tc>
          <w:tcPr>
            <w:tcW w:type="dxa" w:w="1984"/>
            <w:vAlign w:val="center"/>
            <w:shd w:fill="F4F7F9"/>
          </w:tcPr>
          <w:p>
            <w:pPr>
              <w:spacing w:after="20" w:before="20" w:line="240" w:lineRule="auto"/>
            </w:pPr>
            <w:r/>
            <w:r>
              <w:rPr>
                <w:rFonts w:ascii="Arial" w:hAnsi="Arial"/>
                <w:b w:val="0"/>
                <w:color w:val="202A33"/>
                <w:sz w:val="16"/>
              </w:rPr>
              <w:t>7 kN/m</w:t>
            </w:r>
          </w:p>
        </w:tc>
        <w:tc>
          <w:tcPr>
            <w:tcW w:type="dxa" w:w="4649"/>
            <w:vAlign w:val="center"/>
            <w:shd w:fill="F4F7F9"/>
          </w:tcPr>
          <w:p>
            <w:pPr>
              <w:spacing w:after="20" w:before="20" w:line="240" w:lineRule="auto"/>
            </w:pPr>
            <w:r/>
            <w:r>
              <w:rPr>
                <w:rFonts w:ascii="Arial" w:hAnsi="Arial"/>
                <w:b w:val="0"/>
                <w:color w:val="202A33"/>
                <w:sz w:val="16"/>
              </w:rPr>
              <w:t>Distribuída conforme os padrões de carregamento.</w:t>
            </w:r>
          </w:p>
        </w:tc>
      </w:tr>
      <w:tr>
        <w:tc>
          <w:tcPr>
            <w:tcW w:type="dxa" w:w="2438"/>
            <w:vAlign w:val="center"/>
          </w:tcPr>
          <w:p>
            <w:pPr>
              <w:spacing w:after="20" w:before="20" w:line="240" w:lineRule="auto"/>
            </w:pPr>
            <w:r/>
            <w:r>
              <w:rPr>
                <w:rFonts w:ascii="Arial" w:hAnsi="Arial"/>
                <w:b w:val="0"/>
                <w:color w:val="202A33"/>
                <w:sz w:val="16"/>
              </w:rPr>
              <w:t>Peso próprio dos pilares</w:t>
            </w:r>
          </w:p>
        </w:tc>
        <w:tc>
          <w:tcPr>
            <w:tcW w:type="dxa" w:w="1984"/>
            <w:vAlign w:val="center"/>
          </w:tcPr>
          <w:p>
            <w:pPr>
              <w:spacing w:after="20" w:before="20" w:line="240" w:lineRule="auto"/>
            </w:pPr>
            <w:r/>
            <w:r>
              <w:rPr>
                <w:rFonts w:ascii="Arial" w:hAnsi="Arial"/>
                <w:b w:val="0"/>
                <w:color w:val="202A33"/>
                <w:sz w:val="16"/>
              </w:rPr>
              <w:t>4 kN/m por pilar</w:t>
            </w:r>
          </w:p>
        </w:tc>
        <w:tc>
          <w:tcPr>
            <w:tcW w:type="dxa" w:w="4649"/>
            <w:vAlign w:val="center"/>
          </w:tcPr>
          <w:p>
            <w:pPr>
              <w:spacing w:after="20" w:before="20" w:line="240" w:lineRule="auto"/>
            </w:pPr>
            <w:r/>
            <w:r>
              <w:rPr>
                <w:rFonts w:ascii="Arial" w:hAnsi="Arial"/>
                <w:b w:val="0"/>
                <w:color w:val="202A33"/>
                <w:sz w:val="16"/>
              </w:rPr>
              <w:t>Distribuído ao longo dos trechos de 6 m.</w:t>
            </w:r>
          </w:p>
        </w:tc>
      </w:tr>
      <w:tr>
        <w:tc>
          <w:tcPr>
            <w:tcW w:type="dxa" w:w="2438"/>
            <w:vAlign w:val="center"/>
            <w:shd w:fill="F4F7F9"/>
          </w:tcPr>
          <w:p>
            <w:pPr>
              <w:spacing w:after="20" w:before="20" w:line="240" w:lineRule="auto"/>
            </w:pPr>
            <w:r/>
            <w:r>
              <w:rPr>
                <w:rFonts w:ascii="Arial" w:hAnsi="Arial"/>
                <w:b w:val="0"/>
                <w:color w:val="202A33"/>
                <w:sz w:val="16"/>
              </w:rPr>
              <w:t>Vento V1</w:t>
            </w:r>
          </w:p>
        </w:tc>
        <w:tc>
          <w:tcPr>
            <w:tcW w:type="dxa" w:w="1984"/>
            <w:vAlign w:val="center"/>
            <w:shd w:fill="F4F7F9"/>
          </w:tcPr>
          <w:p>
            <w:pPr>
              <w:spacing w:after="20" w:before="20" w:line="240" w:lineRule="auto"/>
            </w:pPr>
            <w:r/>
            <w:r>
              <w:rPr>
                <w:rFonts w:ascii="Arial" w:hAnsi="Arial"/>
                <w:b w:val="0"/>
                <w:color w:val="202A33"/>
                <w:sz w:val="16"/>
              </w:rPr>
              <w:t>80 kN por pavimento</w:t>
            </w:r>
          </w:p>
        </w:tc>
        <w:tc>
          <w:tcPr>
            <w:tcW w:type="dxa" w:w="4649"/>
            <w:vAlign w:val="center"/>
            <w:shd w:fill="F4F7F9"/>
          </w:tcPr>
          <w:p>
            <w:pPr>
              <w:spacing w:after="20" w:before="20" w:line="240" w:lineRule="auto"/>
            </w:pPr>
            <w:r/>
            <w:r>
              <w:rPr>
                <w:rFonts w:ascii="Arial" w:hAnsi="Arial"/>
                <w:b w:val="0"/>
                <w:color w:val="202A33"/>
                <w:sz w:val="16"/>
              </w:rPr>
              <w:t>Força aplicada em cada nível.</w:t>
            </w:r>
          </w:p>
        </w:tc>
      </w:tr>
      <w:tr>
        <w:tc>
          <w:tcPr>
            <w:tcW w:type="dxa" w:w="2438"/>
            <w:vAlign w:val="center"/>
          </w:tcPr>
          <w:p>
            <w:pPr>
              <w:spacing w:after="20" w:before="20" w:line="240" w:lineRule="auto"/>
            </w:pPr>
            <w:r/>
            <w:r>
              <w:rPr>
                <w:rFonts w:ascii="Arial" w:hAnsi="Arial"/>
                <w:b w:val="0"/>
                <w:color w:val="202A33"/>
                <w:sz w:val="16"/>
              </w:rPr>
              <w:t>Vento V2</w:t>
            </w:r>
          </w:p>
        </w:tc>
        <w:tc>
          <w:tcPr>
            <w:tcW w:type="dxa" w:w="1984"/>
            <w:vAlign w:val="center"/>
          </w:tcPr>
          <w:p>
            <w:pPr>
              <w:spacing w:after="20" w:before="20" w:line="240" w:lineRule="auto"/>
            </w:pPr>
            <w:r/>
            <w:r>
              <w:rPr>
                <w:rFonts w:ascii="Arial" w:hAnsi="Arial"/>
                <w:b w:val="0"/>
                <w:color w:val="202A33"/>
                <w:sz w:val="16"/>
              </w:rPr>
              <w:t>80 kN de resultante</w:t>
            </w:r>
          </w:p>
        </w:tc>
        <w:tc>
          <w:tcPr>
            <w:tcW w:type="dxa" w:w="4649"/>
            <w:vAlign w:val="center"/>
          </w:tcPr>
          <w:p>
            <w:pPr>
              <w:spacing w:after="20" w:before="20" w:line="240" w:lineRule="auto"/>
            </w:pPr>
            <w:r/>
            <w:r>
              <w:rPr>
                <w:rFonts w:ascii="Arial" w:hAnsi="Arial"/>
                <w:b w:val="0"/>
                <w:color w:val="202A33"/>
                <w:sz w:val="16"/>
              </w:rPr>
              <w:t>Distribuída proporcionalmente às cotas dos níveis.</w:t>
            </w:r>
          </w:p>
        </w:tc>
      </w:tr>
    </w:tbl>
    <w:p>
      <w:pPr>
        <w:spacing w:after="20"/>
      </w:pPr>
    </w:p>
    <w:p>
      <w:r>
        <w:t>Para V2, a parcela característica em cada nível é proporcional à altura: Wk,i = 80·zi/Σzj. Assim, para E3, as forças são 13,33 kN, 26,67 kN e 40,00 kN nos níveis de 6 m, 12 m e 18 m, respectivamente. O enunciado esclarece que V1 e V2 são hipóteses didáticas independentes, e não uma determinação normativa do vento.</w:t>
      </w:r>
    </w:p>
    <w:p>
      <w:pPr>
        <w:pStyle w:val="Heading2"/>
      </w:pPr>
      <w:r>
        <w:t>2.4 Condições de fundação</w:t>
      </w:r>
    </w:p>
    <w:p>
      <w:pPr>
        <w:pStyle w:val="ListBullet"/>
        <w:spacing w:after="60"/>
      </w:pPr>
      <w:r>
        <w:t>F1: bases perfeitamente engastadas.</w:t>
      </w:r>
    </w:p>
    <w:p>
      <w:pPr>
        <w:pStyle w:val="ListBullet"/>
        <w:spacing w:after="60"/>
      </w:pPr>
      <w:r>
        <w:t>F2: bases com translações impedidas e molas rotacionais de 75 MN·m/rad por pilar.</w:t>
      </w:r>
    </w:p>
    <w:p>
      <w:r>
        <w:t>A comparação F1/F2 procura isolar a influência da flexibilidade rotacional das bases. Como F2 permite rotação na fundação, espera-se maior flexibilidade global, embora a magnitude e o sentido da alteração de cada esforço dependam da distribuição das ações e do mecanismo resistente.</w:t>
      </w:r>
    </w:p>
    <w:p>
      <w:pPr>
        <w:pStyle w:val="Heading2"/>
      </w:pPr>
      <w:r>
        <w:t>2.5 Imperfeição geométrica global</w:t>
      </w:r>
    </w:p>
    <w:p>
      <w:r>
        <w:t>Na memória de cálculo final foi informado desaprumo θ = 2,357 mrad, equivalente a 0,002357 rad. A origem declarada no aplicativo foi θ = 1/(100√18). A conversão dimensional entre radianos e milirradianos está coerente com esse valor informado. A adequação do critério à disposição normativa deve ser lida em conjunto com a referência indicada pelo usuário e com o enunciado; este relatório registra o parâmetro efetivamente utilizado, sem substituir a conferência da cláusula normativa aplicável.</w:t>
      </w:r>
    </w:p>
    <w:tbl>
      <w:tblPr>
        <w:tblW w:type="auto" w:w="0"/>
        <w:jc w:val="center"/>
        <w:tblLayout w:type="fixed"/>
        <w:tblLook w:firstColumn="1" w:firstRow="1" w:lastColumn="0" w:lastRow="0" w:noHBand="0" w:noVBand="1" w:val="04A0"/>
      </w:tblPr>
      <w:tblGrid>
        <w:gridCol w:w="9354"/>
      </w:tblGrid>
      <w:tr>
        <w:tc>
          <w:tcPr>
            <w:tcW w:type="dxa" w:w="9859"/>
            <w:shd w:fill="EAF1F5"/>
          </w:tcPr>
          <w:p>
            <w:pPr>
              <w:spacing w:after="40"/>
            </w:pPr>
            <w:r/>
            <w:r>
              <w:rPr>
                <w:rFonts w:ascii="Arial" w:hAnsi="Arial"/>
                <w:b/>
                <w:color w:val="1F6E73"/>
                <w:sz w:val="20"/>
              </w:rPr>
              <w:t>Registro do parâmetro</w:t>
              <w:br/>
            </w:r>
            <w:r>
              <w:rPr>
                <w:rFonts w:ascii="Arial" w:hAnsi="Arial"/>
                <w:sz w:val="18"/>
              </w:rPr>
              <w:t>θ = 2,357 mrad = 0,002357 rad. Os dois sentidos da imperfeição foram combinados separadamente com os sentidos das ações horizontais, conforme os cenários examinados pelo programa.</w:t>
            </w:r>
          </w:p>
        </w:tc>
      </w:tr>
    </w:tbl>
    <w:p>
      <w:pPr>
        <w:spacing w:after="20"/>
      </w:pPr>
    </w:p>
    <w:p>
      <w:pPr>
        <w:pStyle w:val="Heading1"/>
      </w:pPr>
      <w:r>
        <w:t>3. MODELO E PROCEDIMENTOS DE ANÁLISE</w:t>
      </w:r>
    </w:p>
    <w:p>
      <w:pPr>
        <w:pStyle w:val="Heading2"/>
      </w:pPr>
      <w:r>
        <w:t>3.1 Modelo de elementos</w:t>
      </w:r>
    </w:p>
    <w:p>
      <w:r>
        <w:t>Os pilares foram representados por elementos de flexão de Euler-Bernoulli, com rigidez à flexão EI. Em cada nível, os quatro pilares compartilham o mesmo deslocamento horizontal, enquanto suas rotações permanecem independentes. Essa compatibilidade representa a hipótese de vigas axialmente indeformáveis e ligações viga-pilar articuladas indicada no enunciado.</w:t>
      </w:r>
    </w:p>
    <w:p>
      <w:r>
        <w:t>O peso próprio dos pilares é tratado como carga distribuída ao longo dos trechos. As reações das vigas são calculadas individualmente para cada vão e aplicadas aos pilares com seus sinais, permitindo representar a resultante dos momentos excêntricos nos pilares internos.</w:t>
      </w:r>
    </w:p>
    <w:p>
      <w:pPr>
        <w:pStyle w:val="Heading2"/>
      </w:pPr>
      <w:r>
        <w:t>3.2 Combinações últimas normais</w:t>
      </w:r>
    </w:p>
    <w:tbl>
      <w:tblPr>
        <w:tblStyle w:val="TableGrid"/>
        <w:tblW w:type="auto" w:w="0"/>
        <w:jc w:val="center"/>
        <w:tblLayout w:type="fixed"/>
        <w:tblLook w:firstColumn="1" w:firstRow="1" w:lastColumn="0" w:lastRow="0" w:noHBand="0" w:noVBand="1" w:val="04A0"/>
      </w:tblPr>
      <w:tblGrid>
        <w:gridCol w:w="2465"/>
        <w:gridCol w:w="2465"/>
        <w:gridCol w:w="2465"/>
        <w:gridCol w:w="2465"/>
      </w:tblGrid>
      <w:tr>
        <w:trPr>
          <w:tblHeader w:val="true"/>
        </w:trPr>
        <w:tc>
          <w:tcPr>
            <w:tcW w:type="dxa" w:w="1134"/>
            <w:vAlign w:val="center"/>
            <w:shd w:fill="16324F"/>
          </w:tcPr>
          <w:p>
            <w:pPr>
              <w:spacing w:after="20" w:before="20" w:line="240" w:lineRule="auto"/>
              <w:jc w:val="center"/>
            </w:pPr>
            <w:r/>
            <w:r>
              <w:rPr>
                <w:rFonts w:ascii="Arial" w:hAnsi="Arial"/>
                <w:b/>
                <w:color w:val="FFFFFF"/>
                <w:sz w:val="16"/>
              </w:rPr>
              <w:t>Combinação</w:t>
            </w:r>
          </w:p>
        </w:tc>
        <w:tc>
          <w:tcPr>
            <w:tcW w:type="dxa" w:w="3175"/>
            <w:vAlign w:val="center"/>
            <w:shd w:fill="16324F"/>
          </w:tcPr>
          <w:p>
            <w:pPr>
              <w:spacing w:after="20" w:before="20" w:line="240" w:lineRule="auto"/>
              <w:jc w:val="center"/>
            </w:pPr>
            <w:r/>
            <w:r>
              <w:rPr>
                <w:rFonts w:ascii="Arial" w:hAnsi="Arial"/>
                <w:b/>
                <w:color w:val="FFFFFF"/>
                <w:sz w:val="16"/>
              </w:rPr>
              <w:t>Ações principais</w:t>
            </w:r>
          </w:p>
        </w:tc>
        <w:tc>
          <w:tcPr>
            <w:tcW w:type="dxa" w:w="2268"/>
            <w:vAlign w:val="center"/>
            <w:shd w:fill="16324F"/>
          </w:tcPr>
          <w:p>
            <w:pPr>
              <w:spacing w:after="20" w:before="20" w:line="240" w:lineRule="auto"/>
              <w:jc w:val="center"/>
            </w:pPr>
            <w:r/>
            <w:r>
              <w:rPr>
                <w:rFonts w:ascii="Arial" w:hAnsi="Arial"/>
                <w:b/>
                <w:color w:val="FFFFFF"/>
                <w:sz w:val="16"/>
              </w:rPr>
              <w:t>Carga na viga carregada</w:t>
            </w:r>
          </w:p>
        </w:tc>
        <w:tc>
          <w:tcPr>
            <w:tcW w:type="dxa" w:w="2494"/>
            <w:vAlign w:val="center"/>
            <w:shd w:fill="16324F"/>
          </w:tcPr>
          <w:p>
            <w:pPr>
              <w:spacing w:after="20" w:before="20" w:line="240" w:lineRule="auto"/>
              <w:jc w:val="center"/>
            </w:pPr>
            <w:r/>
            <w:r>
              <w:rPr>
                <w:rFonts w:ascii="Arial" w:hAnsi="Arial"/>
                <w:b/>
                <w:color w:val="FFFFFF"/>
                <w:sz w:val="16"/>
              </w:rPr>
              <w:t>Vento de cálculo</w:t>
            </w:r>
          </w:p>
        </w:tc>
      </w:tr>
      <w:tr>
        <w:tc>
          <w:tcPr>
            <w:tcW w:type="dxa" w:w="1134"/>
            <w:vAlign w:val="center"/>
          </w:tcPr>
          <w:p>
            <w:pPr>
              <w:spacing w:after="20" w:before="20" w:line="240" w:lineRule="auto"/>
            </w:pPr>
            <w:r/>
            <w:r>
              <w:rPr>
                <w:rFonts w:ascii="Arial" w:hAnsi="Arial"/>
                <w:b w:val="0"/>
                <w:color w:val="202A33"/>
                <w:sz w:val="16"/>
              </w:rPr>
              <w:t>C1</w:t>
            </w:r>
          </w:p>
        </w:tc>
        <w:tc>
          <w:tcPr>
            <w:tcW w:type="dxa" w:w="3175"/>
            <w:vAlign w:val="center"/>
          </w:tcPr>
          <w:p>
            <w:pPr>
              <w:spacing w:after="20" w:before="20" w:line="240" w:lineRule="auto"/>
            </w:pPr>
            <w:r/>
            <w:r>
              <w:rPr>
                <w:rFonts w:ascii="Arial" w:hAnsi="Arial"/>
                <w:b w:val="0"/>
                <w:color w:val="202A33"/>
                <w:sz w:val="16"/>
              </w:rPr>
              <w:t>Q principal, sem vento</w:t>
            </w:r>
          </w:p>
        </w:tc>
        <w:tc>
          <w:tcPr>
            <w:tcW w:type="dxa" w:w="2268"/>
            <w:vAlign w:val="center"/>
          </w:tcPr>
          <w:p>
            <w:pPr>
              <w:spacing w:after="20" w:before="20" w:line="240" w:lineRule="auto"/>
            </w:pPr>
            <w:r/>
            <w:r>
              <w:rPr>
                <w:rFonts w:ascii="Arial" w:hAnsi="Arial"/>
                <w:b w:val="0"/>
                <w:color w:val="202A33"/>
                <w:sz w:val="16"/>
              </w:rPr>
              <w:t>28,00 kN/m</w:t>
            </w:r>
          </w:p>
        </w:tc>
        <w:tc>
          <w:tcPr>
            <w:tcW w:type="dxa" w:w="2494"/>
            <w:vAlign w:val="center"/>
          </w:tcPr>
          <w:p>
            <w:pPr>
              <w:spacing w:after="20" w:before="20" w:line="240" w:lineRule="auto"/>
            </w:pPr>
            <w:r/>
            <w:r>
              <w:rPr>
                <w:rFonts w:ascii="Arial" w:hAnsi="Arial"/>
                <w:b w:val="0"/>
                <w:color w:val="202A33"/>
                <w:sz w:val="16"/>
              </w:rPr>
              <w:t>-</w:t>
            </w:r>
          </w:p>
        </w:tc>
      </w:tr>
      <w:tr>
        <w:tc>
          <w:tcPr>
            <w:tcW w:type="dxa" w:w="1134"/>
            <w:vAlign w:val="center"/>
            <w:shd w:fill="F4F7F9"/>
          </w:tcPr>
          <w:p>
            <w:pPr>
              <w:spacing w:after="20" w:before="20" w:line="240" w:lineRule="auto"/>
            </w:pPr>
            <w:r/>
            <w:r>
              <w:rPr>
                <w:rFonts w:ascii="Arial" w:hAnsi="Arial"/>
                <w:b w:val="0"/>
                <w:color w:val="202A33"/>
                <w:sz w:val="16"/>
              </w:rPr>
              <w:t>C2</w:t>
            </w:r>
          </w:p>
        </w:tc>
        <w:tc>
          <w:tcPr>
            <w:tcW w:type="dxa" w:w="3175"/>
            <w:vAlign w:val="center"/>
            <w:shd w:fill="F4F7F9"/>
          </w:tcPr>
          <w:p>
            <w:pPr>
              <w:spacing w:after="20" w:before="20" w:line="240" w:lineRule="auto"/>
            </w:pPr>
            <w:r/>
            <w:r>
              <w:rPr>
                <w:rFonts w:ascii="Arial" w:hAnsi="Arial"/>
                <w:b w:val="0"/>
                <w:color w:val="202A33"/>
                <w:sz w:val="16"/>
              </w:rPr>
              <w:t>Q principal</w:t>
            </w:r>
          </w:p>
        </w:tc>
        <w:tc>
          <w:tcPr>
            <w:tcW w:type="dxa" w:w="2268"/>
            <w:vAlign w:val="center"/>
            <w:shd w:fill="F4F7F9"/>
          </w:tcPr>
          <w:p>
            <w:pPr>
              <w:spacing w:after="20" w:before="20" w:line="240" w:lineRule="auto"/>
            </w:pPr>
            <w:r/>
            <w:r>
              <w:rPr>
                <w:rFonts w:ascii="Arial" w:hAnsi="Arial"/>
                <w:b w:val="0"/>
                <w:color w:val="202A33"/>
                <w:sz w:val="16"/>
              </w:rPr>
              <w:t>28,00 kN/m</w:t>
            </w:r>
          </w:p>
        </w:tc>
        <w:tc>
          <w:tcPr>
            <w:tcW w:type="dxa" w:w="2494"/>
            <w:vAlign w:val="center"/>
            <w:shd w:fill="F4F7F9"/>
          </w:tcPr>
          <w:p>
            <w:pPr>
              <w:spacing w:after="20" w:before="20" w:line="240" w:lineRule="auto"/>
            </w:pPr>
            <w:r/>
            <w:r>
              <w:rPr>
                <w:rFonts w:ascii="Arial" w:hAnsi="Arial"/>
                <w:b w:val="0"/>
                <w:color w:val="202A33"/>
                <w:sz w:val="16"/>
              </w:rPr>
              <w:t>±0,84 Wk</w:t>
            </w:r>
          </w:p>
        </w:tc>
      </w:tr>
      <w:tr>
        <w:tc>
          <w:tcPr>
            <w:tcW w:type="dxa" w:w="1134"/>
            <w:vAlign w:val="center"/>
          </w:tcPr>
          <w:p>
            <w:pPr>
              <w:spacing w:after="20" w:before="20" w:line="240" w:lineRule="auto"/>
            </w:pPr>
            <w:r/>
            <w:r>
              <w:rPr>
                <w:rFonts w:ascii="Arial" w:hAnsi="Arial"/>
                <w:b w:val="0"/>
                <w:color w:val="202A33"/>
                <w:sz w:val="16"/>
              </w:rPr>
              <w:t>C3</w:t>
            </w:r>
          </w:p>
        </w:tc>
        <w:tc>
          <w:tcPr>
            <w:tcW w:type="dxa" w:w="3175"/>
            <w:vAlign w:val="center"/>
          </w:tcPr>
          <w:p>
            <w:pPr>
              <w:spacing w:after="20" w:before="20" w:line="240" w:lineRule="auto"/>
            </w:pPr>
            <w:r/>
            <w:r>
              <w:rPr>
                <w:rFonts w:ascii="Arial" w:hAnsi="Arial"/>
                <w:b w:val="0"/>
                <w:color w:val="202A33"/>
                <w:sz w:val="16"/>
              </w:rPr>
              <w:t>Vento principal, Q acompanhante</w:t>
            </w:r>
          </w:p>
        </w:tc>
        <w:tc>
          <w:tcPr>
            <w:tcW w:type="dxa" w:w="2268"/>
            <w:vAlign w:val="center"/>
          </w:tcPr>
          <w:p>
            <w:pPr>
              <w:spacing w:after="20" w:before="20" w:line="240" w:lineRule="auto"/>
            </w:pPr>
            <w:r/>
            <w:r>
              <w:rPr>
                <w:rFonts w:ascii="Arial" w:hAnsi="Arial"/>
                <w:b w:val="0"/>
                <w:color w:val="202A33"/>
                <w:sz w:val="16"/>
              </w:rPr>
              <w:t>26,04 kN/m</w:t>
            </w:r>
          </w:p>
        </w:tc>
        <w:tc>
          <w:tcPr>
            <w:tcW w:type="dxa" w:w="2494"/>
            <w:vAlign w:val="center"/>
          </w:tcPr>
          <w:p>
            <w:pPr>
              <w:spacing w:after="20" w:before="20" w:line="240" w:lineRule="auto"/>
            </w:pPr>
            <w:r/>
            <w:r>
              <w:rPr>
                <w:rFonts w:ascii="Arial" w:hAnsi="Arial"/>
                <w:b w:val="0"/>
                <w:color w:val="202A33"/>
                <w:sz w:val="16"/>
              </w:rPr>
              <w:t>±1,40 Wk</w:t>
            </w:r>
          </w:p>
        </w:tc>
      </w:tr>
      <w:tr>
        <w:tc>
          <w:tcPr>
            <w:tcW w:type="dxa" w:w="1134"/>
            <w:vAlign w:val="center"/>
            <w:shd w:fill="F4F7F9"/>
          </w:tcPr>
          <w:p>
            <w:pPr>
              <w:spacing w:after="20" w:before="20" w:line="240" w:lineRule="auto"/>
            </w:pPr>
            <w:r/>
            <w:r>
              <w:rPr>
                <w:rFonts w:ascii="Arial" w:hAnsi="Arial"/>
                <w:b w:val="0"/>
                <w:color w:val="202A33"/>
                <w:sz w:val="16"/>
              </w:rPr>
              <w:t>C4</w:t>
            </w:r>
          </w:p>
        </w:tc>
        <w:tc>
          <w:tcPr>
            <w:tcW w:type="dxa" w:w="3175"/>
            <w:vAlign w:val="center"/>
            <w:shd w:fill="F4F7F9"/>
          </w:tcPr>
          <w:p>
            <w:pPr>
              <w:spacing w:after="20" w:before="20" w:line="240" w:lineRule="auto"/>
            </w:pPr>
            <w:r/>
            <w:r>
              <w:rPr>
                <w:rFonts w:ascii="Arial" w:hAnsi="Arial"/>
                <w:b w:val="0"/>
                <w:color w:val="202A33"/>
                <w:sz w:val="16"/>
              </w:rPr>
              <w:t>Vento principal, sem Q</w:t>
            </w:r>
          </w:p>
        </w:tc>
        <w:tc>
          <w:tcPr>
            <w:tcW w:type="dxa" w:w="2268"/>
            <w:vAlign w:val="center"/>
            <w:shd w:fill="F4F7F9"/>
          </w:tcPr>
          <w:p>
            <w:pPr>
              <w:spacing w:after="20" w:before="20" w:line="240" w:lineRule="auto"/>
            </w:pPr>
            <w:r/>
            <w:r>
              <w:rPr>
                <w:rFonts w:ascii="Arial" w:hAnsi="Arial"/>
                <w:b w:val="0"/>
                <w:color w:val="202A33"/>
                <w:sz w:val="16"/>
              </w:rPr>
              <w:t>18,20 kN/m</w:t>
            </w:r>
          </w:p>
        </w:tc>
        <w:tc>
          <w:tcPr>
            <w:tcW w:type="dxa" w:w="2494"/>
            <w:vAlign w:val="center"/>
            <w:shd w:fill="F4F7F9"/>
          </w:tcPr>
          <w:p>
            <w:pPr>
              <w:spacing w:after="20" w:before="20" w:line="240" w:lineRule="auto"/>
            </w:pPr>
            <w:r/>
            <w:r>
              <w:rPr>
                <w:rFonts w:ascii="Arial" w:hAnsi="Arial"/>
                <w:b w:val="0"/>
                <w:color w:val="202A33"/>
                <w:sz w:val="16"/>
              </w:rPr>
              <w:t>±1,40 Wk</w:t>
            </w:r>
          </w:p>
        </w:tc>
      </w:tr>
    </w:tbl>
    <w:p>
      <w:pPr>
        <w:spacing w:after="20"/>
      </w:pPr>
    </w:p>
    <w:p>
      <w:r>
        <w:t>O exercício adota γg = γq = 1,4 para efeitos desfavoráveis, ψ0,Q = 0,8 para a sobrecarga de depósito e ψ0,W = 0,6 para o vento. Dessa forma, C2 considera vento acompanhante reduzido, enquanto C3 considera sobrecarga acompanhante reduzida. C4 não considera sobrecarga variável. Os coeficientes empregados são os especificados no enunciado e não foram misturados com outro esquema geral de combinações.</w:t>
      </w:r>
    </w:p>
    <w:p>
      <w:pPr>
        <w:pStyle w:val="Heading2"/>
      </w:pPr>
      <w:r>
        <w:t>3.3 Reações excêntricas</w:t>
      </w:r>
    </w:p>
    <w:p>
      <w:r>
        <w:t>Para cada vão carregado, a carga distribuída de cálculo é obtida pela combinação correspondente. Considerando viga simplesmente apoiada, cada reação é calculada por R = qd·L/2. O momento excêntrico associado é M = ±e·R, com sinais opostos nos dois apoios de um mesmo vão. Nos pilares internos, as contribuições dos dois vãos adjacentes são computadas separadamente e somadas algebricamente.</w:t>
      </w:r>
    </w:p>
    <w:p>
      <w:pPr>
        <w:pStyle w:val="Heading2"/>
      </w:pPr>
      <w:r>
        <w:t>3.4 Análise de primeira ordem e coeficiente γz</w:t>
      </w:r>
    </w:p>
    <w:p>
      <w:r>
        <w:t>A análise de primeira ordem é realizada pela solução do sistema linear K_E d = F. O momento global de primeira ordem é obtido a partir das ações horizontais de cálculo, incluindo as parcelas de imperfeição consideradas no modelo. O parâmetro γz é calculado pela expressão fornecida no enunciado:</w:t>
      </w:r>
    </w:p>
    <w:p>
      <w:pPr>
        <w:jc w:val="center"/>
      </w:pPr>
      <w:r>
        <w:rPr>
          <w:b/>
          <w:color w:val="16324F"/>
          <w:sz w:val="24"/>
        </w:rPr>
        <w:t>γz = 1 / [1 − (ΔMtot,d / M1,tot,d)]</w:t>
      </w:r>
    </w:p>
    <w:p>
      <w:r>
        <w:t>ΔMtot,d é obtido pela soma dos produtos das cargas verticais pelos deslocamentos horizontais de primeira ordem. O peso próprio dos pilares é incluído por integração ao longo dos trechos, de acordo com a memória de cálculo. Conforme ressalva expressa do exercício, γz é empregado como comparação didática, pois E1, E2 e E3 possuem menos de quatro pavimentos.</w:t>
      </w:r>
    </w:p>
    <w:p>
      <w:pPr>
        <w:pStyle w:val="Heading2"/>
      </w:pPr>
      <w:r>
        <w:t>3.5 Procedimento de Hogeslag</w:t>
      </w:r>
    </w:p>
    <w:p>
      <w:r>
        <w:t>O programa utiliza as expressões indicadas no enunciado:</w:t>
      </w:r>
    </w:p>
    <w:p>
      <w:pPr>
        <w:jc w:val="center"/>
      </w:pPr>
      <w:r>
        <w:rPr>
          <w:b/>
          <w:color w:val="2D5D7B"/>
          <w:sz w:val="21"/>
        </w:rPr>
        <w:t>Fe = π²(EI)eq / ℓe²</w:t>
      </w:r>
    </w:p>
    <w:p>
      <w:pPr>
        <w:jc w:val="center"/>
      </w:pPr>
      <w:r>
        <w:rPr>
          <w:b/>
          <w:color w:val="2D5D7B"/>
          <w:sz w:val="21"/>
        </w:rPr>
        <w:t>Ff = Kf / Hf</w:t>
      </w:r>
    </w:p>
    <w:p>
      <w:pPr>
        <w:jc w:val="center"/>
      </w:pPr>
      <w:r>
        <w:rPr>
          <w:b/>
          <w:color w:val="2D5D7B"/>
          <w:sz w:val="21"/>
        </w:rPr>
        <w:t>1/Fref = 1/Fe + 1/Ff</w:t>
      </w:r>
    </w:p>
    <w:p>
      <w:pPr>
        <w:jc w:val="center"/>
      </w:pPr>
      <w:r>
        <w:rPr>
          <w:b/>
          <w:color w:val="2D5D7B"/>
          <w:sz w:val="21"/>
        </w:rPr>
        <w:t>β = Fref / ΣFvd</w:t>
      </w:r>
    </w:p>
    <w:p>
      <w:pPr>
        <w:jc w:val="center"/>
      </w:pPr>
      <w:r>
        <w:rPr>
          <w:b/>
          <w:color w:val="2D5D7B"/>
          <w:sz w:val="21"/>
        </w:rPr>
        <w:t>γH = β / (β − 1)</w:t>
      </w:r>
    </w:p>
    <w:p>
      <w:r>
        <w:t>A adaptação a cargas verticais aplicadas em diversos níveis e a fundações com molas depende das equivalências adotadas para ℓe, Hf e (EI)eq. A memória explicita essas equivalências, mas reconhece que sua fundamentação deve ser confrontada com Hogeslag e El Debs. Portanto, os valores numéricos são condicionados às hipóteses equivalentes utilizadas.</w:t>
      </w:r>
    </w:p>
    <w:p>
      <w:pPr>
        <w:pStyle w:val="Heading2"/>
      </w:pPr>
      <w:r>
        <w:t>3.6 Análise complementar de segunda ordem e referência modal</w:t>
      </w:r>
    </w:p>
    <w:p>
      <w:r>
        <w:t>A análise complementar de segunda ordem geométrica linearizada utiliza (K_E − K_G)d = F, mantendo as forças normais de primeira ordem constantes na montagem da matriz geométrica. Não se trata de uma análise materialmente não linear ou de uma iteração incremental completa. A positividade definida de K_E − K_G é verificada; a análise por autovalores é apresentada como referência independente de proximidade à condição crítica, sem substituir o procedimento de Hogeslag.</w:t>
      </w:r>
    </w:p>
    <w:p>
      <w:pPr>
        <w:pStyle w:val="Heading1"/>
      </w:pPr>
      <w:r>
        <w:t>4. ESTRATÉGIA COMPUTACIONAL E ABRANGÊNCIA</w:t>
      </w:r>
    </w:p>
    <w:p>
      <w:r>
        <w:t>A execução registrada na memória final abrangeu as três estruturas, as duas condições de fundação, as quatro combinações, as duas distribuições de vento, os sentidos positivos e negativos das ações horizontais e as distribuições parciais de sobrecarga entre os três vãos de cada pavimento. Foram processados 21.072 cenários, sem erros de execução.</w:t>
      </w:r>
    </w:p>
    <w:p>
      <w:r>
        <w:t>O resultado computacional foi classificado em três grupos principais, de acordo com a positividade da matriz de rigidez de segunda ordem e o critério numérico de quase criticidade aplicado pelo programa: cenários regulares segundo o programa, cenários quase críticos e cenários com perda de positividade ou sem solução estável de segunda ordem.</w:t>
      </w:r>
    </w:p>
    <w:p>
      <w:pPr>
        <w:spacing w:after="2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lassificacao_cenarios.png"/>
                    <pic:cNvPicPr/>
                  </pic:nvPicPr>
                  <pic:blipFill>
                    <a:blip r:embed="rId11"/>
                    <a:stretch>
                      <a:fillRect/>
                    </a:stretch>
                  </pic:blipFill>
                  <pic:spPr>
                    <a:xfrm>
                      <a:off x="0" y="0"/>
                      <a:ext cx="5669280" cy="2834640"/>
                    </a:xfrm>
                    <a:prstGeom prst="rect"/>
                  </pic:spPr>
                </pic:pic>
              </a:graphicData>
            </a:graphic>
          </wp:inline>
        </w:drawing>
      </w:r>
    </w:p>
    <w:p>
      <w:pPr>
        <w:pStyle w:val="CaptionCustom"/>
      </w:pPr>
      <w:r>
        <w:t>Figura 1 - Classificação dos cenários por configuração, conforme a síntese apresentada na memória de cálculo. Fonte: elaboração própria a partir da memória de cálculo, p. 8 e 18.</w:t>
      </w:r>
    </w:p>
    <w:tbl>
      <w:tblPr>
        <w:tblW w:type="auto" w:w="0"/>
        <w:jc w:val="center"/>
        <w:tblLayout w:type="fixed"/>
        <w:tblLook w:firstColumn="1" w:firstRow="1" w:lastColumn="0" w:lastRow="0" w:noHBand="0" w:noVBand="1" w:val="04A0"/>
      </w:tblPr>
      <w:tblGrid>
        <w:gridCol w:w="9354"/>
      </w:tblGrid>
      <w:tr>
        <w:tc>
          <w:tcPr>
            <w:tcW w:type="dxa" w:w="9859"/>
            <w:shd w:fill="EAF1F5"/>
          </w:tcPr>
          <w:p>
            <w:pPr>
              <w:spacing w:after="40"/>
            </w:pPr>
            <w:r/>
            <w:r>
              <w:rPr>
                <w:rFonts w:ascii="Arial" w:hAnsi="Arial"/>
                <w:b/>
                <w:color w:val="1F6E73"/>
                <w:sz w:val="20"/>
              </w:rPr>
              <w:t>Interpretação da classificação</w:t>
              <w:br/>
            </w:r>
            <w:r>
              <w:rPr>
                <w:rFonts w:ascii="Arial" w:hAnsi="Arial"/>
                <w:sz w:val="18"/>
              </w:rPr>
              <w:t>A categoria “regular” representa a classificação interna do aplicativo: matriz positiva definida e não enquadramento no limite numérico de quase criticidade. Ela não equivale, isoladamente, à validação física ou normativa do resultado, sobretudo quando os deslocamentos e os esforços são muito elevados.</w:t>
            </w:r>
          </w:p>
        </w:tc>
      </w:tr>
    </w:tbl>
    <w:p>
      <w:pPr>
        <w:spacing w:after="20"/>
      </w:pPr>
    </w:p>
    <w:p>
      <w:pPr>
        <w:pStyle w:val="Heading1"/>
      </w:pPr>
      <w:r>
        <w:t>5. RESULTADOS E INTERPRETAÇÃO</w:t>
      </w:r>
    </w:p>
    <w:p>
      <w:pPr>
        <w:pStyle w:val="Heading2"/>
      </w:pPr>
      <w:r>
        <w:t>5.1 Classificação global dos cenários</w:t>
      </w:r>
    </w:p>
    <w:tbl>
      <w:tblPr>
        <w:tblStyle w:val="TableGrid"/>
        <w:tblW w:type="auto" w:w="0"/>
        <w:jc w:val="center"/>
        <w:tblLayout w:type="fixed"/>
        <w:tblLook w:firstColumn="1" w:firstRow="1" w:lastColumn="0" w:lastRow="0" w:noHBand="0" w:noVBand="1" w:val="04A0"/>
      </w:tblPr>
      <w:tblGrid>
        <w:gridCol w:w="1972"/>
        <w:gridCol w:w="1972"/>
        <w:gridCol w:w="1972"/>
        <w:gridCol w:w="1972"/>
        <w:gridCol w:w="1972"/>
      </w:tblGrid>
      <w:tr>
        <w:trPr>
          <w:tblHeader w:val="true"/>
        </w:trPr>
        <w:tc>
          <w:tcPr>
            <w:tcW w:type="dxa" w:w="1701"/>
            <w:vAlign w:val="center"/>
            <w:shd w:fill="16324F"/>
          </w:tcPr>
          <w:p>
            <w:pPr>
              <w:spacing w:after="20" w:before="20" w:line="240" w:lineRule="auto"/>
              <w:jc w:val="center"/>
            </w:pPr>
            <w:r/>
            <w:r>
              <w:rPr>
                <w:rFonts w:ascii="Arial" w:hAnsi="Arial"/>
                <w:b/>
                <w:color w:val="FFFFFF"/>
                <w:sz w:val="16"/>
              </w:rPr>
              <w:t>Configuração</w:t>
            </w:r>
          </w:p>
        </w:tc>
        <w:tc>
          <w:tcPr>
            <w:tcW w:type="dxa" w:w="1474"/>
            <w:vAlign w:val="center"/>
            <w:shd w:fill="16324F"/>
          </w:tcPr>
          <w:p>
            <w:pPr>
              <w:spacing w:after="20" w:before="20" w:line="240" w:lineRule="auto"/>
              <w:jc w:val="center"/>
            </w:pPr>
            <w:r/>
            <w:r>
              <w:rPr>
                <w:rFonts w:ascii="Arial" w:hAnsi="Arial"/>
                <w:b/>
                <w:color w:val="FFFFFF"/>
                <w:sz w:val="16"/>
              </w:rPr>
              <w:t>Processados</w:t>
            </w:r>
          </w:p>
        </w:tc>
        <w:tc>
          <w:tcPr>
            <w:tcW w:type="dxa" w:w="1474"/>
            <w:vAlign w:val="center"/>
            <w:shd w:fill="16324F"/>
          </w:tcPr>
          <w:p>
            <w:pPr>
              <w:spacing w:after="20" w:before="20" w:line="240" w:lineRule="auto"/>
              <w:jc w:val="center"/>
            </w:pPr>
            <w:r/>
            <w:r>
              <w:rPr>
                <w:rFonts w:ascii="Arial" w:hAnsi="Arial"/>
                <w:b/>
                <w:color w:val="FFFFFF"/>
                <w:sz w:val="16"/>
              </w:rPr>
              <w:t>Regulares</w:t>
            </w:r>
          </w:p>
        </w:tc>
        <w:tc>
          <w:tcPr>
            <w:tcW w:type="dxa" w:w="1701"/>
            <w:vAlign w:val="center"/>
            <w:shd w:fill="16324F"/>
          </w:tcPr>
          <w:p>
            <w:pPr>
              <w:spacing w:after="20" w:before="20" w:line="240" w:lineRule="auto"/>
              <w:jc w:val="center"/>
            </w:pPr>
            <w:r/>
            <w:r>
              <w:rPr>
                <w:rFonts w:ascii="Arial" w:hAnsi="Arial"/>
                <w:b/>
                <w:color w:val="FFFFFF"/>
                <w:sz w:val="16"/>
              </w:rPr>
              <w:t>Quase críticos</w:t>
            </w:r>
          </w:p>
        </w:tc>
        <w:tc>
          <w:tcPr>
            <w:tcW w:type="dxa" w:w="2721"/>
            <w:vAlign w:val="center"/>
            <w:shd w:fill="16324F"/>
          </w:tcPr>
          <w:p>
            <w:pPr>
              <w:spacing w:after="20" w:before="20" w:line="240" w:lineRule="auto"/>
              <w:jc w:val="center"/>
            </w:pPr>
            <w:r/>
            <w:r>
              <w:rPr>
                <w:rFonts w:ascii="Arial" w:hAnsi="Arial"/>
                <w:b/>
                <w:color w:val="FFFFFF"/>
                <w:sz w:val="16"/>
              </w:rPr>
              <w:t>Instáveis / sem solução estável</w:t>
            </w:r>
          </w:p>
        </w:tc>
      </w:tr>
      <w:tr>
        <w:tc>
          <w:tcPr>
            <w:tcW w:type="dxa" w:w="1701"/>
            <w:vAlign w:val="center"/>
          </w:tcPr>
          <w:p>
            <w:pPr>
              <w:spacing w:after="20" w:before="20" w:line="240" w:lineRule="auto"/>
            </w:pPr>
            <w:r/>
            <w:r>
              <w:rPr>
                <w:rFonts w:ascii="Arial" w:hAnsi="Arial"/>
                <w:b w:val="0"/>
                <w:color w:val="202A33"/>
                <w:sz w:val="16"/>
              </w:rPr>
              <w:t>E1/F1</w:t>
            </w:r>
          </w:p>
        </w:tc>
        <w:tc>
          <w:tcPr>
            <w:tcW w:type="dxa" w:w="1474"/>
            <w:vAlign w:val="center"/>
          </w:tcPr>
          <w:p>
            <w:pPr>
              <w:spacing w:after="20" w:before="20" w:line="240" w:lineRule="auto"/>
            </w:pPr>
            <w:r/>
            <w:r>
              <w:rPr>
                <w:rFonts w:ascii="Arial" w:hAnsi="Arial"/>
                <w:b w:val="0"/>
                <w:color w:val="202A33"/>
                <w:sz w:val="16"/>
              </w:rPr>
              <w:t>152</w:t>
            </w:r>
          </w:p>
        </w:tc>
        <w:tc>
          <w:tcPr>
            <w:tcW w:type="dxa" w:w="1474"/>
            <w:vAlign w:val="center"/>
          </w:tcPr>
          <w:p>
            <w:pPr>
              <w:spacing w:after="20" w:before="20" w:line="240" w:lineRule="auto"/>
            </w:pPr>
            <w:r/>
            <w:r>
              <w:rPr>
                <w:rFonts w:ascii="Arial" w:hAnsi="Arial"/>
                <w:b w:val="0"/>
                <w:color w:val="202A33"/>
                <w:sz w:val="16"/>
              </w:rPr>
              <w:t>152</w:t>
            </w:r>
          </w:p>
        </w:tc>
        <w:tc>
          <w:tcPr>
            <w:tcW w:type="dxa" w:w="1701"/>
            <w:vAlign w:val="center"/>
          </w:tcPr>
          <w:p>
            <w:pPr>
              <w:spacing w:after="20" w:before="20" w:line="240" w:lineRule="auto"/>
            </w:pPr>
            <w:r/>
            <w:r>
              <w:rPr>
                <w:rFonts w:ascii="Arial" w:hAnsi="Arial"/>
                <w:b w:val="0"/>
                <w:color w:val="202A33"/>
                <w:sz w:val="16"/>
              </w:rPr>
              <w:t>0</w:t>
            </w:r>
          </w:p>
        </w:tc>
        <w:tc>
          <w:tcPr>
            <w:tcW w:type="dxa" w:w="2721"/>
            <w:vAlign w:val="center"/>
          </w:tcPr>
          <w:p>
            <w:pPr>
              <w:spacing w:after="20" w:before="20" w:line="240" w:lineRule="auto"/>
            </w:pPr>
            <w:r/>
            <w:r>
              <w:rPr>
                <w:rFonts w:ascii="Arial" w:hAnsi="Arial"/>
                <w:b w:val="0"/>
                <w:color w:val="202A33"/>
                <w:sz w:val="16"/>
              </w:rPr>
              <w:t>0</w:t>
            </w:r>
          </w:p>
        </w:tc>
      </w:tr>
      <w:tr>
        <w:tc>
          <w:tcPr>
            <w:tcW w:type="dxa" w:w="1701"/>
            <w:vAlign w:val="center"/>
            <w:shd w:fill="F4F7F9"/>
          </w:tcPr>
          <w:p>
            <w:pPr>
              <w:spacing w:after="20" w:before="20" w:line="240" w:lineRule="auto"/>
            </w:pPr>
            <w:r/>
            <w:r>
              <w:rPr>
                <w:rFonts w:ascii="Arial" w:hAnsi="Arial"/>
                <w:b w:val="0"/>
                <w:color w:val="202A33"/>
                <w:sz w:val="16"/>
              </w:rPr>
              <w:t>E1/F2</w:t>
            </w:r>
          </w:p>
        </w:tc>
        <w:tc>
          <w:tcPr>
            <w:tcW w:type="dxa" w:w="1474"/>
            <w:vAlign w:val="center"/>
            <w:shd w:fill="F4F7F9"/>
          </w:tcPr>
          <w:p>
            <w:pPr>
              <w:spacing w:after="20" w:before="20" w:line="240" w:lineRule="auto"/>
            </w:pPr>
            <w:r/>
            <w:r>
              <w:rPr>
                <w:rFonts w:ascii="Arial" w:hAnsi="Arial"/>
                <w:b w:val="0"/>
                <w:color w:val="202A33"/>
                <w:sz w:val="16"/>
              </w:rPr>
              <w:t>152</w:t>
            </w:r>
          </w:p>
        </w:tc>
        <w:tc>
          <w:tcPr>
            <w:tcW w:type="dxa" w:w="1474"/>
            <w:vAlign w:val="center"/>
            <w:shd w:fill="F4F7F9"/>
          </w:tcPr>
          <w:p>
            <w:pPr>
              <w:spacing w:after="20" w:before="20" w:line="240" w:lineRule="auto"/>
            </w:pPr>
            <w:r/>
            <w:r>
              <w:rPr>
                <w:rFonts w:ascii="Arial" w:hAnsi="Arial"/>
                <w:b w:val="0"/>
                <w:color w:val="202A33"/>
                <w:sz w:val="16"/>
              </w:rPr>
              <w:t>152</w:t>
            </w:r>
          </w:p>
        </w:tc>
        <w:tc>
          <w:tcPr>
            <w:tcW w:type="dxa" w:w="1701"/>
            <w:vAlign w:val="center"/>
            <w:shd w:fill="F4F7F9"/>
          </w:tcPr>
          <w:p>
            <w:pPr>
              <w:spacing w:after="20" w:before="20" w:line="240" w:lineRule="auto"/>
            </w:pPr>
            <w:r/>
            <w:r>
              <w:rPr>
                <w:rFonts w:ascii="Arial" w:hAnsi="Arial"/>
                <w:b w:val="0"/>
                <w:color w:val="202A33"/>
                <w:sz w:val="16"/>
              </w:rPr>
              <w:t>0</w:t>
            </w:r>
          </w:p>
        </w:tc>
        <w:tc>
          <w:tcPr>
            <w:tcW w:type="dxa" w:w="2721"/>
            <w:vAlign w:val="center"/>
            <w:shd w:fill="F4F7F9"/>
          </w:tcPr>
          <w:p>
            <w:pPr>
              <w:spacing w:after="20" w:before="20" w:line="240" w:lineRule="auto"/>
            </w:pPr>
            <w:r/>
            <w:r>
              <w:rPr>
                <w:rFonts w:ascii="Arial" w:hAnsi="Arial"/>
                <w:b w:val="0"/>
                <w:color w:val="202A33"/>
                <w:sz w:val="16"/>
              </w:rPr>
              <w:t>0</w:t>
            </w:r>
          </w:p>
        </w:tc>
      </w:tr>
      <w:tr>
        <w:tc>
          <w:tcPr>
            <w:tcW w:type="dxa" w:w="1701"/>
            <w:vAlign w:val="center"/>
          </w:tcPr>
          <w:p>
            <w:pPr>
              <w:spacing w:after="20" w:before="20" w:line="240" w:lineRule="auto"/>
            </w:pPr>
            <w:r/>
            <w:r>
              <w:rPr>
                <w:rFonts w:ascii="Arial" w:hAnsi="Arial"/>
                <w:b w:val="0"/>
                <w:color w:val="202A33"/>
                <w:sz w:val="16"/>
              </w:rPr>
              <w:t>E2/F1</w:t>
            </w:r>
          </w:p>
        </w:tc>
        <w:tc>
          <w:tcPr>
            <w:tcW w:type="dxa" w:w="1474"/>
            <w:vAlign w:val="center"/>
          </w:tcPr>
          <w:p>
            <w:pPr>
              <w:spacing w:after="20" w:before="20" w:line="240" w:lineRule="auto"/>
            </w:pPr>
            <w:r/>
            <w:r>
              <w:rPr>
                <w:rFonts w:ascii="Arial" w:hAnsi="Arial"/>
                <w:b w:val="0"/>
                <w:color w:val="202A33"/>
                <w:sz w:val="16"/>
              </w:rPr>
              <w:t>1.160</w:t>
            </w:r>
          </w:p>
        </w:tc>
        <w:tc>
          <w:tcPr>
            <w:tcW w:type="dxa" w:w="1474"/>
            <w:vAlign w:val="center"/>
          </w:tcPr>
          <w:p>
            <w:pPr>
              <w:spacing w:after="20" w:before="20" w:line="240" w:lineRule="auto"/>
            </w:pPr>
            <w:r/>
            <w:r>
              <w:rPr>
                <w:rFonts w:ascii="Arial" w:hAnsi="Arial"/>
                <w:b w:val="0"/>
                <w:color w:val="202A33"/>
                <w:sz w:val="16"/>
              </w:rPr>
              <w:t>1.160</w:t>
            </w:r>
          </w:p>
        </w:tc>
        <w:tc>
          <w:tcPr>
            <w:tcW w:type="dxa" w:w="1701"/>
            <w:vAlign w:val="center"/>
          </w:tcPr>
          <w:p>
            <w:pPr>
              <w:spacing w:after="20" w:before="20" w:line="240" w:lineRule="auto"/>
            </w:pPr>
            <w:r/>
            <w:r>
              <w:rPr>
                <w:rFonts w:ascii="Arial" w:hAnsi="Arial"/>
                <w:b w:val="0"/>
                <w:color w:val="202A33"/>
                <w:sz w:val="16"/>
              </w:rPr>
              <w:t>0</w:t>
            </w:r>
          </w:p>
        </w:tc>
        <w:tc>
          <w:tcPr>
            <w:tcW w:type="dxa" w:w="2721"/>
            <w:vAlign w:val="center"/>
          </w:tcPr>
          <w:p>
            <w:pPr>
              <w:spacing w:after="20" w:before="20" w:line="240" w:lineRule="auto"/>
            </w:pPr>
            <w:r/>
            <w:r>
              <w:rPr>
                <w:rFonts w:ascii="Arial" w:hAnsi="Arial"/>
                <w:b w:val="0"/>
                <w:color w:val="202A33"/>
                <w:sz w:val="16"/>
              </w:rPr>
              <w:t>0</w:t>
            </w:r>
          </w:p>
        </w:tc>
      </w:tr>
      <w:tr>
        <w:tc>
          <w:tcPr>
            <w:tcW w:type="dxa" w:w="1701"/>
            <w:vAlign w:val="center"/>
            <w:shd w:fill="F4F7F9"/>
          </w:tcPr>
          <w:p>
            <w:pPr>
              <w:spacing w:after="20" w:before="20" w:line="240" w:lineRule="auto"/>
            </w:pPr>
            <w:r/>
            <w:r>
              <w:rPr>
                <w:rFonts w:ascii="Arial" w:hAnsi="Arial"/>
                <w:b w:val="0"/>
                <w:color w:val="202A33"/>
                <w:sz w:val="16"/>
              </w:rPr>
              <w:t>E2/F2</w:t>
            </w:r>
          </w:p>
        </w:tc>
        <w:tc>
          <w:tcPr>
            <w:tcW w:type="dxa" w:w="1474"/>
            <w:vAlign w:val="center"/>
            <w:shd w:fill="F4F7F9"/>
          </w:tcPr>
          <w:p>
            <w:pPr>
              <w:spacing w:after="20" w:before="20" w:line="240" w:lineRule="auto"/>
            </w:pPr>
            <w:r/>
            <w:r>
              <w:rPr>
                <w:rFonts w:ascii="Arial" w:hAnsi="Arial"/>
                <w:b w:val="0"/>
                <w:color w:val="202A33"/>
                <w:sz w:val="16"/>
              </w:rPr>
              <w:t>1.160</w:t>
            </w:r>
          </w:p>
        </w:tc>
        <w:tc>
          <w:tcPr>
            <w:tcW w:type="dxa" w:w="1474"/>
            <w:vAlign w:val="center"/>
            <w:shd w:fill="F4F7F9"/>
          </w:tcPr>
          <w:p>
            <w:pPr>
              <w:spacing w:after="20" w:before="20" w:line="240" w:lineRule="auto"/>
            </w:pPr>
            <w:r/>
            <w:r>
              <w:rPr>
                <w:rFonts w:ascii="Arial" w:hAnsi="Arial"/>
                <w:b w:val="0"/>
                <w:color w:val="202A33"/>
                <w:sz w:val="16"/>
              </w:rPr>
              <w:t>1.160</w:t>
            </w:r>
          </w:p>
        </w:tc>
        <w:tc>
          <w:tcPr>
            <w:tcW w:type="dxa" w:w="1701"/>
            <w:vAlign w:val="center"/>
            <w:shd w:fill="F4F7F9"/>
          </w:tcPr>
          <w:p>
            <w:pPr>
              <w:spacing w:after="20" w:before="20" w:line="240" w:lineRule="auto"/>
            </w:pPr>
            <w:r/>
            <w:r>
              <w:rPr>
                <w:rFonts w:ascii="Arial" w:hAnsi="Arial"/>
                <w:b w:val="0"/>
                <w:color w:val="202A33"/>
                <w:sz w:val="16"/>
              </w:rPr>
              <w:t>0</w:t>
            </w:r>
          </w:p>
        </w:tc>
        <w:tc>
          <w:tcPr>
            <w:tcW w:type="dxa" w:w="2721"/>
            <w:vAlign w:val="center"/>
            <w:shd w:fill="F4F7F9"/>
          </w:tcPr>
          <w:p>
            <w:pPr>
              <w:spacing w:after="20" w:before="20" w:line="240" w:lineRule="auto"/>
            </w:pPr>
            <w:r/>
            <w:r>
              <w:rPr>
                <w:rFonts w:ascii="Arial" w:hAnsi="Arial"/>
                <w:b w:val="0"/>
                <w:color w:val="202A33"/>
                <w:sz w:val="16"/>
              </w:rPr>
              <w:t>0</w:t>
            </w:r>
          </w:p>
        </w:tc>
      </w:tr>
      <w:tr>
        <w:tc>
          <w:tcPr>
            <w:tcW w:type="dxa" w:w="1701"/>
            <w:vAlign w:val="center"/>
          </w:tcPr>
          <w:p>
            <w:pPr>
              <w:spacing w:after="20" w:before="20" w:line="240" w:lineRule="auto"/>
            </w:pPr>
            <w:r/>
            <w:r>
              <w:rPr>
                <w:rFonts w:ascii="Arial" w:hAnsi="Arial"/>
                <w:b w:val="0"/>
                <w:color w:val="202A33"/>
                <w:sz w:val="16"/>
              </w:rPr>
              <w:t>E3/F1</w:t>
            </w:r>
          </w:p>
        </w:tc>
        <w:tc>
          <w:tcPr>
            <w:tcW w:type="dxa" w:w="1474"/>
            <w:vAlign w:val="center"/>
          </w:tcPr>
          <w:p>
            <w:pPr>
              <w:spacing w:after="20" w:before="20" w:line="240" w:lineRule="auto"/>
            </w:pPr>
            <w:r/>
            <w:r>
              <w:rPr>
                <w:rFonts w:ascii="Arial" w:hAnsi="Arial"/>
                <w:b w:val="0"/>
                <w:color w:val="202A33"/>
                <w:sz w:val="16"/>
              </w:rPr>
              <w:t>9.224</w:t>
            </w:r>
          </w:p>
        </w:tc>
        <w:tc>
          <w:tcPr>
            <w:tcW w:type="dxa" w:w="1474"/>
            <w:vAlign w:val="center"/>
          </w:tcPr>
          <w:p>
            <w:pPr>
              <w:spacing w:after="20" w:before="20" w:line="240" w:lineRule="auto"/>
            </w:pPr>
            <w:r/>
            <w:r>
              <w:rPr>
                <w:rFonts w:ascii="Arial" w:hAnsi="Arial"/>
                <w:b w:val="0"/>
                <w:color w:val="202A33"/>
                <w:sz w:val="16"/>
              </w:rPr>
              <w:t>5.192</w:t>
            </w:r>
          </w:p>
        </w:tc>
        <w:tc>
          <w:tcPr>
            <w:tcW w:type="dxa" w:w="1701"/>
            <w:vAlign w:val="center"/>
          </w:tcPr>
          <w:p>
            <w:pPr>
              <w:spacing w:after="20" w:before="20" w:line="240" w:lineRule="auto"/>
            </w:pPr>
            <w:r/>
            <w:r>
              <w:rPr>
                <w:rFonts w:ascii="Arial" w:hAnsi="Arial"/>
                <w:b w:val="0"/>
                <w:color w:val="202A33"/>
                <w:sz w:val="16"/>
              </w:rPr>
              <w:t>162</w:t>
            </w:r>
          </w:p>
        </w:tc>
        <w:tc>
          <w:tcPr>
            <w:tcW w:type="dxa" w:w="2721"/>
            <w:vAlign w:val="center"/>
          </w:tcPr>
          <w:p>
            <w:pPr>
              <w:spacing w:after="20" w:before="20" w:line="240" w:lineRule="auto"/>
            </w:pPr>
            <w:r/>
            <w:r>
              <w:rPr>
                <w:rFonts w:ascii="Arial" w:hAnsi="Arial"/>
                <w:b w:val="0"/>
                <w:color w:val="202A33"/>
                <w:sz w:val="16"/>
              </w:rPr>
              <w:t>3.870</w:t>
            </w:r>
          </w:p>
        </w:tc>
      </w:tr>
      <w:tr>
        <w:tc>
          <w:tcPr>
            <w:tcW w:type="dxa" w:w="1701"/>
            <w:vAlign w:val="center"/>
            <w:shd w:fill="F4F7F9"/>
          </w:tcPr>
          <w:p>
            <w:pPr>
              <w:spacing w:after="20" w:before="20" w:line="240" w:lineRule="auto"/>
            </w:pPr>
            <w:r/>
            <w:r>
              <w:rPr>
                <w:rFonts w:ascii="Arial" w:hAnsi="Arial"/>
                <w:b w:val="0"/>
                <w:color w:val="202A33"/>
                <w:sz w:val="16"/>
              </w:rPr>
              <w:t>E3/F2</w:t>
            </w:r>
          </w:p>
        </w:tc>
        <w:tc>
          <w:tcPr>
            <w:tcW w:type="dxa" w:w="1474"/>
            <w:vAlign w:val="center"/>
            <w:shd w:fill="F4F7F9"/>
          </w:tcPr>
          <w:p>
            <w:pPr>
              <w:spacing w:after="20" w:before="20" w:line="240" w:lineRule="auto"/>
            </w:pPr>
            <w:r/>
            <w:r>
              <w:rPr>
                <w:rFonts w:ascii="Arial" w:hAnsi="Arial"/>
                <w:b w:val="0"/>
                <w:color w:val="202A33"/>
                <w:sz w:val="16"/>
              </w:rPr>
              <w:t>9.224</w:t>
            </w:r>
          </w:p>
        </w:tc>
        <w:tc>
          <w:tcPr>
            <w:tcW w:type="dxa" w:w="1474"/>
            <w:vAlign w:val="center"/>
            <w:shd w:fill="F4F7F9"/>
          </w:tcPr>
          <w:p>
            <w:pPr>
              <w:spacing w:after="20" w:before="20" w:line="240" w:lineRule="auto"/>
            </w:pPr>
            <w:r/>
            <w:r>
              <w:rPr>
                <w:rFonts w:ascii="Arial" w:hAnsi="Arial"/>
                <w:b w:val="0"/>
                <w:color w:val="202A33"/>
                <w:sz w:val="16"/>
              </w:rPr>
              <w:t>704</w:t>
            </w:r>
          </w:p>
        </w:tc>
        <w:tc>
          <w:tcPr>
            <w:tcW w:type="dxa" w:w="1701"/>
            <w:vAlign w:val="center"/>
            <w:shd w:fill="F4F7F9"/>
          </w:tcPr>
          <w:p>
            <w:pPr>
              <w:spacing w:after="20" w:before="20" w:line="240" w:lineRule="auto"/>
            </w:pPr>
            <w:r/>
            <w:r>
              <w:rPr>
                <w:rFonts w:ascii="Arial" w:hAnsi="Arial"/>
                <w:b w:val="0"/>
                <w:color w:val="202A33"/>
                <w:sz w:val="16"/>
              </w:rPr>
              <w:t>144</w:t>
            </w:r>
          </w:p>
        </w:tc>
        <w:tc>
          <w:tcPr>
            <w:tcW w:type="dxa" w:w="2721"/>
            <w:vAlign w:val="center"/>
            <w:shd w:fill="F4F7F9"/>
          </w:tcPr>
          <w:p>
            <w:pPr>
              <w:spacing w:after="20" w:before="20" w:line="240" w:lineRule="auto"/>
            </w:pPr>
            <w:r/>
            <w:r>
              <w:rPr>
                <w:rFonts w:ascii="Arial" w:hAnsi="Arial"/>
                <w:b w:val="0"/>
                <w:color w:val="202A33"/>
                <w:sz w:val="16"/>
              </w:rPr>
              <w:t>8.376</w:t>
            </w:r>
          </w:p>
        </w:tc>
      </w:tr>
      <w:tr>
        <w:tc>
          <w:tcPr>
            <w:tcW w:type="dxa" w:w="1701"/>
            <w:vAlign w:val="center"/>
          </w:tcPr>
          <w:p>
            <w:pPr>
              <w:spacing w:after="20" w:before="20" w:line="240" w:lineRule="auto"/>
            </w:pPr>
            <w:r/>
            <w:r>
              <w:rPr>
                <w:rFonts w:ascii="Arial" w:hAnsi="Arial"/>
                <w:b w:val="0"/>
                <w:color w:val="202A33"/>
                <w:sz w:val="16"/>
              </w:rPr>
              <w:t>TOTAL</w:t>
            </w:r>
          </w:p>
        </w:tc>
        <w:tc>
          <w:tcPr>
            <w:tcW w:type="dxa" w:w="1474"/>
            <w:vAlign w:val="center"/>
          </w:tcPr>
          <w:p>
            <w:pPr>
              <w:spacing w:after="20" w:before="20" w:line="240" w:lineRule="auto"/>
            </w:pPr>
            <w:r/>
            <w:r>
              <w:rPr>
                <w:rFonts w:ascii="Arial" w:hAnsi="Arial"/>
                <w:b w:val="0"/>
                <w:color w:val="202A33"/>
                <w:sz w:val="16"/>
              </w:rPr>
              <w:t>21.072</w:t>
            </w:r>
          </w:p>
        </w:tc>
        <w:tc>
          <w:tcPr>
            <w:tcW w:type="dxa" w:w="1474"/>
            <w:vAlign w:val="center"/>
          </w:tcPr>
          <w:p>
            <w:pPr>
              <w:spacing w:after="20" w:before="20" w:line="240" w:lineRule="auto"/>
            </w:pPr>
            <w:r/>
            <w:r>
              <w:rPr>
                <w:rFonts w:ascii="Arial" w:hAnsi="Arial"/>
                <w:b w:val="0"/>
                <w:color w:val="202A33"/>
                <w:sz w:val="16"/>
              </w:rPr>
              <w:t>8.520</w:t>
            </w:r>
          </w:p>
        </w:tc>
        <w:tc>
          <w:tcPr>
            <w:tcW w:type="dxa" w:w="1701"/>
            <w:vAlign w:val="center"/>
          </w:tcPr>
          <w:p>
            <w:pPr>
              <w:spacing w:after="20" w:before="20" w:line="240" w:lineRule="auto"/>
            </w:pPr>
            <w:r/>
            <w:r>
              <w:rPr>
                <w:rFonts w:ascii="Arial" w:hAnsi="Arial"/>
                <w:b w:val="0"/>
                <w:color w:val="202A33"/>
                <w:sz w:val="16"/>
              </w:rPr>
              <w:t>306</w:t>
            </w:r>
          </w:p>
        </w:tc>
        <w:tc>
          <w:tcPr>
            <w:tcW w:type="dxa" w:w="2721"/>
            <w:vAlign w:val="center"/>
          </w:tcPr>
          <w:p>
            <w:pPr>
              <w:spacing w:after="20" w:before="20" w:line="240" w:lineRule="auto"/>
            </w:pPr>
            <w:r/>
            <w:r>
              <w:rPr>
                <w:rFonts w:ascii="Arial" w:hAnsi="Arial"/>
                <w:b w:val="0"/>
                <w:color w:val="202A33"/>
                <w:sz w:val="16"/>
              </w:rPr>
              <w:t>12.246</w:t>
            </w:r>
          </w:p>
        </w:tc>
      </w:tr>
    </w:tbl>
    <w:p>
      <w:pPr>
        <w:spacing w:after="20"/>
      </w:pPr>
    </w:p>
    <w:p>
      <w:r>
        <w:t>E1 e E2 não apresentaram cenários classificados como instáveis na varredura. Em E3, a situação muda substancialmente: na fundação F1, 3.870 dos 9.224 cenários foram classificados como instáveis ou sem solução estável; na F2, esse número sobe para 8.376. Assim, a fundação F2 apresenta uma proporção de casos instáveis muito maior para a estrutura de três pavimentos.</w:t>
      </w:r>
    </w:p>
    <w:p>
      <w:r>
        <w:t>Em termos relativos, os casos instáveis representam aproximadamente 41,9% dos cenários de E3/F1 e 90,8% de E3/F2. Os casos quase críticos representam aproximadamente 1,8% e 1,6%, respectivamente. Essa distribuição mostra que a combinação entre maior altura e flexibilidade rotacional da base reduz fortemente o conjunto de situações em que a solução linearizada de segunda ordem permanece matematicamente estável.</w:t>
      </w:r>
    </w:p>
    <w:p>
      <w:pPr>
        <w:pStyle w:val="Heading2"/>
      </w:pPr>
      <w:r>
        <w:t>5.2 Comparação dos indicadores por estrutura e fundação</w:t>
      </w:r>
    </w:p>
    <w:tbl>
      <w:tblPr>
        <w:tblStyle w:val="TableGrid"/>
        <w:tblW w:type="auto" w:w="0"/>
        <w:jc w:val="center"/>
        <w:tblLayout w:type="fixed"/>
        <w:tblLook w:firstColumn="1" w:firstRow="1" w:lastColumn="0" w:lastRow="0" w:noHBand="0" w:noVBand="1" w:val="04A0"/>
      </w:tblPr>
      <w:tblGrid>
        <w:gridCol w:w="1643"/>
        <w:gridCol w:w="1643"/>
        <w:gridCol w:w="1643"/>
        <w:gridCol w:w="1643"/>
        <w:gridCol w:w="1643"/>
        <w:gridCol w:w="1643"/>
      </w:tblGrid>
      <w:tr>
        <w:trPr>
          <w:tblHeader w:val="true"/>
        </w:trPr>
        <w:tc>
          <w:tcPr>
            <w:tcW w:type="dxa" w:w="1361"/>
            <w:vAlign w:val="center"/>
            <w:shd w:fill="16324F"/>
          </w:tcPr>
          <w:p>
            <w:pPr>
              <w:spacing w:after="20" w:before="20" w:line="240" w:lineRule="auto"/>
              <w:jc w:val="center"/>
            </w:pPr>
            <w:r/>
            <w:r>
              <w:rPr>
                <w:rFonts w:ascii="Arial" w:hAnsi="Arial"/>
                <w:b/>
                <w:color w:val="FFFFFF"/>
                <w:sz w:val="15"/>
              </w:rPr>
              <w:t>Configuração</w:t>
            </w:r>
          </w:p>
        </w:tc>
        <w:tc>
          <w:tcPr>
            <w:tcW w:type="dxa" w:w="1304"/>
            <w:vAlign w:val="center"/>
            <w:shd w:fill="16324F"/>
          </w:tcPr>
          <w:p>
            <w:pPr>
              <w:spacing w:after="20" w:before="20" w:line="240" w:lineRule="auto"/>
              <w:jc w:val="center"/>
            </w:pPr>
            <w:r/>
            <w:r>
              <w:rPr>
                <w:rFonts w:ascii="Arial" w:hAnsi="Arial"/>
                <w:b/>
                <w:color w:val="FFFFFF"/>
                <w:sz w:val="15"/>
              </w:rPr>
              <w:t>γz máx. finito</w:t>
            </w:r>
          </w:p>
        </w:tc>
        <w:tc>
          <w:tcPr>
            <w:tcW w:type="dxa" w:w="1304"/>
            <w:vAlign w:val="center"/>
            <w:shd w:fill="16324F"/>
          </w:tcPr>
          <w:p>
            <w:pPr>
              <w:spacing w:after="20" w:before="20" w:line="240" w:lineRule="auto"/>
              <w:jc w:val="center"/>
            </w:pPr>
            <w:r/>
            <w:r>
              <w:rPr>
                <w:rFonts w:ascii="Arial" w:hAnsi="Arial"/>
                <w:b/>
                <w:color w:val="FFFFFF"/>
                <w:sz w:val="15"/>
              </w:rPr>
              <w:t>β mín. Hogeslag</w:t>
            </w:r>
          </w:p>
        </w:tc>
        <w:tc>
          <w:tcPr>
            <w:tcW w:type="dxa" w:w="1474"/>
            <w:vAlign w:val="center"/>
            <w:shd w:fill="16324F"/>
          </w:tcPr>
          <w:p>
            <w:pPr>
              <w:spacing w:after="20" w:before="20" w:line="240" w:lineRule="auto"/>
              <w:jc w:val="center"/>
            </w:pPr>
            <w:r/>
            <w:r>
              <w:rPr>
                <w:rFonts w:ascii="Arial" w:hAnsi="Arial"/>
                <w:b/>
                <w:color w:val="FFFFFF"/>
                <w:sz w:val="15"/>
              </w:rPr>
              <w:t>λmin normalizado</w:t>
            </w:r>
          </w:p>
        </w:tc>
        <w:tc>
          <w:tcPr>
            <w:tcW w:type="dxa" w:w="2041"/>
            <w:vAlign w:val="center"/>
            <w:shd w:fill="16324F"/>
          </w:tcPr>
          <w:p>
            <w:pPr>
              <w:spacing w:after="20" w:before="20" w:line="240" w:lineRule="auto"/>
              <w:jc w:val="center"/>
            </w:pPr>
            <w:r/>
            <w:r>
              <w:rPr>
                <w:rFonts w:ascii="Arial" w:hAnsi="Arial"/>
                <w:b/>
                <w:color w:val="FFFFFF"/>
                <w:sz w:val="15"/>
              </w:rPr>
              <w:t>Deriva máx. 1ª ordem (mm)</w:t>
            </w:r>
          </w:p>
        </w:tc>
        <w:tc>
          <w:tcPr>
            <w:tcW w:type="dxa" w:w="1531"/>
            <w:vAlign w:val="center"/>
            <w:shd w:fill="16324F"/>
          </w:tcPr>
          <w:p>
            <w:pPr>
              <w:spacing w:after="20" w:before="20" w:line="240" w:lineRule="auto"/>
              <w:jc w:val="center"/>
            </w:pPr>
            <w:r/>
            <w:r>
              <w:rPr>
                <w:rFonts w:ascii="Arial" w:hAnsi="Arial"/>
                <w:b/>
                <w:color w:val="FFFFFF"/>
                <w:sz w:val="15"/>
              </w:rPr>
              <w:t>Nbase máx. (kN)</w:t>
            </w:r>
          </w:p>
        </w:tc>
      </w:tr>
      <w:tr>
        <w:tc>
          <w:tcPr>
            <w:tcW w:type="dxa" w:w="1361"/>
            <w:vAlign w:val="center"/>
          </w:tcPr>
          <w:p>
            <w:pPr>
              <w:spacing w:after="20" w:before="20" w:line="240" w:lineRule="auto"/>
            </w:pPr>
            <w:r/>
            <w:r>
              <w:rPr>
                <w:rFonts w:ascii="Arial" w:hAnsi="Arial"/>
                <w:b w:val="0"/>
                <w:color w:val="202A33"/>
                <w:sz w:val="15"/>
              </w:rPr>
              <w:t>E1/F1</w:t>
            </w:r>
          </w:p>
        </w:tc>
        <w:tc>
          <w:tcPr>
            <w:tcW w:type="dxa" w:w="1304"/>
            <w:vAlign w:val="center"/>
          </w:tcPr>
          <w:p>
            <w:pPr>
              <w:spacing w:after="20" w:before="20" w:line="240" w:lineRule="auto"/>
            </w:pPr>
            <w:r/>
            <w:r>
              <w:rPr>
                <w:rFonts w:ascii="Arial" w:hAnsi="Arial"/>
                <w:b w:val="0"/>
                <w:color w:val="202A33"/>
                <w:sz w:val="15"/>
              </w:rPr>
              <w:t>1,079</w:t>
            </w:r>
          </w:p>
        </w:tc>
        <w:tc>
          <w:tcPr>
            <w:tcW w:type="dxa" w:w="1304"/>
            <w:vAlign w:val="center"/>
          </w:tcPr>
          <w:p>
            <w:pPr>
              <w:spacing w:after="20" w:before="20" w:line="240" w:lineRule="auto"/>
            </w:pPr>
            <w:r/>
            <w:r>
              <w:rPr>
                <w:rFonts w:ascii="Arial" w:hAnsi="Arial"/>
                <w:b w:val="0"/>
                <w:color w:val="202A33"/>
                <w:sz w:val="15"/>
              </w:rPr>
              <w:t>10,657</w:t>
            </w:r>
          </w:p>
        </w:tc>
        <w:tc>
          <w:tcPr>
            <w:tcW w:type="dxa" w:w="1474"/>
            <w:vAlign w:val="center"/>
          </w:tcPr>
          <w:p>
            <w:pPr>
              <w:spacing w:after="20" w:before="20" w:line="240" w:lineRule="auto"/>
            </w:pPr>
            <w:r/>
            <w:r>
              <w:rPr>
                <w:rFonts w:ascii="Arial" w:hAnsi="Arial"/>
                <w:b w:val="0"/>
                <w:color w:val="202A33"/>
                <w:sz w:val="15"/>
              </w:rPr>
              <w:t>0,124</w:t>
            </w:r>
          </w:p>
        </w:tc>
        <w:tc>
          <w:tcPr>
            <w:tcW w:type="dxa" w:w="2041"/>
            <w:vAlign w:val="center"/>
          </w:tcPr>
          <w:p>
            <w:pPr>
              <w:spacing w:after="20" w:before="20" w:line="240" w:lineRule="auto"/>
            </w:pPr>
            <w:r/>
            <w:r>
              <w:rPr>
                <w:rFonts w:ascii="Arial" w:hAnsi="Arial"/>
                <w:b w:val="0"/>
                <w:color w:val="202A33"/>
                <w:sz w:val="15"/>
              </w:rPr>
              <w:t>32,466</w:t>
            </w:r>
          </w:p>
        </w:tc>
        <w:tc>
          <w:tcPr>
            <w:tcW w:type="dxa" w:w="1531"/>
            <w:vAlign w:val="center"/>
          </w:tcPr>
          <w:p>
            <w:pPr>
              <w:spacing w:after="20" w:before="20" w:line="240" w:lineRule="auto"/>
            </w:pPr>
            <w:r/>
            <w:r>
              <w:rPr>
                <w:rFonts w:ascii="Arial" w:hAnsi="Arial"/>
                <w:b w:val="0"/>
                <w:color w:val="202A33"/>
                <w:sz w:val="15"/>
              </w:rPr>
              <w:t>537,6</w:t>
            </w:r>
          </w:p>
        </w:tc>
      </w:tr>
      <w:tr>
        <w:tc>
          <w:tcPr>
            <w:tcW w:type="dxa" w:w="1361"/>
            <w:vAlign w:val="center"/>
            <w:shd w:fill="F4F7F9"/>
          </w:tcPr>
          <w:p>
            <w:pPr>
              <w:spacing w:after="20" w:before="20" w:line="240" w:lineRule="auto"/>
            </w:pPr>
            <w:r/>
            <w:r>
              <w:rPr>
                <w:rFonts w:ascii="Arial" w:hAnsi="Arial"/>
                <w:b w:val="0"/>
                <w:color w:val="202A33"/>
                <w:sz w:val="15"/>
              </w:rPr>
              <w:t>E1/F2</w:t>
            </w:r>
          </w:p>
        </w:tc>
        <w:tc>
          <w:tcPr>
            <w:tcW w:type="dxa" w:w="1304"/>
            <w:vAlign w:val="center"/>
            <w:shd w:fill="F4F7F9"/>
          </w:tcPr>
          <w:p>
            <w:pPr>
              <w:spacing w:after="20" w:before="20" w:line="240" w:lineRule="auto"/>
            </w:pPr>
            <w:r/>
            <w:r>
              <w:rPr>
                <w:rFonts w:ascii="Arial" w:hAnsi="Arial"/>
                <w:b w:val="0"/>
                <w:color w:val="202A33"/>
                <w:sz w:val="15"/>
              </w:rPr>
              <w:t>1,117</w:t>
            </w:r>
          </w:p>
        </w:tc>
        <w:tc>
          <w:tcPr>
            <w:tcW w:type="dxa" w:w="1304"/>
            <w:vAlign w:val="center"/>
            <w:shd w:fill="F4F7F9"/>
          </w:tcPr>
          <w:p>
            <w:pPr>
              <w:spacing w:after="20" w:before="20" w:line="240" w:lineRule="auto"/>
            </w:pPr>
            <w:r/>
            <w:r>
              <w:rPr>
                <w:rFonts w:ascii="Arial" w:hAnsi="Arial"/>
                <w:b w:val="0"/>
                <w:color w:val="202A33"/>
                <w:sz w:val="15"/>
              </w:rPr>
              <w:t>7,973</w:t>
            </w:r>
          </w:p>
        </w:tc>
        <w:tc>
          <w:tcPr>
            <w:tcW w:type="dxa" w:w="1474"/>
            <w:vAlign w:val="center"/>
            <w:shd w:fill="F4F7F9"/>
          </w:tcPr>
          <w:p>
            <w:pPr>
              <w:spacing w:after="20" w:before="20" w:line="240" w:lineRule="auto"/>
            </w:pPr>
            <w:r/>
            <w:r>
              <w:rPr>
                <w:rFonts w:ascii="Arial" w:hAnsi="Arial"/>
                <w:b w:val="0"/>
                <w:color w:val="202A33"/>
                <w:sz w:val="15"/>
              </w:rPr>
              <w:t>0,090</w:t>
            </w:r>
          </w:p>
        </w:tc>
        <w:tc>
          <w:tcPr>
            <w:tcW w:type="dxa" w:w="2041"/>
            <w:vAlign w:val="center"/>
            <w:shd w:fill="F4F7F9"/>
          </w:tcPr>
          <w:p>
            <w:pPr>
              <w:spacing w:after="20" w:before="20" w:line="240" w:lineRule="auto"/>
            </w:pPr>
            <w:r/>
            <w:r>
              <w:rPr>
                <w:rFonts w:ascii="Arial" w:hAnsi="Arial"/>
                <w:b w:val="0"/>
                <w:color w:val="202A33"/>
                <w:sz w:val="15"/>
              </w:rPr>
              <w:t>46,322</w:t>
            </w:r>
          </w:p>
        </w:tc>
        <w:tc>
          <w:tcPr>
            <w:tcW w:type="dxa" w:w="1531"/>
            <w:vAlign w:val="center"/>
            <w:shd w:fill="F4F7F9"/>
          </w:tcPr>
          <w:p>
            <w:pPr>
              <w:spacing w:after="20" w:before="20" w:line="240" w:lineRule="auto"/>
            </w:pPr>
            <w:r/>
            <w:r>
              <w:rPr>
                <w:rFonts w:ascii="Arial" w:hAnsi="Arial"/>
                <w:b w:val="0"/>
                <w:color w:val="202A33"/>
                <w:sz w:val="15"/>
              </w:rPr>
              <w:t>537,6</w:t>
            </w:r>
          </w:p>
        </w:tc>
      </w:tr>
      <w:tr>
        <w:tc>
          <w:tcPr>
            <w:tcW w:type="dxa" w:w="1361"/>
            <w:vAlign w:val="center"/>
          </w:tcPr>
          <w:p>
            <w:pPr>
              <w:spacing w:after="20" w:before="20" w:line="240" w:lineRule="auto"/>
            </w:pPr>
            <w:r/>
            <w:r>
              <w:rPr>
                <w:rFonts w:ascii="Arial" w:hAnsi="Arial"/>
                <w:b w:val="0"/>
                <w:color w:val="202A33"/>
                <w:sz w:val="15"/>
              </w:rPr>
              <w:t>E2/F1</w:t>
            </w:r>
          </w:p>
        </w:tc>
        <w:tc>
          <w:tcPr>
            <w:tcW w:type="dxa" w:w="1304"/>
            <w:vAlign w:val="center"/>
          </w:tcPr>
          <w:p>
            <w:pPr>
              <w:spacing w:after="20" w:before="20" w:line="240" w:lineRule="auto"/>
            </w:pPr>
            <w:r/>
            <w:r>
              <w:rPr>
                <w:rFonts w:ascii="Arial" w:hAnsi="Arial"/>
                <w:b w:val="0"/>
                <w:color w:val="202A33"/>
                <w:sz w:val="15"/>
              </w:rPr>
              <w:t>1,581</w:t>
            </w:r>
          </w:p>
        </w:tc>
        <w:tc>
          <w:tcPr>
            <w:tcW w:type="dxa" w:w="1304"/>
            <w:vAlign w:val="center"/>
          </w:tcPr>
          <w:p>
            <w:pPr>
              <w:spacing w:after="20" w:before="20" w:line="240" w:lineRule="auto"/>
            </w:pPr>
            <w:r/>
            <w:r>
              <w:rPr>
                <w:rFonts w:ascii="Arial" w:hAnsi="Arial"/>
                <w:b w:val="0"/>
                <w:color w:val="202A33"/>
                <w:sz w:val="15"/>
              </w:rPr>
              <w:t>1,332</w:t>
            </w:r>
          </w:p>
        </w:tc>
        <w:tc>
          <w:tcPr>
            <w:tcW w:type="dxa" w:w="1474"/>
            <w:vAlign w:val="center"/>
          </w:tcPr>
          <w:p>
            <w:pPr>
              <w:spacing w:after="20" w:before="20" w:line="240" w:lineRule="auto"/>
            </w:pPr>
            <w:r/>
            <w:r>
              <w:rPr>
                <w:rFonts w:ascii="Arial" w:hAnsi="Arial"/>
                <w:b w:val="0"/>
                <w:color w:val="202A33"/>
                <w:sz w:val="15"/>
              </w:rPr>
              <w:t>0,011</w:t>
            </w:r>
          </w:p>
        </w:tc>
        <w:tc>
          <w:tcPr>
            <w:tcW w:type="dxa" w:w="2041"/>
            <w:vAlign w:val="center"/>
          </w:tcPr>
          <w:p>
            <w:pPr>
              <w:spacing w:after="20" w:before="20" w:line="240" w:lineRule="auto"/>
            </w:pPr>
            <w:r/>
            <w:r>
              <w:rPr>
                <w:rFonts w:ascii="Arial" w:hAnsi="Arial"/>
                <w:b w:val="0"/>
                <w:color w:val="202A33"/>
                <w:sz w:val="15"/>
              </w:rPr>
              <w:t>227,370</w:t>
            </w:r>
          </w:p>
        </w:tc>
        <w:tc>
          <w:tcPr>
            <w:tcW w:type="dxa" w:w="1531"/>
            <w:vAlign w:val="center"/>
          </w:tcPr>
          <w:p>
            <w:pPr>
              <w:spacing w:after="20" w:before="20" w:line="240" w:lineRule="auto"/>
            </w:pPr>
            <w:r/>
            <w:r>
              <w:rPr>
                <w:rFonts w:ascii="Arial" w:hAnsi="Arial"/>
                <w:b w:val="0"/>
                <w:color w:val="202A33"/>
                <w:sz w:val="15"/>
              </w:rPr>
              <w:t>1.075,2</w:t>
            </w:r>
          </w:p>
        </w:tc>
      </w:tr>
      <w:tr>
        <w:tc>
          <w:tcPr>
            <w:tcW w:type="dxa" w:w="1361"/>
            <w:vAlign w:val="center"/>
            <w:shd w:fill="F4F7F9"/>
          </w:tcPr>
          <w:p>
            <w:pPr>
              <w:spacing w:after="20" w:before="20" w:line="240" w:lineRule="auto"/>
            </w:pPr>
            <w:r/>
            <w:r>
              <w:rPr>
                <w:rFonts w:ascii="Arial" w:hAnsi="Arial"/>
                <w:b w:val="0"/>
                <w:color w:val="202A33"/>
                <w:sz w:val="15"/>
              </w:rPr>
              <w:t>E2/F2</w:t>
            </w:r>
          </w:p>
        </w:tc>
        <w:tc>
          <w:tcPr>
            <w:tcW w:type="dxa" w:w="1304"/>
            <w:vAlign w:val="center"/>
            <w:shd w:fill="F4F7F9"/>
          </w:tcPr>
          <w:p>
            <w:pPr>
              <w:spacing w:after="20" w:before="20" w:line="240" w:lineRule="auto"/>
            </w:pPr>
            <w:r/>
            <w:r>
              <w:rPr>
                <w:rFonts w:ascii="Arial" w:hAnsi="Arial"/>
                <w:b w:val="0"/>
                <w:color w:val="202A33"/>
                <w:sz w:val="15"/>
              </w:rPr>
              <w:t>1,864</w:t>
            </w:r>
          </w:p>
        </w:tc>
        <w:tc>
          <w:tcPr>
            <w:tcW w:type="dxa" w:w="1304"/>
            <w:vAlign w:val="center"/>
            <w:shd w:fill="F4F7F9"/>
          </w:tcPr>
          <w:p>
            <w:pPr>
              <w:spacing w:after="20" w:before="20" w:line="240" w:lineRule="auto"/>
            </w:pPr>
            <w:r/>
            <w:r>
              <w:rPr>
                <w:rFonts w:ascii="Arial" w:hAnsi="Arial"/>
                <w:b w:val="0"/>
                <w:color w:val="202A33"/>
                <w:sz w:val="15"/>
              </w:rPr>
              <w:t>1,181</w:t>
            </w:r>
          </w:p>
        </w:tc>
        <w:tc>
          <w:tcPr>
            <w:tcW w:type="dxa" w:w="1474"/>
            <w:vAlign w:val="center"/>
            <w:shd w:fill="F4F7F9"/>
          </w:tcPr>
          <w:p>
            <w:pPr>
              <w:spacing w:after="20" w:before="20" w:line="240" w:lineRule="auto"/>
            </w:pPr>
            <w:r/>
            <w:r>
              <w:rPr>
                <w:rFonts w:ascii="Arial" w:hAnsi="Arial"/>
                <w:b w:val="0"/>
                <w:color w:val="202A33"/>
                <w:sz w:val="15"/>
              </w:rPr>
              <w:t>0,008</w:t>
            </w:r>
          </w:p>
        </w:tc>
        <w:tc>
          <w:tcPr>
            <w:tcW w:type="dxa" w:w="2041"/>
            <w:vAlign w:val="center"/>
            <w:shd w:fill="F4F7F9"/>
          </w:tcPr>
          <w:p>
            <w:pPr>
              <w:spacing w:after="20" w:before="20" w:line="240" w:lineRule="auto"/>
            </w:pPr>
            <w:r/>
            <w:r>
              <w:rPr>
                <w:rFonts w:ascii="Arial" w:hAnsi="Arial"/>
                <w:b w:val="0"/>
                <w:color w:val="202A33"/>
                <w:sz w:val="15"/>
              </w:rPr>
              <w:t>268,959</w:t>
            </w:r>
          </w:p>
        </w:tc>
        <w:tc>
          <w:tcPr>
            <w:tcW w:type="dxa" w:w="1531"/>
            <w:vAlign w:val="center"/>
            <w:shd w:fill="F4F7F9"/>
          </w:tcPr>
          <w:p>
            <w:pPr>
              <w:spacing w:after="20" w:before="20" w:line="240" w:lineRule="auto"/>
            </w:pPr>
            <w:r/>
            <w:r>
              <w:rPr>
                <w:rFonts w:ascii="Arial" w:hAnsi="Arial"/>
                <w:b w:val="0"/>
                <w:color w:val="202A33"/>
                <w:sz w:val="15"/>
              </w:rPr>
              <w:t>1.075,2</w:t>
            </w:r>
          </w:p>
        </w:tc>
      </w:tr>
      <w:tr>
        <w:tc>
          <w:tcPr>
            <w:tcW w:type="dxa" w:w="1361"/>
            <w:vAlign w:val="center"/>
          </w:tcPr>
          <w:p>
            <w:pPr>
              <w:spacing w:after="20" w:before="20" w:line="240" w:lineRule="auto"/>
            </w:pPr>
            <w:r/>
            <w:r>
              <w:rPr>
                <w:rFonts w:ascii="Arial" w:hAnsi="Arial"/>
                <w:b w:val="0"/>
                <w:color w:val="202A33"/>
                <w:sz w:val="15"/>
              </w:rPr>
              <w:t>E3/F1</w:t>
            </w:r>
          </w:p>
        </w:tc>
        <w:tc>
          <w:tcPr>
            <w:tcW w:type="dxa" w:w="1304"/>
            <w:vAlign w:val="center"/>
          </w:tcPr>
          <w:p>
            <w:pPr>
              <w:spacing w:after="20" w:before="20" w:line="240" w:lineRule="auto"/>
            </w:pPr>
            <w:r/>
            <w:r>
              <w:rPr>
                <w:rFonts w:ascii="Arial" w:hAnsi="Arial"/>
                <w:b w:val="0"/>
                <w:color w:val="202A33"/>
                <w:sz w:val="15"/>
              </w:rPr>
              <w:t>110,538</w:t>
            </w:r>
          </w:p>
        </w:tc>
        <w:tc>
          <w:tcPr>
            <w:tcW w:type="dxa" w:w="1304"/>
            <w:vAlign w:val="center"/>
          </w:tcPr>
          <w:p>
            <w:pPr>
              <w:spacing w:after="20" w:before="20" w:line="240" w:lineRule="auto"/>
            </w:pPr>
            <w:r/>
            <w:r>
              <w:rPr>
                <w:rFonts w:ascii="Arial" w:hAnsi="Arial"/>
                <w:b w:val="0"/>
                <w:color w:val="202A33"/>
                <w:sz w:val="15"/>
              </w:rPr>
              <w:t>0,395</w:t>
            </w:r>
          </w:p>
        </w:tc>
        <w:tc>
          <w:tcPr>
            <w:tcW w:type="dxa" w:w="1474"/>
            <w:vAlign w:val="center"/>
          </w:tcPr>
          <w:p>
            <w:pPr>
              <w:spacing w:after="20" w:before="20" w:line="240" w:lineRule="auto"/>
            </w:pPr>
            <w:r/>
            <w:r>
              <w:rPr>
                <w:rFonts w:ascii="Arial" w:hAnsi="Arial"/>
                <w:b w:val="0"/>
                <w:color w:val="202A33"/>
                <w:sz w:val="15"/>
              </w:rPr>
              <w:t>−0,001</w:t>
            </w:r>
          </w:p>
        </w:tc>
        <w:tc>
          <w:tcPr>
            <w:tcW w:type="dxa" w:w="2041"/>
            <w:vAlign w:val="center"/>
          </w:tcPr>
          <w:p>
            <w:pPr>
              <w:spacing w:after="20" w:before="20" w:line="240" w:lineRule="auto"/>
            </w:pPr>
            <w:r/>
            <w:r>
              <w:rPr>
                <w:rFonts w:ascii="Arial" w:hAnsi="Arial"/>
                <w:b w:val="0"/>
                <w:color w:val="202A33"/>
                <w:sz w:val="15"/>
              </w:rPr>
              <w:t>666,051</w:t>
            </w:r>
          </w:p>
        </w:tc>
        <w:tc>
          <w:tcPr>
            <w:tcW w:type="dxa" w:w="1531"/>
            <w:vAlign w:val="center"/>
          </w:tcPr>
          <w:p>
            <w:pPr>
              <w:spacing w:after="20" w:before="20" w:line="240" w:lineRule="auto"/>
            </w:pPr>
            <w:r/>
            <w:r>
              <w:rPr>
                <w:rFonts w:ascii="Arial" w:hAnsi="Arial"/>
                <w:b w:val="0"/>
                <w:color w:val="202A33"/>
                <w:sz w:val="15"/>
              </w:rPr>
              <w:t>1.612,8</w:t>
            </w:r>
          </w:p>
        </w:tc>
      </w:tr>
      <w:tr>
        <w:tc>
          <w:tcPr>
            <w:tcW w:type="dxa" w:w="1361"/>
            <w:vAlign w:val="center"/>
            <w:shd w:fill="F4F7F9"/>
          </w:tcPr>
          <w:p>
            <w:pPr>
              <w:spacing w:after="20" w:before="20" w:line="240" w:lineRule="auto"/>
            </w:pPr>
            <w:r/>
            <w:r>
              <w:rPr>
                <w:rFonts w:ascii="Arial" w:hAnsi="Arial"/>
                <w:b w:val="0"/>
                <w:color w:val="202A33"/>
                <w:sz w:val="15"/>
              </w:rPr>
              <w:t>E3/F2</w:t>
            </w:r>
          </w:p>
        </w:tc>
        <w:tc>
          <w:tcPr>
            <w:tcW w:type="dxa" w:w="1304"/>
            <w:vAlign w:val="center"/>
            <w:shd w:fill="F4F7F9"/>
          </w:tcPr>
          <w:p>
            <w:pPr>
              <w:spacing w:after="20" w:before="20" w:line="240" w:lineRule="auto"/>
            </w:pPr>
            <w:r/>
            <w:r>
              <w:rPr>
                <w:rFonts w:ascii="Arial" w:hAnsi="Arial"/>
                <w:b w:val="0"/>
                <w:color w:val="202A33"/>
                <w:sz w:val="15"/>
              </w:rPr>
              <w:t>1.409,669</w:t>
            </w:r>
          </w:p>
        </w:tc>
        <w:tc>
          <w:tcPr>
            <w:tcW w:type="dxa" w:w="1304"/>
            <w:vAlign w:val="center"/>
            <w:shd w:fill="F4F7F9"/>
          </w:tcPr>
          <w:p>
            <w:pPr>
              <w:spacing w:after="20" w:before="20" w:line="240" w:lineRule="auto"/>
            </w:pPr>
            <w:r/>
            <w:r>
              <w:rPr>
                <w:rFonts w:ascii="Arial" w:hAnsi="Arial"/>
                <w:b w:val="0"/>
                <w:color w:val="202A33"/>
                <w:sz w:val="15"/>
              </w:rPr>
              <w:t>0,367</w:t>
            </w:r>
          </w:p>
        </w:tc>
        <w:tc>
          <w:tcPr>
            <w:tcW w:type="dxa" w:w="1474"/>
            <w:vAlign w:val="center"/>
            <w:shd w:fill="F4F7F9"/>
          </w:tcPr>
          <w:p>
            <w:pPr>
              <w:spacing w:after="20" w:before="20" w:line="240" w:lineRule="auto"/>
            </w:pPr>
            <w:r/>
            <w:r>
              <w:rPr>
                <w:rFonts w:ascii="Arial" w:hAnsi="Arial"/>
                <w:b w:val="0"/>
                <w:color w:val="202A33"/>
                <w:sz w:val="15"/>
              </w:rPr>
              <w:t>−0,002</w:t>
            </w:r>
          </w:p>
        </w:tc>
        <w:tc>
          <w:tcPr>
            <w:tcW w:type="dxa" w:w="2041"/>
            <w:vAlign w:val="center"/>
            <w:shd w:fill="F4F7F9"/>
          </w:tcPr>
          <w:p>
            <w:pPr>
              <w:spacing w:after="20" w:before="20" w:line="240" w:lineRule="auto"/>
            </w:pPr>
            <w:r/>
            <w:r>
              <w:rPr>
                <w:rFonts w:ascii="Arial" w:hAnsi="Arial"/>
                <w:b w:val="0"/>
                <w:color w:val="202A33"/>
                <w:sz w:val="15"/>
              </w:rPr>
              <w:t>749,248</w:t>
            </w:r>
          </w:p>
        </w:tc>
        <w:tc>
          <w:tcPr>
            <w:tcW w:type="dxa" w:w="1531"/>
            <w:vAlign w:val="center"/>
            <w:shd w:fill="F4F7F9"/>
          </w:tcPr>
          <w:p>
            <w:pPr>
              <w:spacing w:after="20" w:before="20" w:line="240" w:lineRule="auto"/>
            </w:pPr>
            <w:r/>
            <w:r>
              <w:rPr>
                <w:rFonts w:ascii="Arial" w:hAnsi="Arial"/>
                <w:b w:val="0"/>
                <w:color w:val="202A33"/>
                <w:sz w:val="15"/>
              </w:rPr>
              <w:t>1.612,8</w:t>
            </w:r>
          </w:p>
        </w:tc>
      </w:tr>
    </w:tbl>
    <w:p>
      <w:pPr>
        <w:spacing w:after="20"/>
      </w:pPr>
    </w:p>
    <w:p>
      <w:r>
        <w:t>Os máximos finitos de γz da tabela são os valores registrados na comparação automática; para E3, a própria memória associa os casos governantes a alertas de instabilidade de segunda ordem. Portanto, esses máximos não devem ser lidos como coeficientes de estabilidade utilizáveis sem ressalva. De modo semelhante, λmin negativo em E3 sinaliza perda de positividade da matriz no cenário governante correspondente.</w:t>
      </w:r>
    </w:p>
    <w:p>
      <w:pPr>
        <w:spacing w:after="20"/>
        <w:jc w:val="center"/>
      </w:pPr>
      <w:r>
        <w:drawing>
          <wp:inline xmlns:a="http://schemas.openxmlformats.org/drawingml/2006/main" xmlns:pic="http://schemas.openxmlformats.org/drawingml/2006/picture">
            <wp:extent cx="5669280" cy="2645664"/>
            <wp:docPr id="2" name="Picture 2"/>
            <wp:cNvGraphicFramePr>
              <a:graphicFrameLocks noChangeAspect="1"/>
            </wp:cNvGraphicFramePr>
            <a:graphic>
              <a:graphicData uri="http://schemas.openxmlformats.org/drawingml/2006/picture">
                <pic:pic>
                  <pic:nvPicPr>
                    <pic:cNvPr id="0" name="deslocamentos_relativos.png"/>
                    <pic:cNvPicPr/>
                  </pic:nvPicPr>
                  <pic:blipFill>
                    <a:blip r:embed="rId12"/>
                    <a:stretch>
                      <a:fillRect/>
                    </a:stretch>
                  </pic:blipFill>
                  <pic:spPr>
                    <a:xfrm>
                      <a:off x="0" y="0"/>
                      <a:ext cx="5669280" cy="2645664"/>
                    </a:xfrm>
                    <a:prstGeom prst="rect"/>
                  </pic:spPr>
                </pic:pic>
              </a:graphicData>
            </a:graphic>
          </wp:inline>
        </w:drawing>
      </w:r>
    </w:p>
    <w:p>
      <w:pPr>
        <w:pStyle w:val="CaptionCustom"/>
      </w:pPr>
      <w:r>
        <w:t>Figura 2 - Maior deslocamento relativo de primeira ordem registrado para cada configuração. Fonte: memória de cálculo, p. 8–9.</w:t>
      </w:r>
    </w:p>
    <w:p>
      <w:r>
        <w:t>O deslocamento relativo máximo cresce de 32,5–46,3 mm em E1 para 227,4–269,0 mm em E2 e 666,1–749,2 mm em E3. O crescimento é associado ao aumento da altura total e ao acúmulo das deformações laterais ao longo dos pavimentos. Para cada estrutura, F2 apresenta deslocamento relativo máximo superior ao de F1, coerente com a maior flexibilidade rotacional das bases.</w:t>
      </w:r>
    </w:p>
    <w:p>
      <w:pPr>
        <w:spacing w:after="20"/>
        <w:jc w:val="center"/>
      </w:pPr>
      <w:r>
        <w:drawing>
          <wp:inline xmlns:a="http://schemas.openxmlformats.org/drawingml/2006/main" xmlns:pic="http://schemas.openxmlformats.org/drawingml/2006/picture">
            <wp:extent cx="5669280" cy="2645664"/>
            <wp:docPr id="3" name="Picture 3"/>
            <wp:cNvGraphicFramePr>
              <a:graphicFrameLocks noChangeAspect="1"/>
            </wp:cNvGraphicFramePr>
            <a:graphic>
              <a:graphicData uri="http://schemas.openxmlformats.org/drawingml/2006/picture">
                <pic:pic>
                  <pic:nvPicPr>
                    <pic:cNvPr id="0" name="gamma_z.png"/>
                    <pic:cNvPicPr/>
                  </pic:nvPicPr>
                  <pic:blipFill>
                    <a:blip r:embed="rId13"/>
                    <a:stretch>
                      <a:fillRect/>
                    </a:stretch>
                  </pic:blipFill>
                  <pic:spPr>
                    <a:xfrm>
                      <a:off x="0" y="0"/>
                      <a:ext cx="5669280" cy="2645664"/>
                    </a:xfrm>
                    <a:prstGeom prst="rect"/>
                  </pic:spPr>
                </pic:pic>
              </a:graphicData>
            </a:graphic>
          </wp:inline>
        </w:drawing>
      </w:r>
    </w:p>
    <w:p>
      <w:pPr>
        <w:pStyle w:val="CaptionCustom"/>
      </w:pPr>
      <w:r>
        <w:t>Figura 3 - Máximo γz finito registrado por configuração (escala logarítmica). Os indicadores de E3 estão associados a alertas de instabilidade e não devem ser interpretados isoladamente. Fonte: memória de cálculo, p. 8–9.</w:t>
      </w:r>
    </w:p>
    <w:p>
      <w:pPr>
        <w:pStyle w:val="Heading2"/>
      </w:pPr>
      <w:r>
        <w:t>5.3 Influência da condição de fundação</w:t>
      </w:r>
    </w:p>
    <w:p>
      <w:r>
        <w:t>A comparação entre F1 e F2 indica que a flexibilidade rotacional da fundação tende a aumentar os deslocamentos laterais e a piorar os indicadores de estabilidade. Em E1, a deriva máxima passa de 32,466 mm em F1 para 46,322 mm em F2, aumento de aproximadamente 42,7%. Em E2, passa de 227,370 mm para 268,959 mm, aumento de aproximadamente 18,3%.</w:t>
      </w:r>
    </w:p>
    <w:p>
      <w:r>
        <w:t>Os indicadores de γz máximo finito também aumentam de 1,079 para 1,117 em E1 e de 1,581 para 1,864 em E2. O menor autovalor normalizado cai de 0,124 para 0,090 em E1 e de 0,011 para 0,008 em E2. Esses resultados são compatíveis com uma redução da rigidez global quando as bases passam de engastadas para molas rotacionais.</w:t>
      </w:r>
    </w:p>
    <w:p>
      <w:r>
        <w:t>A influência sobre os momentos não é estritamente monotônica em todos os casos. Em E1, o maior momento de segunda ordem registrado é 235,271 kN·m para F1 e 226,996 kN·m para F2; em E2, o valor sobe de 836,149 kN·m para 959,757 kN·m. Assim, não se deve concluir que F2 aumenta necessariamente todos os esforços: a distribuição de esforços depende da redistribuição de rigidez e do mecanismo estrutural.</w:t>
      </w:r>
    </w:p>
    <w:p>
      <w:pPr>
        <w:pStyle w:val="Heading2"/>
      </w:pPr>
      <w:r>
        <w:t>5.4 Influência do número de pavimentos</w:t>
      </w:r>
    </w:p>
    <w:p>
      <w:r>
        <w:t>A evolução de E1 para E3 é a tendência mais marcante do estudo. O aumento do número de pavimentos eleva os deslocamentos relativos de primeira ordem, reduz os autovalores normalizados da matriz de segunda ordem e amplia a frequência de cenários sem solução estável. Em E1 e E2, todos os cenários da varredura foram classificados como regulares para a análise linearizada. Em E3, particularmente com F2, mais de 90% dos cenários foram classificados como instáveis.</w:t>
      </w:r>
    </w:p>
    <w:p>
      <w:r>
        <w:t>Essa tendência demonstra a sensibilidade da estabilidade global à altura e à condição de apoio. O efeito da fundação torna-se especialmente importante na estrutura mais alta, para a qual a base flexível se associa a uma parcela muito maior de perda de positividade da matriz geométrica.</w:t>
      </w:r>
    </w:p>
    <w:p>
      <w:r>
        <w:br w:type="page"/>
      </w:r>
    </w:p>
    <w:p>
      <w:pPr>
        <w:pStyle w:val="Heading2"/>
      </w:pPr>
      <w:r>
        <w:t>5.5 Caso detalhado selecionado pelo programa</w:t>
      </w:r>
    </w:p>
    <w:p>
      <w:r>
        <w:t>A memória selecionou o cenário E3/F2/C2/V1, com vento e imperfeição no sentido positivo, sobrecarga nos vãos V2 e V3 do primeiro pavimento e no vão V2 do segundo pavimento. O terceiro nível não recebeu sobrecarga variável nesse cenário. A carga vertical total de cálculo indicada é 3.880,800 kN.</w:t>
      </w:r>
    </w:p>
    <w:tbl>
      <w:tblPr>
        <w:tblStyle w:val="TableGrid"/>
        <w:tblW w:type="auto" w:w="0"/>
        <w:jc w:val="center"/>
        <w:tblLayout w:type="fixed"/>
        <w:tblLook w:firstColumn="1" w:firstRow="1" w:lastColumn="0" w:lastRow="0" w:noHBand="0" w:noVBand="1" w:val="04A0"/>
      </w:tblPr>
      <w:tblGrid>
        <w:gridCol w:w="4929"/>
        <w:gridCol w:w="4929"/>
      </w:tblGrid>
      <w:tr>
        <w:trPr>
          <w:tblHeader w:val="true"/>
        </w:trPr>
        <w:tc>
          <w:tcPr>
            <w:tcW w:type="dxa" w:w="3969"/>
            <w:vAlign w:val="center"/>
            <w:shd w:fill="16324F"/>
          </w:tcPr>
          <w:p>
            <w:pPr>
              <w:spacing w:after="20" w:before="20" w:line="240" w:lineRule="auto"/>
              <w:jc w:val="center"/>
            </w:pPr>
            <w:r/>
            <w:r>
              <w:rPr>
                <w:rFonts w:ascii="Arial" w:hAnsi="Arial"/>
                <w:b/>
                <w:color w:val="FFFFFF"/>
                <w:sz w:val="16"/>
              </w:rPr>
              <w:t>Parâmetro</w:t>
            </w:r>
          </w:p>
        </w:tc>
        <w:tc>
          <w:tcPr>
            <w:tcW w:type="dxa" w:w="5102"/>
            <w:vAlign w:val="center"/>
            <w:shd w:fill="16324F"/>
          </w:tcPr>
          <w:p>
            <w:pPr>
              <w:spacing w:after="20" w:before="20" w:line="240" w:lineRule="auto"/>
              <w:jc w:val="center"/>
            </w:pPr>
            <w:r/>
            <w:r>
              <w:rPr>
                <w:rFonts w:ascii="Arial" w:hAnsi="Arial"/>
                <w:b/>
                <w:color w:val="FFFFFF"/>
                <w:sz w:val="16"/>
              </w:rPr>
              <w:t>Resultado</w:t>
            </w:r>
          </w:p>
        </w:tc>
      </w:tr>
      <w:tr>
        <w:tc>
          <w:tcPr>
            <w:tcW w:type="dxa" w:w="3969"/>
            <w:vAlign w:val="center"/>
          </w:tcPr>
          <w:p>
            <w:pPr>
              <w:spacing w:after="20" w:before="20" w:line="240" w:lineRule="auto"/>
            </w:pPr>
            <w:r/>
            <w:r>
              <w:rPr>
                <w:rFonts w:ascii="Arial" w:hAnsi="Arial"/>
                <w:b w:val="0"/>
                <w:color w:val="202A33"/>
                <w:sz w:val="16"/>
              </w:rPr>
              <w:t>Vento de cálculo</w:t>
            </w:r>
          </w:p>
        </w:tc>
        <w:tc>
          <w:tcPr>
            <w:tcW w:type="dxa" w:w="5102"/>
            <w:vAlign w:val="center"/>
          </w:tcPr>
          <w:p>
            <w:pPr>
              <w:spacing w:after="20" w:before="20" w:line="240" w:lineRule="auto"/>
            </w:pPr>
            <w:r/>
            <w:r>
              <w:rPr>
                <w:rFonts w:ascii="Arial" w:hAnsi="Arial"/>
                <w:b w:val="0"/>
                <w:color w:val="202A33"/>
                <w:sz w:val="16"/>
              </w:rPr>
              <w:t>C2: 0,84·V1; 67,2 kN por nível</w:t>
            </w:r>
          </w:p>
        </w:tc>
      </w:tr>
      <w:tr>
        <w:tc>
          <w:tcPr>
            <w:tcW w:type="dxa" w:w="3969"/>
            <w:vAlign w:val="center"/>
            <w:shd w:fill="F4F7F9"/>
          </w:tcPr>
          <w:p>
            <w:pPr>
              <w:spacing w:after="20" w:before="20" w:line="240" w:lineRule="auto"/>
            </w:pPr>
            <w:r/>
            <w:r>
              <w:rPr>
                <w:rFonts w:ascii="Arial" w:hAnsi="Arial"/>
                <w:b w:val="0"/>
                <w:color w:val="202A33"/>
                <w:sz w:val="16"/>
              </w:rPr>
              <w:t>Desaprumo</w:t>
            </w:r>
          </w:p>
        </w:tc>
        <w:tc>
          <w:tcPr>
            <w:tcW w:type="dxa" w:w="5102"/>
            <w:vAlign w:val="center"/>
            <w:shd w:fill="F4F7F9"/>
          </w:tcPr>
          <w:p>
            <w:pPr>
              <w:spacing w:after="20" w:before="20" w:line="240" w:lineRule="auto"/>
            </w:pPr>
            <w:r/>
            <w:r>
              <w:rPr>
                <w:rFonts w:ascii="Arial" w:hAnsi="Arial"/>
                <w:b w:val="0"/>
                <w:color w:val="202A33"/>
                <w:sz w:val="16"/>
              </w:rPr>
              <w:t>2,357 mrad</w:t>
            </w:r>
          </w:p>
        </w:tc>
      </w:tr>
      <w:tr>
        <w:tc>
          <w:tcPr>
            <w:tcW w:type="dxa" w:w="3969"/>
            <w:vAlign w:val="center"/>
          </w:tcPr>
          <w:p>
            <w:pPr>
              <w:spacing w:after="20" w:before="20" w:line="240" w:lineRule="auto"/>
            </w:pPr>
            <w:r/>
            <w:r>
              <w:rPr>
                <w:rFonts w:ascii="Arial" w:hAnsi="Arial"/>
                <w:b w:val="0"/>
                <w:color w:val="202A33"/>
                <w:sz w:val="16"/>
              </w:rPr>
              <w:t>Carga vertical total</w:t>
            </w:r>
          </w:p>
        </w:tc>
        <w:tc>
          <w:tcPr>
            <w:tcW w:type="dxa" w:w="5102"/>
            <w:vAlign w:val="center"/>
          </w:tcPr>
          <w:p>
            <w:pPr>
              <w:spacing w:after="20" w:before="20" w:line="240" w:lineRule="auto"/>
            </w:pPr>
            <w:r/>
            <w:r>
              <w:rPr>
                <w:rFonts w:ascii="Arial" w:hAnsi="Arial"/>
                <w:b w:val="0"/>
                <w:color w:val="202A33"/>
                <w:sz w:val="16"/>
              </w:rPr>
              <w:t>3.880,800 kN</w:t>
            </w:r>
          </w:p>
        </w:tc>
      </w:tr>
      <w:tr>
        <w:tc>
          <w:tcPr>
            <w:tcW w:type="dxa" w:w="3969"/>
            <w:vAlign w:val="center"/>
            <w:shd w:fill="F4F7F9"/>
          </w:tcPr>
          <w:p>
            <w:pPr>
              <w:spacing w:after="20" w:before="20" w:line="240" w:lineRule="auto"/>
            </w:pPr>
            <w:r/>
            <w:r>
              <w:rPr>
                <w:rFonts w:ascii="Arial" w:hAnsi="Arial"/>
                <w:b w:val="0"/>
                <w:color w:val="202A33"/>
                <w:sz w:val="16"/>
              </w:rPr>
              <w:t>M1,tot,d</w:t>
            </w:r>
          </w:p>
        </w:tc>
        <w:tc>
          <w:tcPr>
            <w:tcW w:type="dxa" w:w="5102"/>
            <w:vAlign w:val="center"/>
            <w:shd w:fill="F4F7F9"/>
          </w:tcPr>
          <w:p>
            <w:pPr>
              <w:spacing w:after="20" w:before="20" w:line="240" w:lineRule="auto"/>
            </w:pPr>
            <w:r/>
            <w:r>
              <w:rPr>
                <w:rFonts w:ascii="Arial" w:hAnsi="Arial"/>
                <w:b w:val="0"/>
                <w:color w:val="202A33"/>
                <w:sz w:val="16"/>
              </w:rPr>
              <w:t>2.521,124 kN·m</w:t>
            </w:r>
          </w:p>
        </w:tc>
      </w:tr>
      <w:tr>
        <w:tc>
          <w:tcPr>
            <w:tcW w:type="dxa" w:w="3969"/>
            <w:vAlign w:val="center"/>
          </w:tcPr>
          <w:p>
            <w:pPr>
              <w:spacing w:after="20" w:before="20" w:line="240" w:lineRule="auto"/>
            </w:pPr>
            <w:r/>
            <w:r>
              <w:rPr>
                <w:rFonts w:ascii="Arial" w:hAnsi="Arial"/>
                <w:b w:val="0"/>
                <w:color w:val="202A33"/>
                <w:sz w:val="16"/>
              </w:rPr>
              <w:t>ΔMtot,d</w:t>
            </w:r>
          </w:p>
        </w:tc>
        <w:tc>
          <w:tcPr>
            <w:tcW w:type="dxa" w:w="5102"/>
            <w:vAlign w:val="center"/>
          </w:tcPr>
          <w:p>
            <w:pPr>
              <w:spacing w:after="20" w:before="20" w:line="240" w:lineRule="auto"/>
            </w:pPr>
            <w:r/>
            <w:r>
              <w:rPr>
                <w:rFonts w:ascii="Arial" w:hAnsi="Arial"/>
                <w:b w:val="0"/>
                <w:color w:val="202A33"/>
                <w:sz w:val="16"/>
              </w:rPr>
              <w:t>2.128,741 kN·m</w:t>
            </w:r>
          </w:p>
        </w:tc>
      </w:tr>
      <w:tr>
        <w:tc>
          <w:tcPr>
            <w:tcW w:type="dxa" w:w="3969"/>
            <w:vAlign w:val="center"/>
            <w:shd w:fill="F4F7F9"/>
          </w:tcPr>
          <w:p>
            <w:pPr>
              <w:spacing w:after="20" w:before="20" w:line="240" w:lineRule="auto"/>
            </w:pPr>
            <w:r/>
            <w:r>
              <w:rPr>
                <w:rFonts w:ascii="Arial" w:hAnsi="Arial"/>
                <w:b w:val="0"/>
                <w:color w:val="202A33"/>
                <w:sz w:val="16"/>
              </w:rPr>
              <w:t>ΔM/M1</w:t>
            </w:r>
          </w:p>
        </w:tc>
        <w:tc>
          <w:tcPr>
            <w:tcW w:type="dxa" w:w="5102"/>
            <w:vAlign w:val="center"/>
            <w:shd w:fill="F4F7F9"/>
          </w:tcPr>
          <w:p>
            <w:pPr>
              <w:spacing w:after="20" w:before="20" w:line="240" w:lineRule="auto"/>
            </w:pPr>
            <w:r/>
            <w:r>
              <w:rPr>
                <w:rFonts w:ascii="Arial" w:hAnsi="Arial"/>
                <w:b w:val="0"/>
                <w:color w:val="202A33"/>
                <w:sz w:val="16"/>
              </w:rPr>
              <w:t>0,844362</w:t>
            </w:r>
          </w:p>
        </w:tc>
      </w:tr>
      <w:tr>
        <w:tc>
          <w:tcPr>
            <w:tcW w:type="dxa" w:w="3969"/>
            <w:vAlign w:val="center"/>
          </w:tcPr>
          <w:p>
            <w:pPr>
              <w:spacing w:after="20" w:before="20" w:line="240" w:lineRule="auto"/>
            </w:pPr>
            <w:r/>
            <w:r>
              <w:rPr>
                <w:rFonts w:ascii="Arial" w:hAnsi="Arial"/>
                <w:b w:val="0"/>
                <w:color w:val="202A33"/>
                <w:sz w:val="16"/>
              </w:rPr>
              <w:t>γz</w:t>
            </w:r>
          </w:p>
        </w:tc>
        <w:tc>
          <w:tcPr>
            <w:tcW w:type="dxa" w:w="5102"/>
            <w:vAlign w:val="center"/>
          </w:tcPr>
          <w:p>
            <w:pPr>
              <w:spacing w:after="20" w:before="20" w:line="240" w:lineRule="auto"/>
            </w:pPr>
            <w:r/>
            <w:r>
              <w:rPr>
                <w:rFonts w:ascii="Arial" w:hAnsi="Arial"/>
                <w:b w:val="0"/>
                <w:color w:val="202A33"/>
                <w:sz w:val="16"/>
              </w:rPr>
              <w:t>6,425156</w:t>
            </w:r>
          </w:p>
        </w:tc>
      </w:tr>
      <w:tr>
        <w:tc>
          <w:tcPr>
            <w:tcW w:type="dxa" w:w="3969"/>
            <w:vAlign w:val="center"/>
            <w:shd w:fill="F4F7F9"/>
          </w:tcPr>
          <w:p>
            <w:pPr>
              <w:spacing w:after="20" w:before="20" w:line="240" w:lineRule="auto"/>
            </w:pPr>
            <w:r/>
            <w:r>
              <w:rPr>
                <w:rFonts w:ascii="Arial" w:hAnsi="Arial"/>
                <w:b w:val="0"/>
                <w:color w:val="202A33"/>
                <w:sz w:val="16"/>
              </w:rPr>
              <w:t>λcr modal</w:t>
            </w:r>
          </w:p>
        </w:tc>
        <w:tc>
          <w:tcPr>
            <w:tcW w:type="dxa" w:w="5102"/>
            <w:vAlign w:val="center"/>
            <w:shd w:fill="F4F7F9"/>
          </w:tcPr>
          <w:p>
            <w:pPr>
              <w:spacing w:after="20" w:before="20" w:line="240" w:lineRule="auto"/>
            </w:pPr>
            <w:r/>
            <w:r>
              <w:rPr>
                <w:rFonts w:ascii="Arial" w:hAnsi="Arial"/>
                <w:b w:val="0"/>
                <w:color w:val="202A33"/>
                <w:sz w:val="16"/>
              </w:rPr>
              <w:t>1,025036</w:t>
            </w:r>
          </w:p>
        </w:tc>
      </w:tr>
      <w:tr>
        <w:tc>
          <w:tcPr>
            <w:tcW w:type="dxa" w:w="3969"/>
            <w:vAlign w:val="center"/>
          </w:tcPr>
          <w:p>
            <w:pPr>
              <w:spacing w:after="20" w:before="20" w:line="240" w:lineRule="auto"/>
            </w:pPr>
            <w:r/>
            <w:r>
              <w:rPr>
                <w:rFonts w:ascii="Arial" w:hAnsi="Arial"/>
                <w:b w:val="0"/>
                <w:color w:val="202A33"/>
                <w:sz w:val="16"/>
              </w:rPr>
              <w:t>β de Hogeslag</w:t>
            </w:r>
          </w:p>
        </w:tc>
        <w:tc>
          <w:tcPr>
            <w:tcW w:type="dxa" w:w="5102"/>
            <w:vAlign w:val="center"/>
          </w:tcPr>
          <w:p>
            <w:pPr>
              <w:spacing w:after="20" w:before="20" w:line="240" w:lineRule="auto"/>
            </w:pPr>
            <w:r/>
            <w:r>
              <w:rPr>
                <w:rFonts w:ascii="Arial" w:hAnsi="Arial"/>
                <w:b w:val="0"/>
                <w:color w:val="202A33"/>
                <w:sz w:val="16"/>
              </w:rPr>
              <w:t>0,468</w:t>
            </w:r>
          </w:p>
        </w:tc>
      </w:tr>
      <w:tr>
        <w:tc>
          <w:tcPr>
            <w:tcW w:type="dxa" w:w="3969"/>
            <w:vAlign w:val="center"/>
            <w:shd w:fill="F4F7F9"/>
          </w:tcPr>
          <w:p>
            <w:pPr>
              <w:spacing w:after="20" w:before="20" w:line="240" w:lineRule="auto"/>
            </w:pPr>
            <w:r/>
            <w:r>
              <w:rPr>
                <w:rFonts w:ascii="Arial" w:hAnsi="Arial"/>
                <w:b w:val="0"/>
                <w:color w:val="202A33"/>
                <w:sz w:val="16"/>
              </w:rPr>
              <w:t>γH</w:t>
            </w:r>
          </w:p>
        </w:tc>
        <w:tc>
          <w:tcPr>
            <w:tcW w:type="dxa" w:w="5102"/>
            <w:vAlign w:val="center"/>
            <w:shd w:fill="F4F7F9"/>
          </w:tcPr>
          <w:p>
            <w:pPr>
              <w:spacing w:after="20" w:before="20" w:line="240" w:lineRule="auto"/>
            </w:pPr>
            <w:r/>
            <w:r>
              <w:rPr>
                <w:rFonts w:ascii="Arial" w:hAnsi="Arial"/>
                <w:b w:val="0"/>
                <w:color w:val="202A33"/>
                <w:sz w:val="16"/>
              </w:rPr>
              <w:t>Não definido pela expressão, pois β ≤ 1</w:t>
            </w:r>
          </w:p>
        </w:tc>
      </w:tr>
    </w:tbl>
    <w:p>
      <w:pPr>
        <w:spacing w:after="20"/>
      </w:pPr>
    </w:p>
    <w:p>
      <w:r>
        <w:t>O coeficiente γz calculado é elevado, pois a razão ΔM/M1 é aproximadamente 0,844. Pela expressão fornecida no enunciado, esse resultado indica grande sensibilidade aos efeitos de segunda ordem. Como as estruturas estudadas têm menos de quatro pavimentos, o próprio enunciado limita o uso de γz a uma comparação didática.</w:t>
      </w:r>
    </w:p>
    <w:p>
      <w:r>
        <w:t>A referência modal resulta em λcr = 1,025, valor próximo da unidade. Isso indica que, no modelo linearizado e nas hipóteses do cenário detalhado, o estado de carregamento está próximo do fator crítico elástico indicado pela análise de autovalores. A matriz reduzida permanece positiva definida, mas essa proximidade demanda cautela.</w:t>
      </w:r>
    </w:p>
    <w:p>
      <w:pPr>
        <w:pStyle w:val="Heading2"/>
      </w:pPr>
      <w:r>
        <w:t>5.6 Deslocamentos do cenário detalhado</w:t>
      </w:r>
    </w:p>
    <w:tbl>
      <w:tblPr>
        <w:tblStyle w:val="TableGrid"/>
        <w:tblW w:type="auto" w:w="0"/>
        <w:jc w:val="center"/>
        <w:tblLayout w:type="fixed"/>
        <w:tblLook w:firstColumn="1" w:firstRow="1" w:lastColumn="0" w:lastRow="0" w:noHBand="0" w:noVBand="1" w:val="04A0"/>
      </w:tblPr>
      <w:tblGrid>
        <w:gridCol w:w="1643"/>
        <w:gridCol w:w="1643"/>
        <w:gridCol w:w="1643"/>
        <w:gridCol w:w="1643"/>
        <w:gridCol w:w="1643"/>
        <w:gridCol w:w="1643"/>
      </w:tblGrid>
      <w:tr>
        <w:trPr>
          <w:tblHeader w:val="true"/>
        </w:trPr>
        <w:tc>
          <w:tcPr>
            <w:tcW w:type="dxa" w:w="794"/>
            <w:vAlign w:val="center"/>
            <w:shd w:fill="16324F"/>
          </w:tcPr>
          <w:p>
            <w:pPr>
              <w:spacing w:after="20" w:before="20" w:line="240" w:lineRule="auto"/>
              <w:jc w:val="center"/>
            </w:pPr>
            <w:r/>
            <w:r>
              <w:rPr>
                <w:rFonts w:ascii="Arial" w:hAnsi="Arial"/>
                <w:b/>
                <w:color w:val="FFFFFF"/>
                <w:sz w:val="15"/>
              </w:rPr>
              <w:t>Nível</w:t>
            </w:r>
          </w:p>
        </w:tc>
        <w:tc>
          <w:tcPr>
            <w:tcW w:type="dxa" w:w="1020"/>
            <w:vAlign w:val="center"/>
            <w:shd w:fill="16324F"/>
          </w:tcPr>
          <w:p>
            <w:pPr>
              <w:spacing w:after="20" w:before="20" w:line="240" w:lineRule="auto"/>
              <w:jc w:val="center"/>
            </w:pPr>
            <w:r/>
            <w:r>
              <w:rPr>
                <w:rFonts w:ascii="Arial" w:hAnsi="Arial"/>
                <w:b/>
                <w:color w:val="FFFFFF"/>
                <w:sz w:val="15"/>
              </w:rPr>
              <w:t>Cota (m)</w:t>
            </w:r>
          </w:p>
        </w:tc>
        <w:tc>
          <w:tcPr>
            <w:tcW w:type="dxa" w:w="1701"/>
            <w:vAlign w:val="center"/>
            <w:shd w:fill="16324F"/>
          </w:tcPr>
          <w:p>
            <w:pPr>
              <w:spacing w:after="20" w:before="20" w:line="240" w:lineRule="auto"/>
              <w:jc w:val="center"/>
            </w:pPr>
            <w:r/>
            <w:r>
              <w:rPr>
                <w:rFonts w:ascii="Arial" w:hAnsi="Arial"/>
                <w:b/>
                <w:color w:val="FFFFFF"/>
                <w:sz w:val="15"/>
              </w:rPr>
              <w:t>u de 1ª ordem (mm)</w:t>
            </w:r>
          </w:p>
        </w:tc>
        <w:tc>
          <w:tcPr>
            <w:tcW w:type="dxa" w:w="1701"/>
            <w:vAlign w:val="center"/>
            <w:shd w:fill="16324F"/>
          </w:tcPr>
          <w:p>
            <w:pPr>
              <w:spacing w:after="20" w:before="20" w:line="240" w:lineRule="auto"/>
              <w:jc w:val="center"/>
            </w:pPr>
            <w:r/>
            <w:r>
              <w:rPr>
                <w:rFonts w:ascii="Arial" w:hAnsi="Arial"/>
                <w:b/>
                <w:color w:val="FFFFFF"/>
                <w:sz w:val="15"/>
              </w:rPr>
              <w:t>Deriva 1ª ordem (mm)</w:t>
            </w:r>
          </w:p>
        </w:tc>
        <w:tc>
          <w:tcPr>
            <w:tcW w:type="dxa" w:w="1701"/>
            <w:vAlign w:val="center"/>
            <w:shd w:fill="16324F"/>
          </w:tcPr>
          <w:p>
            <w:pPr>
              <w:spacing w:after="20" w:before="20" w:line="240" w:lineRule="auto"/>
              <w:jc w:val="center"/>
            </w:pPr>
            <w:r/>
            <w:r>
              <w:rPr>
                <w:rFonts w:ascii="Arial" w:hAnsi="Arial"/>
                <w:b/>
                <w:color w:val="FFFFFF"/>
                <w:sz w:val="15"/>
              </w:rPr>
              <w:t>u 2ª ordem (mm)</w:t>
            </w:r>
          </w:p>
        </w:tc>
        <w:tc>
          <w:tcPr>
            <w:tcW w:type="dxa" w:w="1871"/>
            <w:vAlign w:val="center"/>
            <w:shd w:fill="16324F"/>
          </w:tcPr>
          <w:p>
            <w:pPr>
              <w:spacing w:after="20" w:before="20" w:line="240" w:lineRule="auto"/>
              <w:jc w:val="center"/>
            </w:pPr>
            <w:r/>
            <w:r>
              <w:rPr>
                <w:rFonts w:ascii="Arial" w:hAnsi="Arial"/>
                <w:b/>
                <w:color w:val="FFFFFF"/>
                <w:sz w:val="15"/>
              </w:rPr>
              <w:t>Deriva 2ª ordem (mm)</w:t>
            </w:r>
          </w:p>
        </w:tc>
      </w:tr>
      <w:tr>
        <w:tc>
          <w:tcPr>
            <w:tcW w:type="dxa" w:w="794"/>
            <w:vAlign w:val="center"/>
          </w:tcPr>
          <w:p>
            <w:pPr>
              <w:spacing w:after="20" w:before="20" w:line="240" w:lineRule="auto"/>
            </w:pPr>
            <w:r/>
            <w:r>
              <w:rPr>
                <w:rFonts w:ascii="Arial" w:hAnsi="Arial"/>
                <w:b w:val="0"/>
                <w:color w:val="202A33"/>
                <w:sz w:val="15"/>
              </w:rPr>
              <w:t>1</w:t>
            </w:r>
          </w:p>
        </w:tc>
        <w:tc>
          <w:tcPr>
            <w:tcW w:type="dxa" w:w="1020"/>
            <w:vAlign w:val="center"/>
          </w:tcPr>
          <w:p>
            <w:pPr>
              <w:spacing w:after="20" w:before="20" w:line="240" w:lineRule="auto"/>
            </w:pPr>
            <w:r/>
            <w:r>
              <w:rPr>
                <w:rFonts w:ascii="Arial" w:hAnsi="Arial"/>
                <w:b w:val="0"/>
                <w:color w:val="202A33"/>
                <w:sz w:val="15"/>
              </w:rPr>
              <w:t>6</w:t>
            </w:r>
          </w:p>
        </w:tc>
        <w:tc>
          <w:tcPr>
            <w:tcW w:type="dxa" w:w="1701"/>
            <w:vAlign w:val="center"/>
          </w:tcPr>
          <w:p>
            <w:pPr>
              <w:spacing w:after="20" w:before="20" w:line="240" w:lineRule="auto"/>
            </w:pPr>
            <w:r/>
            <w:r>
              <w:rPr>
                <w:rFonts w:ascii="Arial" w:hAnsi="Arial"/>
                <w:b w:val="0"/>
                <w:color w:val="202A33"/>
                <w:sz w:val="15"/>
              </w:rPr>
              <w:t>198,064</w:t>
            </w:r>
          </w:p>
        </w:tc>
        <w:tc>
          <w:tcPr>
            <w:tcW w:type="dxa" w:w="1701"/>
            <w:vAlign w:val="center"/>
          </w:tcPr>
          <w:p>
            <w:pPr>
              <w:spacing w:after="20" w:before="20" w:line="240" w:lineRule="auto"/>
            </w:pPr>
            <w:r/>
            <w:r>
              <w:rPr>
                <w:rFonts w:ascii="Arial" w:hAnsi="Arial"/>
                <w:b w:val="0"/>
                <w:color w:val="202A33"/>
                <w:sz w:val="15"/>
              </w:rPr>
              <w:t>198,064</w:t>
            </w:r>
          </w:p>
        </w:tc>
        <w:tc>
          <w:tcPr>
            <w:tcW w:type="dxa" w:w="1701"/>
            <w:vAlign w:val="center"/>
          </w:tcPr>
          <w:p>
            <w:pPr>
              <w:spacing w:after="20" w:before="20" w:line="240" w:lineRule="auto"/>
            </w:pPr>
            <w:r/>
            <w:r>
              <w:rPr>
                <w:rFonts w:ascii="Arial" w:hAnsi="Arial"/>
                <w:b w:val="0"/>
                <w:color w:val="202A33"/>
                <w:sz w:val="15"/>
              </w:rPr>
              <w:t>7.514,702</w:t>
            </w:r>
          </w:p>
        </w:tc>
        <w:tc>
          <w:tcPr>
            <w:tcW w:type="dxa" w:w="1871"/>
            <w:vAlign w:val="center"/>
          </w:tcPr>
          <w:p>
            <w:pPr>
              <w:spacing w:after="20" w:before="20" w:line="240" w:lineRule="auto"/>
            </w:pPr>
            <w:r/>
            <w:r>
              <w:rPr>
                <w:rFonts w:ascii="Arial" w:hAnsi="Arial"/>
                <w:b w:val="0"/>
                <w:color w:val="202A33"/>
                <w:sz w:val="15"/>
              </w:rPr>
              <w:t>7.514,702</w:t>
            </w:r>
          </w:p>
        </w:tc>
      </w:tr>
      <w:tr>
        <w:tc>
          <w:tcPr>
            <w:tcW w:type="dxa" w:w="794"/>
            <w:vAlign w:val="center"/>
            <w:shd w:fill="F4F7F9"/>
          </w:tcPr>
          <w:p>
            <w:pPr>
              <w:spacing w:after="20" w:before="20" w:line="240" w:lineRule="auto"/>
            </w:pPr>
            <w:r/>
            <w:r>
              <w:rPr>
                <w:rFonts w:ascii="Arial" w:hAnsi="Arial"/>
                <w:b w:val="0"/>
                <w:color w:val="202A33"/>
                <w:sz w:val="15"/>
              </w:rPr>
              <w:t>2</w:t>
            </w:r>
          </w:p>
        </w:tc>
        <w:tc>
          <w:tcPr>
            <w:tcW w:type="dxa" w:w="1020"/>
            <w:vAlign w:val="center"/>
            <w:shd w:fill="F4F7F9"/>
          </w:tcPr>
          <w:p>
            <w:pPr>
              <w:spacing w:after="20" w:before="20" w:line="240" w:lineRule="auto"/>
            </w:pPr>
            <w:r/>
            <w:r>
              <w:rPr>
                <w:rFonts w:ascii="Arial" w:hAnsi="Arial"/>
                <w:b w:val="0"/>
                <w:color w:val="202A33"/>
                <w:sz w:val="15"/>
              </w:rPr>
              <w:t>12</w:t>
            </w:r>
          </w:p>
        </w:tc>
        <w:tc>
          <w:tcPr>
            <w:tcW w:type="dxa" w:w="1701"/>
            <w:vAlign w:val="center"/>
            <w:shd w:fill="F4F7F9"/>
          </w:tcPr>
          <w:p>
            <w:pPr>
              <w:spacing w:after="20" w:before="20" w:line="240" w:lineRule="auto"/>
            </w:pPr>
            <w:r/>
            <w:r>
              <w:rPr>
                <w:rFonts w:ascii="Arial" w:hAnsi="Arial"/>
                <w:b w:val="0"/>
                <w:color w:val="202A33"/>
                <w:sz w:val="15"/>
              </w:rPr>
              <w:t>582,892</w:t>
            </w:r>
          </w:p>
        </w:tc>
        <w:tc>
          <w:tcPr>
            <w:tcW w:type="dxa" w:w="1701"/>
            <w:vAlign w:val="center"/>
            <w:shd w:fill="F4F7F9"/>
          </w:tcPr>
          <w:p>
            <w:pPr>
              <w:spacing w:after="20" w:before="20" w:line="240" w:lineRule="auto"/>
            </w:pPr>
            <w:r/>
            <w:r>
              <w:rPr>
                <w:rFonts w:ascii="Arial" w:hAnsi="Arial"/>
                <w:b w:val="0"/>
                <w:color w:val="202A33"/>
                <w:sz w:val="15"/>
              </w:rPr>
              <w:t>384,828</w:t>
            </w:r>
          </w:p>
        </w:tc>
        <w:tc>
          <w:tcPr>
            <w:tcW w:type="dxa" w:w="1701"/>
            <w:vAlign w:val="center"/>
            <w:shd w:fill="F4F7F9"/>
          </w:tcPr>
          <w:p>
            <w:pPr>
              <w:spacing w:after="20" w:before="20" w:line="240" w:lineRule="auto"/>
            </w:pPr>
            <w:r/>
            <w:r>
              <w:rPr>
                <w:rFonts w:ascii="Arial" w:hAnsi="Arial"/>
                <w:b w:val="0"/>
                <w:color w:val="202A33"/>
                <w:sz w:val="15"/>
              </w:rPr>
              <w:t>23.364,659</w:t>
            </w:r>
          </w:p>
        </w:tc>
        <w:tc>
          <w:tcPr>
            <w:tcW w:type="dxa" w:w="1871"/>
            <w:vAlign w:val="center"/>
            <w:shd w:fill="F4F7F9"/>
          </w:tcPr>
          <w:p>
            <w:pPr>
              <w:spacing w:after="20" w:before="20" w:line="240" w:lineRule="auto"/>
            </w:pPr>
            <w:r/>
            <w:r>
              <w:rPr>
                <w:rFonts w:ascii="Arial" w:hAnsi="Arial"/>
                <w:b w:val="0"/>
                <w:color w:val="202A33"/>
                <w:sz w:val="15"/>
              </w:rPr>
              <w:t>15.849,957</w:t>
            </w:r>
          </w:p>
        </w:tc>
      </w:tr>
      <w:tr>
        <w:tc>
          <w:tcPr>
            <w:tcW w:type="dxa" w:w="794"/>
            <w:vAlign w:val="center"/>
          </w:tcPr>
          <w:p>
            <w:pPr>
              <w:spacing w:after="20" w:before="20" w:line="240" w:lineRule="auto"/>
            </w:pPr>
            <w:r/>
            <w:r>
              <w:rPr>
                <w:rFonts w:ascii="Arial" w:hAnsi="Arial"/>
                <w:b w:val="0"/>
                <w:color w:val="202A33"/>
                <w:sz w:val="15"/>
              </w:rPr>
              <w:t>3</w:t>
            </w:r>
          </w:p>
        </w:tc>
        <w:tc>
          <w:tcPr>
            <w:tcW w:type="dxa" w:w="1020"/>
            <w:vAlign w:val="center"/>
          </w:tcPr>
          <w:p>
            <w:pPr>
              <w:spacing w:after="20" w:before="20" w:line="240" w:lineRule="auto"/>
            </w:pPr>
            <w:r/>
            <w:r>
              <w:rPr>
                <w:rFonts w:ascii="Arial" w:hAnsi="Arial"/>
                <w:b w:val="0"/>
                <w:color w:val="202A33"/>
                <w:sz w:val="15"/>
              </w:rPr>
              <w:t>18</w:t>
            </w:r>
          </w:p>
        </w:tc>
        <w:tc>
          <w:tcPr>
            <w:tcW w:type="dxa" w:w="1701"/>
            <w:vAlign w:val="center"/>
          </w:tcPr>
          <w:p>
            <w:pPr>
              <w:spacing w:after="20" w:before="20" w:line="240" w:lineRule="auto"/>
            </w:pPr>
            <w:r/>
            <w:r>
              <w:rPr>
                <w:rFonts w:ascii="Arial" w:hAnsi="Arial"/>
                <w:b w:val="0"/>
                <w:color w:val="202A33"/>
                <w:sz w:val="15"/>
              </w:rPr>
              <w:t>1.036,364</w:t>
            </w:r>
          </w:p>
        </w:tc>
        <w:tc>
          <w:tcPr>
            <w:tcW w:type="dxa" w:w="1701"/>
            <w:vAlign w:val="center"/>
          </w:tcPr>
          <w:p>
            <w:pPr>
              <w:spacing w:after="20" w:before="20" w:line="240" w:lineRule="auto"/>
            </w:pPr>
            <w:r/>
            <w:r>
              <w:rPr>
                <w:rFonts w:ascii="Arial" w:hAnsi="Arial"/>
                <w:b w:val="0"/>
                <w:color w:val="202A33"/>
                <w:sz w:val="15"/>
              </w:rPr>
              <w:t>453,472</w:t>
            </w:r>
          </w:p>
        </w:tc>
        <w:tc>
          <w:tcPr>
            <w:tcW w:type="dxa" w:w="1701"/>
            <w:vAlign w:val="center"/>
          </w:tcPr>
          <w:p>
            <w:pPr>
              <w:spacing w:after="20" w:before="20" w:line="240" w:lineRule="auto"/>
            </w:pPr>
            <w:r/>
            <w:r>
              <w:rPr>
                <w:rFonts w:ascii="Arial" w:hAnsi="Arial"/>
                <w:b w:val="0"/>
                <w:color w:val="202A33"/>
                <w:sz w:val="15"/>
              </w:rPr>
              <w:t>42.571,230</w:t>
            </w:r>
          </w:p>
        </w:tc>
        <w:tc>
          <w:tcPr>
            <w:tcW w:type="dxa" w:w="1871"/>
            <w:vAlign w:val="center"/>
          </w:tcPr>
          <w:p>
            <w:pPr>
              <w:spacing w:after="20" w:before="20" w:line="240" w:lineRule="auto"/>
            </w:pPr>
            <w:r/>
            <w:r>
              <w:rPr>
                <w:rFonts w:ascii="Arial" w:hAnsi="Arial"/>
                <w:b w:val="0"/>
                <w:color w:val="202A33"/>
                <w:sz w:val="15"/>
              </w:rPr>
              <w:t>19.206,571</w:t>
            </w:r>
          </w:p>
        </w:tc>
      </w:tr>
    </w:tbl>
    <w:p>
      <w:pPr>
        <w:spacing w:after="20"/>
      </w:pPr>
    </w:p>
    <w:p>
      <w:r>
        <w:t>Os deslocamentos de primeira ordem já são elevados em relação à altura do edifício. A solução de segunda ordem linearizada apresenta deslocamento no topo de aproximadamente 42,57 m para altura total de 18 m. Essa magnitude é incompatível com uma interpretação física direta de pequenas deformações e evidencia a extrema sensibilidade do sistema à proximidade da carga crítica. Embora a matriz seja positiva definida, o resultado de segunda ordem desse caso não deve ser apresentado como deslocamento de projeto ou comportamento realista da estrutura.</w:t>
      </w:r>
    </w:p>
    <w:tbl>
      <w:tblPr>
        <w:tblW w:type="auto" w:w="0"/>
        <w:jc w:val="center"/>
        <w:tblLayout w:type="fixed"/>
        <w:tblLook w:firstColumn="1" w:firstRow="1" w:lastColumn="0" w:lastRow="0" w:noHBand="0" w:noVBand="1" w:val="04A0"/>
      </w:tblPr>
      <w:tblGrid>
        <w:gridCol w:w="9354"/>
      </w:tblGrid>
      <w:tr>
        <w:tc>
          <w:tcPr>
            <w:tcW w:type="dxa" w:w="9859"/>
            <w:shd w:fill="EAF1F5"/>
          </w:tcPr>
          <w:p>
            <w:pPr>
              <w:spacing w:after="40"/>
            </w:pPr>
            <w:r/>
            <w:r>
              <w:rPr>
                <w:rFonts w:ascii="Arial" w:hAnsi="Arial"/>
                <w:b/>
                <w:color w:val="1F6E73"/>
                <w:sz w:val="20"/>
              </w:rPr>
              <w:t>Cuidado de interpretação</w:t>
              <w:br/>
            </w:r>
            <w:r>
              <w:rPr>
                <w:rFonts w:ascii="Arial" w:hAnsi="Arial"/>
                <w:sz w:val="18"/>
              </w:rPr>
              <w:t>A classificação “regular” atribuída pelo programa decorre de seus critérios numéricos de positividade e condicionamento. A análise do engenheiro deve considerar também a ordem de grandeza dos deslocamentos, a proximidade de λcr = 1 e a adequação cinemática da hipótese linearizada. Neste caso, a resposta de segunda ordem é apenas um alerta de sensibilidade do modelo.</w:t>
            </w:r>
          </w:p>
        </w:tc>
      </w:tr>
    </w:tbl>
    <w:p>
      <w:pPr>
        <w:spacing w:after="20"/>
      </w:pPr>
    </w:p>
    <w:p>
      <w:pPr>
        <w:pStyle w:val="Heading2"/>
      </w:pPr>
      <w:r>
        <w:t>5.7 Reações, forças normais e parâmetros de Hogeslag no caso detalhado</w:t>
      </w:r>
    </w:p>
    <w:tbl>
      <w:tblPr>
        <w:tblStyle w:val="TableGrid"/>
        <w:tblW w:type="auto" w:w="0"/>
        <w:jc w:val="center"/>
        <w:tblLayout w:type="fixed"/>
        <w:tblLook w:firstColumn="1" w:firstRow="1" w:lastColumn="0" w:lastRow="0" w:noHBand="0" w:noVBand="1" w:val="04A0"/>
      </w:tblPr>
      <w:tblGrid>
        <w:gridCol w:w="1972"/>
        <w:gridCol w:w="1972"/>
        <w:gridCol w:w="1972"/>
        <w:gridCol w:w="1972"/>
        <w:gridCol w:w="1972"/>
      </w:tblGrid>
      <w:tr>
        <w:trPr>
          <w:tblHeader w:val="true"/>
        </w:trPr>
        <w:tc>
          <w:tcPr>
            <w:tcW w:type="dxa" w:w="1134"/>
            <w:vAlign w:val="center"/>
            <w:shd w:fill="16324F"/>
          </w:tcPr>
          <w:p>
            <w:pPr>
              <w:spacing w:after="20" w:before="20" w:line="240" w:lineRule="auto"/>
              <w:jc w:val="center"/>
            </w:pPr>
            <w:r/>
            <w:r>
              <w:rPr>
                <w:rFonts w:ascii="Arial" w:hAnsi="Arial"/>
                <w:b/>
                <w:color w:val="FFFFFF"/>
                <w:sz w:val="16"/>
              </w:rPr>
              <w:t>Pilar</w:t>
            </w:r>
          </w:p>
        </w:tc>
        <w:tc>
          <w:tcPr>
            <w:tcW w:type="dxa" w:w="1701"/>
            <w:vAlign w:val="center"/>
            <w:shd w:fill="16324F"/>
          </w:tcPr>
          <w:p>
            <w:pPr>
              <w:spacing w:after="20" w:before="20" w:line="240" w:lineRule="auto"/>
              <w:jc w:val="center"/>
            </w:pPr>
            <w:r/>
            <w:r>
              <w:rPr>
                <w:rFonts w:ascii="Arial" w:hAnsi="Arial"/>
                <w:b/>
                <w:color w:val="FFFFFF"/>
                <w:sz w:val="16"/>
              </w:rPr>
              <w:t>V base (kN)</w:t>
            </w:r>
          </w:p>
        </w:tc>
        <w:tc>
          <w:tcPr>
            <w:tcW w:type="dxa" w:w="1984"/>
            <w:vAlign w:val="center"/>
            <w:shd w:fill="16324F"/>
          </w:tcPr>
          <w:p>
            <w:pPr>
              <w:spacing w:after="20" w:before="20" w:line="240" w:lineRule="auto"/>
              <w:jc w:val="center"/>
            </w:pPr>
            <w:r/>
            <w:r>
              <w:rPr>
                <w:rFonts w:ascii="Arial" w:hAnsi="Arial"/>
                <w:b/>
                <w:color w:val="FFFFFF"/>
                <w:sz w:val="16"/>
              </w:rPr>
              <w:t>M base (kN·m)</w:t>
            </w:r>
          </w:p>
        </w:tc>
        <w:tc>
          <w:tcPr>
            <w:tcW w:type="dxa" w:w="1701"/>
            <w:vAlign w:val="center"/>
            <w:shd w:fill="16324F"/>
          </w:tcPr>
          <w:p>
            <w:pPr>
              <w:spacing w:after="20" w:before="20" w:line="240" w:lineRule="auto"/>
              <w:jc w:val="center"/>
            </w:pPr>
            <w:r/>
            <w:r>
              <w:rPr>
                <w:rFonts w:ascii="Arial" w:hAnsi="Arial"/>
                <w:b/>
                <w:color w:val="FFFFFF"/>
                <w:sz w:val="16"/>
              </w:rPr>
              <w:t>N base (kN)</w:t>
            </w:r>
          </w:p>
        </w:tc>
        <w:tc>
          <w:tcPr>
            <w:tcW w:type="dxa" w:w="1984"/>
            <w:vAlign w:val="center"/>
            <w:shd w:fill="16324F"/>
          </w:tcPr>
          <w:p>
            <w:pPr>
              <w:spacing w:after="20" w:before="20" w:line="240" w:lineRule="auto"/>
              <w:jc w:val="center"/>
            </w:pPr>
            <w:r/>
            <w:r>
              <w:rPr>
                <w:rFonts w:ascii="Arial" w:hAnsi="Arial"/>
                <w:b/>
                <w:color w:val="FFFFFF"/>
                <w:sz w:val="16"/>
              </w:rPr>
              <w:t>Rotação da base (rad)</w:t>
            </w:r>
          </w:p>
        </w:tc>
      </w:tr>
      <w:tr>
        <w:tc>
          <w:tcPr>
            <w:tcW w:type="dxa" w:w="1134"/>
            <w:vAlign w:val="center"/>
          </w:tcPr>
          <w:p>
            <w:pPr>
              <w:spacing w:after="20" w:before="20" w:line="240" w:lineRule="auto"/>
            </w:pPr>
            <w:r/>
            <w:r>
              <w:rPr>
                <w:rFonts w:ascii="Arial" w:hAnsi="Arial"/>
                <w:b w:val="0"/>
                <w:color w:val="202A33"/>
                <w:sz w:val="16"/>
              </w:rPr>
              <w:t>1</w:t>
            </w:r>
          </w:p>
        </w:tc>
        <w:tc>
          <w:tcPr>
            <w:tcW w:type="dxa" w:w="1701"/>
            <w:vAlign w:val="center"/>
          </w:tcPr>
          <w:p>
            <w:pPr>
              <w:spacing w:after="20" w:before="20" w:line="240" w:lineRule="auto"/>
            </w:pPr>
            <w:r/>
            <w:r>
              <w:rPr>
                <w:rFonts w:ascii="Arial" w:hAnsi="Arial"/>
                <w:b w:val="0"/>
                <w:color w:val="202A33"/>
                <w:sz w:val="16"/>
              </w:rPr>
              <w:t>−59,194</w:t>
            </w:r>
          </w:p>
        </w:tc>
        <w:tc>
          <w:tcPr>
            <w:tcW w:type="dxa" w:w="1984"/>
            <w:vAlign w:val="center"/>
          </w:tcPr>
          <w:p>
            <w:pPr>
              <w:spacing w:after="20" w:before="20" w:line="240" w:lineRule="auto"/>
            </w:pPr>
            <w:r/>
            <w:r>
              <w:rPr>
                <w:rFonts w:ascii="Arial" w:hAnsi="Arial"/>
                <w:b w:val="0"/>
                <w:color w:val="202A33"/>
                <w:sz w:val="16"/>
              </w:rPr>
              <w:t>−640,413</w:t>
            </w:r>
          </w:p>
        </w:tc>
        <w:tc>
          <w:tcPr>
            <w:tcW w:type="dxa" w:w="1701"/>
            <w:vAlign w:val="center"/>
          </w:tcPr>
          <w:p>
            <w:pPr>
              <w:spacing w:after="20" w:before="20" w:line="240" w:lineRule="auto"/>
            </w:pPr>
            <w:r/>
            <w:r>
              <w:rPr>
                <w:rFonts w:ascii="Arial" w:hAnsi="Arial"/>
                <w:b w:val="0"/>
                <w:color w:val="202A33"/>
                <w:sz w:val="16"/>
              </w:rPr>
              <w:t>592,200</w:t>
            </w:r>
          </w:p>
        </w:tc>
        <w:tc>
          <w:tcPr>
            <w:tcW w:type="dxa" w:w="1984"/>
            <w:vAlign w:val="center"/>
          </w:tcPr>
          <w:p>
            <w:pPr>
              <w:spacing w:after="20" w:before="20" w:line="240" w:lineRule="auto"/>
            </w:pPr>
            <w:r/>
            <w:r>
              <w:rPr>
                <w:rFonts w:ascii="Arial" w:hAnsi="Arial"/>
                <w:b w:val="0"/>
                <w:color w:val="202A33"/>
                <w:sz w:val="16"/>
              </w:rPr>
              <w:t>0,008539</w:t>
            </w:r>
          </w:p>
        </w:tc>
      </w:tr>
      <w:tr>
        <w:tc>
          <w:tcPr>
            <w:tcW w:type="dxa" w:w="1134"/>
            <w:vAlign w:val="center"/>
            <w:shd w:fill="F4F7F9"/>
          </w:tcPr>
          <w:p>
            <w:pPr>
              <w:spacing w:after="20" w:before="20" w:line="240" w:lineRule="auto"/>
            </w:pPr>
            <w:r/>
            <w:r>
              <w:rPr>
                <w:rFonts w:ascii="Arial" w:hAnsi="Arial"/>
                <w:b w:val="0"/>
                <w:color w:val="202A33"/>
                <w:sz w:val="16"/>
              </w:rPr>
              <w:t>2</w:t>
            </w:r>
          </w:p>
        </w:tc>
        <w:tc>
          <w:tcPr>
            <w:tcW w:type="dxa" w:w="1701"/>
            <w:vAlign w:val="center"/>
            <w:shd w:fill="F4F7F9"/>
          </w:tcPr>
          <w:p>
            <w:pPr>
              <w:spacing w:after="20" w:before="20" w:line="240" w:lineRule="auto"/>
            </w:pPr>
            <w:r/>
            <w:r>
              <w:rPr>
                <w:rFonts w:ascii="Arial" w:hAnsi="Arial"/>
                <w:b w:val="0"/>
                <w:color w:val="202A33"/>
                <w:sz w:val="16"/>
              </w:rPr>
              <w:t>−55,607</w:t>
            </w:r>
          </w:p>
        </w:tc>
        <w:tc>
          <w:tcPr>
            <w:tcW w:type="dxa" w:w="1984"/>
            <w:vAlign w:val="center"/>
            <w:shd w:fill="F4F7F9"/>
          </w:tcPr>
          <w:p>
            <w:pPr>
              <w:spacing w:after="20" w:before="20" w:line="240" w:lineRule="auto"/>
            </w:pPr>
            <w:r/>
            <w:r>
              <w:rPr>
                <w:rFonts w:ascii="Arial" w:hAnsi="Arial"/>
                <w:b w:val="0"/>
                <w:color w:val="202A33"/>
                <w:sz w:val="16"/>
              </w:rPr>
              <w:t>−634,827</w:t>
            </w:r>
          </w:p>
        </w:tc>
        <w:tc>
          <w:tcPr>
            <w:tcW w:type="dxa" w:w="1701"/>
            <w:vAlign w:val="center"/>
            <w:shd w:fill="F4F7F9"/>
          </w:tcPr>
          <w:p>
            <w:pPr>
              <w:spacing w:after="20" w:before="20" w:line="240" w:lineRule="auto"/>
            </w:pPr>
            <w:r/>
            <w:r>
              <w:rPr>
                <w:rFonts w:ascii="Arial" w:hAnsi="Arial"/>
                <w:b w:val="0"/>
                <w:color w:val="202A33"/>
                <w:sz w:val="16"/>
              </w:rPr>
              <w:t>1.260,000</w:t>
            </w:r>
          </w:p>
        </w:tc>
        <w:tc>
          <w:tcPr>
            <w:tcW w:type="dxa" w:w="1984"/>
            <w:vAlign w:val="center"/>
            <w:shd w:fill="F4F7F9"/>
          </w:tcPr>
          <w:p>
            <w:pPr>
              <w:spacing w:after="20" w:before="20" w:line="240" w:lineRule="auto"/>
            </w:pPr>
            <w:r/>
            <w:r>
              <w:rPr>
                <w:rFonts w:ascii="Arial" w:hAnsi="Arial"/>
                <w:b w:val="0"/>
                <w:color w:val="202A33"/>
                <w:sz w:val="16"/>
              </w:rPr>
              <w:t>0,008464</w:t>
            </w:r>
          </w:p>
        </w:tc>
      </w:tr>
      <w:tr>
        <w:tc>
          <w:tcPr>
            <w:tcW w:type="dxa" w:w="1134"/>
            <w:vAlign w:val="center"/>
          </w:tcPr>
          <w:p>
            <w:pPr>
              <w:spacing w:after="20" w:before="20" w:line="240" w:lineRule="auto"/>
            </w:pPr>
            <w:r/>
            <w:r>
              <w:rPr>
                <w:rFonts w:ascii="Arial" w:hAnsi="Arial"/>
                <w:b w:val="0"/>
                <w:color w:val="202A33"/>
                <w:sz w:val="16"/>
              </w:rPr>
              <w:t>3</w:t>
            </w:r>
          </w:p>
        </w:tc>
        <w:tc>
          <w:tcPr>
            <w:tcW w:type="dxa" w:w="1701"/>
            <w:vAlign w:val="center"/>
          </w:tcPr>
          <w:p>
            <w:pPr>
              <w:spacing w:after="20" w:before="20" w:line="240" w:lineRule="auto"/>
            </w:pPr>
            <w:r/>
            <w:r>
              <w:rPr>
                <w:rFonts w:ascii="Arial" w:hAnsi="Arial"/>
                <w:b w:val="0"/>
                <w:color w:val="202A33"/>
                <w:sz w:val="16"/>
              </w:rPr>
              <w:t>−53,855</w:t>
            </w:r>
          </w:p>
        </w:tc>
        <w:tc>
          <w:tcPr>
            <w:tcW w:type="dxa" w:w="1984"/>
            <w:vAlign w:val="center"/>
          </w:tcPr>
          <w:p>
            <w:pPr>
              <w:spacing w:after="20" w:before="20" w:line="240" w:lineRule="auto"/>
            </w:pPr>
            <w:r/>
            <w:r>
              <w:rPr>
                <w:rFonts w:ascii="Arial" w:hAnsi="Arial"/>
                <w:b w:val="0"/>
                <w:color w:val="202A33"/>
                <w:sz w:val="16"/>
              </w:rPr>
              <w:t>−632,100</w:t>
            </w:r>
          </w:p>
        </w:tc>
        <w:tc>
          <w:tcPr>
            <w:tcW w:type="dxa" w:w="1701"/>
            <w:vAlign w:val="center"/>
          </w:tcPr>
          <w:p>
            <w:pPr>
              <w:spacing w:after="20" w:before="20" w:line="240" w:lineRule="auto"/>
            </w:pPr>
            <w:r/>
            <w:r>
              <w:rPr>
                <w:rFonts w:ascii="Arial" w:hAnsi="Arial"/>
                <w:b w:val="0"/>
                <w:color w:val="202A33"/>
                <w:sz w:val="16"/>
              </w:rPr>
              <w:t>1.348,200</w:t>
            </w:r>
          </w:p>
        </w:tc>
        <w:tc>
          <w:tcPr>
            <w:tcW w:type="dxa" w:w="1984"/>
            <w:vAlign w:val="center"/>
          </w:tcPr>
          <w:p>
            <w:pPr>
              <w:spacing w:after="20" w:before="20" w:line="240" w:lineRule="auto"/>
            </w:pPr>
            <w:r/>
            <w:r>
              <w:rPr>
                <w:rFonts w:ascii="Arial" w:hAnsi="Arial"/>
                <w:b w:val="0"/>
                <w:color w:val="202A33"/>
                <w:sz w:val="16"/>
              </w:rPr>
              <w:t>0,008428</w:t>
            </w:r>
          </w:p>
        </w:tc>
      </w:tr>
      <w:tr>
        <w:tc>
          <w:tcPr>
            <w:tcW w:type="dxa" w:w="1134"/>
            <w:vAlign w:val="center"/>
            <w:shd w:fill="F4F7F9"/>
          </w:tcPr>
          <w:p>
            <w:pPr>
              <w:spacing w:after="20" w:before="20" w:line="240" w:lineRule="auto"/>
            </w:pPr>
            <w:r/>
            <w:r>
              <w:rPr>
                <w:rFonts w:ascii="Arial" w:hAnsi="Arial"/>
                <w:b w:val="0"/>
                <w:color w:val="202A33"/>
                <w:sz w:val="16"/>
              </w:rPr>
              <w:t>4</w:t>
            </w:r>
          </w:p>
        </w:tc>
        <w:tc>
          <w:tcPr>
            <w:tcW w:type="dxa" w:w="1701"/>
            <w:vAlign w:val="center"/>
            <w:shd w:fill="F4F7F9"/>
          </w:tcPr>
          <w:p>
            <w:pPr>
              <w:spacing w:after="20" w:before="20" w:line="240" w:lineRule="auto"/>
            </w:pPr>
            <w:r/>
            <w:r>
              <w:rPr>
                <w:rFonts w:ascii="Arial" w:hAnsi="Arial"/>
                <w:b w:val="0"/>
                <w:color w:val="202A33"/>
                <w:sz w:val="16"/>
              </w:rPr>
              <w:t>−42,092</w:t>
            </w:r>
          </w:p>
        </w:tc>
        <w:tc>
          <w:tcPr>
            <w:tcW w:type="dxa" w:w="1984"/>
            <w:vAlign w:val="center"/>
            <w:shd w:fill="F4F7F9"/>
          </w:tcPr>
          <w:p>
            <w:pPr>
              <w:spacing w:after="20" w:before="20" w:line="240" w:lineRule="auto"/>
            </w:pPr>
            <w:r/>
            <w:r>
              <w:rPr>
                <w:rFonts w:ascii="Arial" w:hAnsi="Arial"/>
                <w:b w:val="0"/>
                <w:color w:val="202A33"/>
                <w:sz w:val="16"/>
              </w:rPr>
              <w:t>−613,784</w:t>
            </w:r>
          </w:p>
        </w:tc>
        <w:tc>
          <w:tcPr>
            <w:tcW w:type="dxa" w:w="1701"/>
            <w:vAlign w:val="center"/>
            <w:shd w:fill="F4F7F9"/>
          </w:tcPr>
          <w:p>
            <w:pPr>
              <w:spacing w:after="20" w:before="20" w:line="240" w:lineRule="auto"/>
            </w:pPr>
            <w:r/>
            <w:r>
              <w:rPr>
                <w:rFonts w:ascii="Arial" w:hAnsi="Arial"/>
                <w:b w:val="0"/>
                <w:color w:val="202A33"/>
                <w:sz w:val="16"/>
              </w:rPr>
              <w:t>680,400</w:t>
            </w:r>
          </w:p>
        </w:tc>
        <w:tc>
          <w:tcPr>
            <w:tcW w:type="dxa" w:w="1984"/>
            <w:vAlign w:val="center"/>
            <w:shd w:fill="F4F7F9"/>
          </w:tcPr>
          <w:p>
            <w:pPr>
              <w:spacing w:after="20" w:before="20" w:line="240" w:lineRule="auto"/>
            </w:pPr>
            <w:r/>
            <w:r>
              <w:rPr>
                <w:rFonts w:ascii="Arial" w:hAnsi="Arial"/>
                <w:b w:val="0"/>
                <w:color w:val="202A33"/>
                <w:sz w:val="16"/>
              </w:rPr>
              <w:t>0,008184</w:t>
            </w:r>
          </w:p>
        </w:tc>
      </w:tr>
    </w:tbl>
    <w:p>
      <w:pPr>
        <w:spacing w:after="20"/>
      </w:pPr>
    </w:p>
    <w:p>
      <w:r>
        <w:t>A soma das forças normais de base é igual à carga vertical total de cálculo, 3.880,800 kN. A reação horizontal global de base indicada é −210,747 kN, com resíduo de equilíbrio horizontal praticamente nulo; o resíduo vertical também é indicado como nulo. Esses resultados demonstram o fechamento do equilíbrio global para o cenário apresentado.</w:t>
      </w:r>
    </w:p>
    <w:p>
      <w:pPr>
        <w:pStyle w:val="Heading3"/>
      </w:pPr>
      <w:r>
        <w:t>Parâmetros de Hogeslag para a configuração detalhada</w:t>
      </w:r>
    </w:p>
    <w:tbl>
      <w:tblPr>
        <w:tblStyle w:val="TableGrid"/>
        <w:tblW w:type="auto" w:w="0"/>
        <w:jc w:val="center"/>
        <w:tblLayout w:type="fixed"/>
        <w:tblLook w:firstColumn="1" w:firstRow="1" w:lastColumn="0" w:lastRow="0" w:noHBand="0" w:noVBand="1" w:val="04A0"/>
      </w:tblPr>
      <w:tblGrid>
        <w:gridCol w:w="4929"/>
        <w:gridCol w:w="4929"/>
      </w:tblGrid>
      <w:tr>
        <w:trPr>
          <w:tblHeader w:val="true"/>
        </w:trPr>
        <w:tc>
          <w:tcPr>
            <w:tcW w:type="dxa" w:w="3969"/>
            <w:vAlign w:val="center"/>
            <w:shd w:fill="16324F"/>
          </w:tcPr>
          <w:p>
            <w:pPr>
              <w:spacing w:after="20" w:before="20" w:line="240" w:lineRule="auto"/>
              <w:jc w:val="center"/>
            </w:pPr>
            <w:r/>
            <w:r>
              <w:rPr>
                <w:rFonts w:ascii="Arial" w:hAnsi="Arial"/>
                <w:b/>
                <w:color w:val="FFFFFF"/>
                <w:sz w:val="16"/>
              </w:rPr>
              <w:t>Parâmetro de Hogeslag</w:t>
            </w:r>
          </w:p>
        </w:tc>
        <w:tc>
          <w:tcPr>
            <w:tcW w:type="dxa" w:w="5102"/>
            <w:vAlign w:val="center"/>
            <w:shd w:fill="16324F"/>
          </w:tcPr>
          <w:p>
            <w:pPr>
              <w:spacing w:after="20" w:before="20" w:line="240" w:lineRule="auto"/>
              <w:jc w:val="center"/>
            </w:pPr>
            <w:r/>
            <w:r>
              <w:rPr>
                <w:rFonts w:ascii="Arial" w:hAnsi="Arial"/>
                <w:b/>
                <w:color w:val="FFFFFF"/>
                <w:sz w:val="16"/>
              </w:rPr>
              <w:t>Valor</w:t>
            </w:r>
          </w:p>
        </w:tc>
      </w:tr>
      <w:tr>
        <w:tc>
          <w:tcPr>
            <w:tcW w:type="dxa" w:w="3969"/>
            <w:vAlign w:val="center"/>
          </w:tcPr>
          <w:p>
            <w:pPr>
              <w:spacing w:after="20" w:before="20" w:line="240" w:lineRule="auto"/>
            </w:pPr>
            <w:r/>
            <w:r>
              <w:rPr>
                <w:rFonts w:ascii="Arial" w:hAnsi="Arial"/>
                <w:b w:val="0"/>
                <w:color w:val="202A33"/>
                <w:sz w:val="16"/>
              </w:rPr>
              <w:t>(EI)eq</w:t>
            </w:r>
          </w:p>
        </w:tc>
        <w:tc>
          <w:tcPr>
            <w:tcW w:type="dxa" w:w="5102"/>
            <w:vAlign w:val="center"/>
          </w:tcPr>
          <w:p>
            <w:pPr>
              <w:spacing w:after="20" w:before="20" w:line="240" w:lineRule="auto"/>
            </w:pPr>
            <w:r/>
            <w:r>
              <w:rPr>
                <w:rFonts w:ascii="Arial" w:hAnsi="Arial"/>
                <w:b w:val="0"/>
                <w:color w:val="202A33"/>
                <w:sz w:val="16"/>
              </w:rPr>
              <w:t>256.000,000 kN·m²</w:t>
            </w:r>
          </w:p>
        </w:tc>
      </w:tr>
      <w:tr>
        <w:tc>
          <w:tcPr>
            <w:tcW w:type="dxa" w:w="3969"/>
            <w:vAlign w:val="center"/>
            <w:shd w:fill="F4F7F9"/>
          </w:tcPr>
          <w:p>
            <w:pPr>
              <w:spacing w:after="20" w:before="20" w:line="240" w:lineRule="auto"/>
            </w:pPr>
            <w:r/>
            <w:r>
              <w:rPr>
                <w:rFonts w:ascii="Arial" w:hAnsi="Arial"/>
                <w:b w:val="0"/>
                <w:color w:val="202A33"/>
                <w:sz w:val="16"/>
              </w:rPr>
              <w:t>ℓe/Htotal adotado</w:t>
            </w:r>
          </w:p>
        </w:tc>
        <w:tc>
          <w:tcPr>
            <w:tcW w:type="dxa" w:w="5102"/>
            <w:vAlign w:val="center"/>
            <w:shd w:fill="F4F7F9"/>
          </w:tcPr>
          <w:p>
            <w:pPr>
              <w:spacing w:after="20" w:before="20" w:line="240" w:lineRule="auto"/>
            </w:pPr>
            <w:r/>
            <w:r>
              <w:rPr>
                <w:rFonts w:ascii="Arial" w:hAnsi="Arial"/>
                <w:b w:val="0"/>
                <w:color w:val="202A33"/>
                <w:sz w:val="16"/>
              </w:rPr>
              <w:t>2,000</w:t>
            </w:r>
          </w:p>
        </w:tc>
      </w:tr>
      <w:tr>
        <w:tc>
          <w:tcPr>
            <w:tcW w:type="dxa" w:w="3969"/>
            <w:vAlign w:val="center"/>
          </w:tcPr>
          <w:p>
            <w:pPr>
              <w:spacing w:after="20" w:before="20" w:line="240" w:lineRule="auto"/>
            </w:pPr>
            <w:r/>
            <w:r>
              <w:rPr>
                <w:rFonts w:ascii="Arial" w:hAnsi="Arial"/>
                <w:b w:val="0"/>
                <w:color w:val="202A33"/>
                <w:sz w:val="16"/>
              </w:rPr>
              <w:t>ℓe</w:t>
            </w:r>
          </w:p>
        </w:tc>
        <w:tc>
          <w:tcPr>
            <w:tcW w:type="dxa" w:w="5102"/>
            <w:vAlign w:val="center"/>
          </w:tcPr>
          <w:p>
            <w:pPr>
              <w:spacing w:after="20" w:before="20" w:line="240" w:lineRule="auto"/>
            </w:pPr>
            <w:r/>
            <w:r>
              <w:rPr>
                <w:rFonts w:ascii="Arial" w:hAnsi="Arial"/>
                <w:b w:val="0"/>
                <w:color w:val="202A33"/>
                <w:sz w:val="16"/>
              </w:rPr>
              <w:t>36,000 m</w:t>
            </w:r>
          </w:p>
        </w:tc>
      </w:tr>
      <w:tr>
        <w:tc>
          <w:tcPr>
            <w:tcW w:type="dxa" w:w="3969"/>
            <w:vAlign w:val="center"/>
            <w:shd w:fill="F4F7F9"/>
          </w:tcPr>
          <w:p>
            <w:pPr>
              <w:spacing w:after="20" w:before="20" w:line="240" w:lineRule="auto"/>
            </w:pPr>
            <w:r/>
            <w:r>
              <w:rPr>
                <w:rFonts w:ascii="Arial" w:hAnsi="Arial"/>
                <w:b w:val="0"/>
                <w:color w:val="202A33"/>
                <w:sz w:val="16"/>
              </w:rPr>
              <w:t>H_eq e Hf</w:t>
            </w:r>
          </w:p>
        </w:tc>
        <w:tc>
          <w:tcPr>
            <w:tcW w:type="dxa" w:w="5102"/>
            <w:vAlign w:val="center"/>
            <w:shd w:fill="F4F7F9"/>
          </w:tcPr>
          <w:p>
            <w:pPr>
              <w:spacing w:after="20" w:before="20" w:line="240" w:lineRule="auto"/>
            </w:pPr>
            <w:r/>
            <w:r>
              <w:rPr>
                <w:rFonts w:ascii="Arial" w:hAnsi="Arial"/>
                <w:b w:val="0"/>
                <w:color w:val="202A33"/>
                <w:sz w:val="16"/>
              </w:rPr>
              <w:t>11,143 m</w:t>
            </w:r>
          </w:p>
        </w:tc>
      </w:tr>
      <w:tr>
        <w:tc>
          <w:tcPr>
            <w:tcW w:type="dxa" w:w="3969"/>
            <w:vAlign w:val="center"/>
          </w:tcPr>
          <w:p>
            <w:pPr>
              <w:spacing w:after="20" w:before="20" w:line="240" w:lineRule="auto"/>
            </w:pPr>
            <w:r/>
            <w:r>
              <w:rPr>
                <w:rFonts w:ascii="Arial" w:hAnsi="Arial"/>
                <w:b w:val="0"/>
                <w:color w:val="202A33"/>
                <w:sz w:val="16"/>
              </w:rPr>
              <w:t>Fe</w:t>
            </w:r>
          </w:p>
        </w:tc>
        <w:tc>
          <w:tcPr>
            <w:tcW w:type="dxa" w:w="5102"/>
            <w:vAlign w:val="center"/>
          </w:tcPr>
          <w:p>
            <w:pPr>
              <w:spacing w:after="20" w:before="20" w:line="240" w:lineRule="auto"/>
            </w:pPr>
            <w:r/>
            <w:r>
              <w:rPr>
                <w:rFonts w:ascii="Arial" w:hAnsi="Arial"/>
                <w:b w:val="0"/>
                <w:color w:val="202A33"/>
                <w:sz w:val="16"/>
              </w:rPr>
              <w:t>1.949,551 kN</w:t>
            </w:r>
          </w:p>
        </w:tc>
      </w:tr>
      <w:tr>
        <w:tc>
          <w:tcPr>
            <w:tcW w:type="dxa" w:w="3969"/>
            <w:vAlign w:val="center"/>
            <w:shd w:fill="F4F7F9"/>
          </w:tcPr>
          <w:p>
            <w:pPr>
              <w:spacing w:after="20" w:before="20" w:line="240" w:lineRule="auto"/>
            </w:pPr>
            <w:r/>
            <w:r>
              <w:rPr>
                <w:rFonts w:ascii="Arial" w:hAnsi="Arial"/>
                <w:b w:val="0"/>
                <w:color w:val="202A33"/>
                <w:sz w:val="16"/>
              </w:rPr>
              <w:t>Ff</w:t>
            </w:r>
          </w:p>
        </w:tc>
        <w:tc>
          <w:tcPr>
            <w:tcW w:type="dxa" w:w="5102"/>
            <w:vAlign w:val="center"/>
            <w:shd w:fill="F4F7F9"/>
          </w:tcPr>
          <w:p>
            <w:pPr>
              <w:spacing w:after="20" w:before="20" w:line="240" w:lineRule="auto"/>
            </w:pPr>
            <w:r/>
            <w:r>
              <w:rPr>
                <w:rFonts w:ascii="Arial" w:hAnsi="Arial"/>
                <w:b w:val="0"/>
                <w:color w:val="202A33"/>
                <w:sz w:val="16"/>
              </w:rPr>
              <w:t>26.923,077 kN</w:t>
            </w:r>
          </w:p>
        </w:tc>
      </w:tr>
      <w:tr>
        <w:tc>
          <w:tcPr>
            <w:tcW w:type="dxa" w:w="3969"/>
            <w:vAlign w:val="center"/>
          </w:tcPr>
          <w:p>
            <w:pPr>
              <w:spacing w:after="20" w:before="20" w:line="240" w:lineRule="auto"/>
            </w:pPr>
            <w:r/>
            <w:r>
              <w:rPr>
                <w:rFonts w:ascii="Arial" w:hAnsi="Arial"/>
                <w:b w:val="0"/>
                <w:color w:val="202A33"/>
                <w:sz w:val="16"/>
              </w:rPr>
              <w:t>Fref</w:t>
            </w:r>
          </w:p>
        </w:tc>
        <w:tc>
          <w:tcPr>
            <w:tcW w:type="dxa" w:w="5102"/>
            <w:vAlign w:val="center"/>
          </w:tcPr>
          <w:p>
            <w:pPr>
              <w:spacing w:after="20" w:before="20" w:line="240" w:lineRule="auto"/>
            </w:pPr>
            <w:r/>
            <w:r>
              <w:rPr>
                <w:rFonts w:ascii="Arial" w:hAnsi="Arial"/>
                <w:b w:val="0"/>
                <w:color w:val="202A33"/>
                <w:sz w:val="16"/>
              </w:rPr>
              <w:t>1.817,913 kN</w:t>
            </w:r>
          </w:p>
        </w:tc>
      </w:tr>
      <w:tr>
        <w:tc>
          <w:tcPr>
            <w:tcW w:type="dxa" w:w="3969"/>
            <w:vAlign w:val="center"/>
            <w:shd w:fill="F4F7F9"/>
          </w:tcPr>
          <w:p>
            <w:pPr>
              <w:spacing w:after="20" w:before="20" w:line="240" w:lineRule="auto"/>
            </w:pPr>
            <w:r/>
            <w:r>
              <w:rPr>
                <w:rFonts w:ascii="Arial" w:hAnsi="Arial"/>
                <w:b w:val="0"/>
                <w:color w:val="202A33"/>
                <w:sz w:val="16"/>
              </w:rPr>
              <w:t>ΣFvd</w:t>
            </w:r>
          </w:p>
        </w:tc>
        <w:tc>
          <w:tcPr>
            <w:tcW w:type="dxa" w:w="5102"/>
            <w:vAlign w:val="center"/>
            <w:shd w:fill="F4F7F9"/>
          </w:tcPr>
          <w:p>
            <w:pPr>
              <w:spacing w:after="20" w:before="20" w:line="240" w:lineRule="auto"/>
            </w:pPr>
            <w:r/>
            <w:r>
              <w:rPr>
                <w:rFonts w:ascii="Arial" w:hAnsi="Arial"/>
                <w:b w:val="0"/>
                <w:color w:val="202A33"/>
                <w:sz w:val="16"/>
              </w:rPr>
              <w:t>3.880,800 kN</w:t>
            </w:r>
          </w:p>
        </w:tc>
      </w:tr>
      <w:tr>
        <w:tc>
          <w:tcPr>
            <w:tcW w:type="dxa" w:w="3969"/>
            <w:vAlign w:val="center"/>
          </w:tcPr>
          <w:p>
            <w:pPr>
              <w:spacing w:after="20" w:before="20" w:line="240" w:lineRule="auto"/>
            </w:pPr>
            <w:r/>
            <w:r>
              <w:rPr>
                <w:rFonts w:ascii="Arial" w:hAnsi="Arial"/>
                <w:b w:val="0"/>
                <w:color w:val="202A33"/>
                <w:sz w:val="16"/>
              </w:rPr>
              <w:t>β</w:t>
            </w:r>
          </w:p>
        </w:tc>
        <w:tc>
          <w:tcPr>
            <w:tcW w:type="dxa" w:w="5102"/>
            <w:vAlign w:val="center"/>
          </w:tcPr>
          <w:p>
            <w:pPr>
              <w:spacing w:after="20" w:before="20" w:line="240" w:lineRule="auto"/>
            </w:pPr>
            <w:r/>
            <w:r>
              <w:rPr>
                <w:rFonts w:ascii="Arial" w:hAnsi="Arial"/>
                <w:b w:val="0"/>
                <w:color w:val="202A33"/>
                <w:sz w:val="16"/>
              </w:rPr>
              <w:t>0,468</w:t>
            </w:r>
          </w:p>
        </w:tc>
      </w:tr>
      <w:tr>
        <w:tc>
          <w:tcPr>
            <w:tcW w:type="dxa" w:w="3969"/>
            <w:vAlign w:val="center"/>
            <w:shd w:fill="F4F7F9"/>
          </w:tcPr>
          <w:p>
            <w:pPr>
              <w:spacing w:after="20" w:before="20" w:line="240" w:lineRule="auto"/>
            </w:pPr>
            <w:r/>
            <w:r>
              <w:rPr>
                <w:rFonts w:ascii="Arial" w:hAnsi="Arial"/>
                <w:b w:val="0"/>
                <w:color w:val="202A33"/>
                <w:sz w:val="16"/>
              </w:rPr>
              <w:t>γH</w:t>
            </w:r>
          </w:p>
        </w:tc>
        <w:tc>
          <w:tcPr>
            <w:tcW w:type="dxa" w:w="5102"/>
            <w:vAlign w:val="center"/>
            <w:shd w:fill="F4F7F9"/>
          </w:tcPr>
          <w:p>
            <w:pPr>
              <w:spacing w:after="20" w:before="20" w:line="240" w:lineRule="auto"/>
            </w:pPr>
            <w:r/>
            <w:r>
              <w:rPr>
                <w:rFonts w:ascii="Arial" w:hAnsi="Arial"/>
                <w:b w:val="0"/>
                <w:color w:val="202A33"/>
                <w:sz w:val="16"/>
              </w:rPr>
              <w:t>Não definido (β ≤ 1)</w:t>
            </w:r>
          </w:p>
        </w:tc>
      </w:tr>
    </w:tbl>
    <w:p>
      <w:pPr>
        <w:spacing w:after="20"/>
      </w:pPr>
    </w:p>
    <w:p>
      <w:r>
        <w:t>Para o cenário detalhado, β = 0,468 é inferior à unidade. Pela expressão γH = β/(β − 1), não se obtém um multiplicador positivo finito aplicável como amplificação estável. O resultado aponta que a carga vertical de cálculo ultrapassa a força de referência do modelo simplificado adotado. Entretanto, o enunciado alerta que Ff = Kf/H foi formulado para carga no topo; sua aplicação a cargas distribuídas em vários níveis precisa de justificativa ou adaptação. Logo, o resultado é condicionado às equivalências utilizadas e não constitui validação independente de Hogeslag.</w:t>
      </w:r>
    </w:p>
    <w:p>
      <w:pPr>
        <w:pStyle w:val="Heading2"/>
      </w:pPr>
      <w:r>
        <w:t>5.8 Momentos fletores no cenário detalhado</w:t>
      </w:r>
    </w:p>
    <w:p>
      <w:r>
        <w:t>A memória apresenta os momentos de primeira ordem e os momentos recuperados na análise de segunda ordem linearizada para cada pilar e trecho. A tabela seguinte resume os valores nas extremidades dos trechos. Os resultados de segunda ordem são reproduzidos como saídas do modelo, acompanhados da ressalva de sensibilidade já discutida.</w:t>
      </w:r>
    </w:p>
    <w:tbl>
      <w:tblPr>
        <w:tblStyle w:val="TableGrid"/>
        <w:tblW w:type="auto" w:w="0"/>
        <w:jc w:val="center"/>
        <w:tblLayout w:type="fixed"/>
        <w:tblLook w:firstColumn="1" w:firstRow="1" w:lastColumn="0" w:lastRow="0" w:noHBand="0" w:noVBand="1" w:val="04A0"/>
      </w:tblPr>
      <w:tblGrid>
        <w:gridCol w:w="1643"/>
        <w:gridCol w:w="1643"/>
        <w:gridCol w:w="1643"/>
        <w:gridCol w:w="1643"/>
        <w:gridCol w:w="1643"/>
        <w:gridCol w:w="1643"/>
      </w:tblGrid>
      <w:tr>
        <w:trPr>
          <w:tblHeader w:val="true"/>
        </w:trPr>
        <w:tc>
          <w:tcPr>
            <w:tcW w:type="dxa" w:w="680"/>
            <w:vAlign w:val="center"/>
            <w:shd w:fill="16324F"/>
          </w:tcPr>
          <w:p>
            <w:pPr>
              <w:spacing w:after="20" w:before="20" w:line="240" w:lineRule="auto"/>
              <w:jc w:val="center"/>
            </w:pPr>
            <w:r/>
            <w:r>
              <w:rPr>
                <w:rFonts w:ascii="Arial" w:hAnsi="Arial"/>
                <w:b/>
                <w:color w:val="FFFFFF"/>
                <w:sz w:val="14"/>
              </w:rPr>
              <w:t>Pilar</w:t>
            </w:r>
          </w:p>
        </w:tc>
        <w:tc>
          <w:tcPr>
            <w:tcW w:type="dxa" w:w="907"/>
            <w:vAlign w:val="center"/>
            <w:shd w:fill="16324F"/>
          </w:tcPr>
          <w:p>
            <w:pPr>
              <w:spacing w:after="20" w:before="20" w:line="240" w:lineRule="auto"/>
              <w:jc w:val="center"/>
            </w:pPr>
            <w:r/>
            <w:r>
              <w:rPr>
                <w:rFonts w:ascii="Arial" w:hAnsi="Arial"/>
                <w:b/>
                <w:color w:val="FFFFFF"/>
                <w:sz w:val="14"/>
              </w:rPr>
              <w:t>Trecho</w:t>
            </w:r>
          </w:p>
        </w:tc>
        <w:tc>
          <w:tcPr>
            <w:tcW w:type="dxa" w:w="1701"/>
            <w:vAlign w:val="center"/>
            <w:shd w:fill="16324F"/>
          </w:tcPr>
          <w:p>
            <w:pPr>
              <w:spacing w:after="20" w:before="20" w:line="240" w:lineRule="auto"/>
              <w:jc w:val="center"/>
            </w:pPr>
            <w:r/>
            <w:r>
              <w:rPr>
                <w:rFonts w:ascii="Arial" w:hAnsi="Arial"/>
                <w:b/>
                <w:color w:val="FFFFFF"/>
                <w:sz w:val="14"/>
              </w:rPr>
              <w:t>M base 1ª (kN·m)</w:t>
            </w:r>
          </w:p>
        </w:tc>
        <w:tc>
          <w:tcPr>
            <w:tcW w:type="dxa" w:w="1701"/>
            <w:vAlign w:val="center"/>
            <w:shd w:fill="16324F"/>
          </w:tcPr>
          <w:p>
            <w:pPr>
              <w:spacing w:after="20" w:before="20" w:line="240" w:lineRule="auto"/>
              <w:jc w:val="center"/>
            </w:pPr>
            <w:r/>
            <w:r>
              <w:rPr>
                <w:rFonts w:ascii="Arial" w:hAnsi="Arial"/>
                <w:b/>
                <w:color w:val="FFFFFF"/>
                <w:sz w:val="14"/>
              </w:rPr>
              <w:t>M topo 1ª (kN·m)</w:t>
            </w:r>
          </w:p>
        </w:tc>
        <w:tc>
          <w:tcPr>
            <w:tcW w:type="dxa" w:w="1814"/>
            <w:vAlign w:val="center"/>
            <w:shd w:fill="16324F"/>
          </w:tcPr>
          <w:p>
            <w:pPr>
              <w:spacing w:after="20" w:before="20" w:line="240" w:lineRule="auto"/>
              <w:jc w:val="center"/>
            </w:pPr>
            <w:r/>
            <w:r>
              <w:rPr>
                <w:rFonts w:ascii="Arial" w:hAnsi="Arial"/>
                <w:b/>
                <w:color w:val="FFFFFF"/>
                <w:sz w:val="14"/>
              </w:rPr>
              <w:t>M base 2ª (kN·m)</w:t>
            </w:r>
          </w:p>
        </w:tc>
        <w:tc>
          <w:tcPr>
            <w:tcW w:type="dxa" w:w="1814"/>
            <w:vAlign w:val="center"/>
            <w:shd w:fill="16324F"/>
          </w:tcPr>
          <w:p>
            <w:pPr>
              <w:spacing w:after="20" w:before="20" w:line="240" w:lineRule="auto"/>
              <w:jc w:val="center"/>
            </w:pPr>
            <w:r/>
            <w:r>
              <w:rPr>
                <w:rFonts w:ascii="Arial" w:hAnsi="Arial"/>
                <w:b/>
                <w:color w:val="FFFFFF"/>
                <w:sz w:val="14"/>
              </w:rPr>
              <w:t>M topo 2ª (kN·m)</w:t>
            </w:r>
          </w:p>
        </w:tc>
      </w:tr>
      <w:tr>
        <w:tc>
          <w:tcPr>
            <w:tcW w:type="dxa" w:w="680"/>
            <w:vAlign w:val="center"/>
          </w:tcPr>
          <w:p>
            <w:pPr>
              <w:spacing w:after="20" w:before="20" w:line="240" w:lineRule="auto"/>
            </w:pPr>
            <w:r/>
            <w:r>
              <w:rPr>
                <w:rFonts w:ascii="Arial" w:hAnsi="Arial"/>
                <w:b w:val="0"/>
                <w:color w:val="202A33"/>
                <w:sz w:val="14"/>
              </w:rPr>
              <w:t>1</w:t>
            </w:r>
          </w:p>
        </w:tc>
        <w:tc>
          <w:tcPr>
            <w:tcW w:type="dxa" w:w="907"/>
            <w:vAlign w:val="center"/>
          </w:tcPr>
          <w:p>
            <w:pPr>
              <w:spacing w:after="20" w:before="20" w:line="240" w:lineRule="auto"/>
            </w:pPr>
            <w:r/>
            <w:r>
              <w:rPr>
                <w:rFonts w:ascii="Arial" w:hAnsi="Arial"/>
                <w:b w:val="0"/>
                <w:color w:val="202A33"/>
                <w:sz w:val="14"/>
              </w:rPr>
              <w:t>1–2</w:t>
            </w:r>
          </w:p>
        </w:tc>
        <w:tc>
          <w:tcPr>
            <w:tcW w:type="dxa" w:w="1701"/>
            <w:vAlign w:val="center"/>
          </w:tcPr>
          <w:p>
            <w:pPr>
              <w:spacing w:after="20" w:before="20" w:line="240" w:lineRule="auto"/>
            </w:pPr>
            <w:r/>
            <w:r>
              <w:rPr>
                <w:rFonts w:ascii="Arial" w:hAnsi="Arial"/>
                <w:b w:val="0"/>
                <w:color w:val="202A33"/>
                <w:sz w:val="14"/>
              </w:rPr>
              <w:t>−640,413</w:t>
            </w:r>
          </w:p>
        </w:tc>
        <w:tc>
          <w:tcPr>
            <w:tcW w:type="dxa" w:w="1701"/>
            <w:vAlign w:val="center"/>
          </w:tcPr>
          <w:p>
            <w:pPr>
              <w:spacing w:after="20" w:before="20" w:line="240" w:lineRule="auto"/>
            </w:pPr>
            <w:r/>
            <w:r>
              <w:rPr>
                <w:rFonts w:ascii="Arial" w:hAnsi="Arial"/>
                <w:b w:val="0"/>
                <w:color w:val="202A33"/>
                <w:sz w:val="14"/>
              </w:rPr>
              <w:t>−285,488</w:t>
            </w:r>
          </w:p>
        </w:tc>
        <w:tc>
          <w:tcPr>
            <w:tcW w:type="dxa" w:w="1814"/>
            <w:vAlign w:val="center"/>
          </w:tcPr>
          <w:p>
            <w:pPr>
              <w:spacing w:after="20" w:before="20" w:line="240" w:lineRule="auto"/>
            </w:pPr>
            <w:r/>
            <w:r>
              <w:rPr>
                <w:rFonts w:ascii="Arial" w:hAnsi="Arial"/>
                <w:b w:val="0"/>
                <w:color w:val="202A33"/>
                <w:sz w:val="14"/>
              </w:rPr>
              <w:t>−22.879,462</w:t>
            </w:r>
          </w:p>
        </w:tc>
        <w:tc>
          <w:tcPr>
            <w:tcW w:type="dxa" w:w="1814"/>
            <w:vAlign w:val="center"/>
          </w:tcPr>
          <w:p>
            <w:pPr>
              <w:spacing w:after="20" w:before="20" w:line="240" w:lineRule="auto"/>
            </w:pPr>
            <w:r/>
            <w:r>
              <w:rPr>
                <w:rFonts w:ascii="Arial" w:hAnsi="Arial"/>
                <w:b w:val="0"/>
                <w:color w:val="202A33"/>
                <w:sz w:val="14"/>
              </w:rPr>
              <w:t>−15.318,709</w:t>
            </w:r>
          </w:p>
        </w:tc>
      </w:tr>
      <w:tr>
        <w:tc>
          <w:tcPr>
            <w:tcW w:type="dxa" w:w="680"/>
            <w:vAlign w:val="center"/>
            <w:shd w:fill="F4F7F9"/>
          </w:tcPr>
          <w:p>
            <w:pPr>
              <w:spacing w:after="20" w:before="20" w:line="240" w:lineRule="auto"/>
            </w:pPr>
            <w:r/>
            <w:r>
              <w:rPr>
                <w:rFonts w:ascii="Arial" w:hAnsi="Arial"/>
                <w:b w:val="0"/>
                <w:color w:val="202A33"/>
                <w:sz w:val="14"/>
              </w:rPr>
              <w:t>1</w:t>
            </w:r>
          </w:p>
        </w:tc>
        <w:tc>
          <w:tcPr>
            <w:tcW w:type="dxa" w:w="907"/>
            <w:vAlign w:val="center"/>
            <w:shd w:fill="F4F7F9"/>
          </w:tcPr>
          <w:p>
            <w:pPr>
              <w:spacing w:after="20" w:before="20" w:line="240" w:lineRule="auto"/>
            </w:pPr>
            <w:r/>
            <w:r>
              <w:rPr>
                <w:rFonts w:ascii="Arial" w:hAnsi="Arial"/>
                <w:b w:val="0"/>
                <w:color w:val="202A33"/>
                <w:sz w:val="14"/>
              </w:rPr>
              <w:t>2–3</w:t>
            </w:r>
          </w:p>
        </w:tc>
        <w:tc>
          <w:tcPr>
            <w:tcW w:type="dxa" w:w="1701"/>
            <w:vAlign w:val="center"/>
            <w:shd w:fill="F4F7F9"/>
          </w:tcPr>
          <w:p>
            <w:pPr>
              <w:spacing w:after="20" w:before="20" w:line="240" w:lineRule="auto"/>
            </w:pPr>
            <w:r/>
            <w:r>
              <w:rPr>
                <w:rFonts w:ascii="Arial" w:hAnsi="Arial"/>
                <w:b w:val="0"/>
                <w:color w:val="202A33"/>
                <w:sz w:val="14"/>
              </w:rPr>
              <w:t>−351,008</w:t>
            </w:r>
          </w:p>
        </w:tc>
        <w:tc>
          <w:tcPr>
            <w:tcW w:type="dxa" w:w="1701"/>
            <w:vAlign w:val="center"/>
            <w:shd w:fill="F4F7F9"/>
          </w:tcPr>
          <w:p>
            <w:pPr>
              <w:spacing w:after="20" w:before="20" w:line="240" w:lineRule="auto"/>
            </w:pPr>
            <w:r/>
            <w:r>
              <w:rPr>
                <w:rFonts w:ascii="Arial" w:hAnsi="Arial"/>
                <w:b w:val="0"/>
                <w:color w:val="202A33"/>
                <w:sz w:val="14"/>
              </w:rPr>
              <w:t>−78,980</w:t>
            </w:r>
          </w:p>
        </w:tc>
        <w:tc>
          <w:tcPr>
            <w:tcW w:type="dxa" w:w="1814"/>
            <w:vAlign w:val="center"/>
            <w:shd w:fill="F4F7F9"/>
          </w:tcPr>
          <w:p>
            <w:pPr>
              <w:spacing w:after="20" w:before="20" w:line="240" w:lineRule="auto"/>
            </w:pPr>
            <w:r/>
            <w:r>
              <w:rPr>
                <w:rFonts w:ascii="Arial" w:hAnsi="Arial"/>
                <w:b w:val="0"/>
                <w:color w:val="202A33"/>
                <w:sz w:val="14"/>
              </w:rPr>
              <w:t>−15.072,913</w:t>
            </w:r>
          </w:p>
        </w:tc>
        <w:tc>
          <w:tcPr>
            <w:tcW w:type="dxa" w:w="1814"/>
            <w:vAlign w:val="center"/>
            <w:shd w:fill="F4F7F9"/>
          </w:tcPr>
          <w:p>
            <w:pPr>
              <w:spacing w:after="20" w:before="20" w:line="240" w:lineRule="auto"/>
            </w:pPr>
            <w:r/>
            <w:r>
              <w:rPr>
                <w:rFonts w:ascii="Arial" w:hAnsi="Arial"/>
                <w:b w:val="0"/>
                <w:color w:val="202A33"/>
                <w:sz w:val="14"/>
              </w:rPr>
              <w:t>−5.246,919</w:t>
            </w:r>
          </w:p>
        </w:tc>
      </w:tr>
      <w:tr>
        <w:tc>
          <w:tcPr>
            <w:tcW w:type="dxa" w:w="680"/>
            <w:vAlign w:val="center"/>
          </w:tcPr>
          <w:p>
            <w:pPr>
              <w:spacing w:after="20" w:before="20" w:line="240" w:lineRule="auto"/>
            </w:pPr>
            <w:r/>
            <w:r>
              <w:rPr>
                <w:rFonts w:ascii="Arial" w:hAnsi="Arial"/>
                <w:b w:val="0"/>
                <w:color w:val="202A33"/>
                <w:sz w:val="14"/>
              </w:rPr>
              <w:t>1</w:t>
            </w:r>
          </w:p>
        </w:tc>
        <w:tc>
          <w:tcPr>
            <w:tcW w:type="dxa" w:w="907"/>
            <w:vAlign w:val="center"/>
          </w:tcPr>
          <w:p>
            <w:pPr>
              <w:spacing w:after="20" w:before="20" w:line="240" w:lineRule="auto"/>
            </w:pPr>
            <w:r/>
            <w:r>
              <w:rPr>
                <w:rFonts w:ascii="Arial" w:hAnsi="Arial"/>
                <w:b w:val="0"/>
                <w:color w:val="202A33"/>
                <w:sz w:val="14"/>
              </w:rPr>
              <w:t>3–4</w:t>
            </w:r>
          </w:p>
        </w:tc>
        <w:tc>
          <w:tcPr>
            <w:tcW w:type="dxa" w:w="1701"/>
            <w:vAlign w:val="center"/>
          </w:tcPr>
          <w:p>
            <w:pPr>
              <w:spacing w:after="20" w:before="20" w:line="240" w:lineRule="auto"/>
            </w:pPr>
            <w:r/>
            <w:r>
              <w:rPr>
                <w:rFonts w:ascii="Arial" w:hAnsi="Arial"/>
                <w:b w:val="0"/>
                <w:color w:val="202A33"/>
                <w:sz w:val="14"/>
              </w:rPr>
              <w:t>−144,500</w:t>
            </w:r>
          </w:p>
        </w:tc>
        <w:tc>
          <w:tcPr>
            <w:tcW w:type="dxa" w:w="1701"/>
            <w:vAlign w:val="center"/>
          </w:tcPr>
          <w:p>
            <w:pPr>
              <w:spacing w:after="20" w:before="20" w:line="240" w:lineRule="auto"/>
            </w:pPr>
            <w:r/>
            <w:r>
              <w:rPr>
                <w:rFonts w:ascii="Arial" w:hAnsi="Arial"/>
                <w:b w:val="0"/>
                <w:color w:val="202A33"/>
                <w:sz w:val="14"/>
              </w:rPr>
              <w:t>65,520</w:t>
            </w:r>
          </w:p>
        </w:tc>
        <w:tc>
          <w:tcPr>
            <w:tcW w:type="dxa" w:w="1814"/>
            <w:vAlign w:val="center"/>
          </w:tcPr>
          <w:p>
            <w:pPr>
              <w:spacing w:after="20" w:before="20" w:line="240" w:lineRule="auto"/>
            </w:pPr>
            <w:r/>
            <w:r>
              <w:rPr>
                <w:rFonts w:ascii="Arial" w:hAnsi="Arial"/>
                <w:b w:val="0"/>
                <w:color w:val="202A33"/>
                <w:sz w:val="14"/>
              </w:rPr>
              <w:t>−5.170,103</w:t>
            </w:r>
          </w:p>
        </w:tc>
        <w:tc>
          <w:tcPr>
            <w:tcW w:type="dxa" w:w="1814"/>
            <w:vAlign w:val="center"/>
          </w:tcPr>
          <w:p>
            <w:pPr>
              <w:spacing w:after="20" w:before="20" w:line="240" w:lineRule="auto"/>
            </w:pPr>
            <w:r/>
            <w:r>
              <w:rPr>
                <w:rFonts w:ascii="Arial" w:hAnsi="Arial"/>
                <w:b w:val="0"/>
                <w:color w:val="202A33"/>
                <w:sz w:val="14"/>
              </w:rPr>
              <w:t>102,835</w:t>
            </w:r>
          </w:p>
        </w:tc>
      </w:tr>
      <w:tr>
        <w:tc>
          <w:tcPr>
            <w:tcW w:type="dxa" w:w="680"/>
            <w:vAlign w:val="center"/>
            <w:shd w:fill="F4F7F9"/>
          </w:tcPr>
          <w:p>
            <w:pPr>
              <w:spacing w:after="20" w:before="20" w:line="240" w:lineRule="auto"/>
            </w:pPr>
            <w:r/>
            <w:r>
              <w:rPr>
                <w:rFonts w:ascii="Arial" w:hAnsi="Arial"/>
                <w:b w:val="0"/>
                <w:color w:val="202A33"/>
                <w:sz w:val="14"/>
              </w:rPr>
              <w:t>2</w:t>
            </w:r>
          </w:p>
        </w:tc>
        <w:tc>
          <w:tcPr>
            <w:tcW w:type="dxa" w:w="907"/>
            <w:vAlign w:val="center"/>
            <w:shd w:fill="F4F7F9"/>
          </w:tcPr>
          <w:p>
            <w:pPr>
              <w:spacing w:after="20" w:before="20" w:line="240" w:lineRule="auto"/>
            </w:pPr>
            <w:r/>
            <w:r>
              <w:rPr>
                <w:rFonts w:ascii="Arial" w:hAnsi="Arial"/>
                <w:b w:val="0"/>
                <w:color w:val="202A33"/>
                <w:sz w:val="14"/>
              </w:rPr>
              <w:t>1–2</w:t>
            </w:r>
          </w:p>
        </w:tc>
        <w:tc>
          <w:tcPr>
            <w:tcW w:type="dxa" w:w="1701"/>
            <w:vAlign w:val="center"/>
            <w:shd w:fill="F4F7F9"/>
          </w:tcPr>
          <w:p>
            <w:pPr>
              <w:spacing w:after="20" w:before="20" w:line="240" w:lineRule="auto"/>
            </w:pPr>
            <w:r/>
            <w:r>
              <w:rPr>
                <w:rFonts w:ascii="Arial" w:hAnsi="Arial"/>
                <w:b w:val="0"/>
                <w:color w:val="202A33"/>
                <w:sz w:val="14"/>
              </w:rPr>
              <w:t>−634,827</w:t>
            </w:r>
          </w:p>
        </w:tc>
        <w:tc>
          <w:tcPr>
            <w:tcW w:type="dxa" w:w="1701"/>
            <w:vAlign w:val="center"/>
            <w:shd w:fill="F4F7F9"/>
          </w:tcPr>
          <w:p>
            <w:pPr>
              <w:spacing w:after="20" w:before="20" w:line="240" w:lineRule="auto"/>
            </w:pPr>
            <w:r/>
            <w:r>
              <w:rPr>
                <w:rFonts w:ascii="Arial" w:hAnsi="Arial"/>
                <w:b w:val="0"/>
                <w:color w:val="202A33"/>
                <w:sz w:val="14"/>
              </w:rPr>
              <w:t>−301,426</w:t>
            </w:r>
          </w:p>
        </w:tc>
        <w:tc>
          <w:tcPr>
            <w:tcW w:type="dxa" w:w="1814"/>
            <w:vAlign w:val="center"/>
            <w:shd w:fill="F4F7F9"/>
          </w:tcPr>
          <w:p>
            <w:pPr>
              <w:spacing w:after="20" w:before="20" w:line="240" w:lineRule="auto"/>
            </w:pPr>
            <w:r/>
            <w:r>
              <w:rPr>
                <w:rFonts w:ascii="Arial" w:hAnsi="Arial"/>
                <w:b w:val="0"/>
                <w:color w:val="202A33"/>
                <w:sz w:val="14"/>
              </w:rPr>
              <w:t>−23.022,582</w:t>
            </w:r>
          </w:p>
        </w:tc>
        <w:tc>
          <w:tcPr>
            <w:tcW w:type="dxa" w:w="1814"/>
            <w:vAlign w:val="center"/>
            <w:shd w:fill="F4F7F9"/>
          </w:tcPr>
          <w:p>
            <w:pPr>
              <w:spacing w:after="20" w:before="20" w:line="240" w:lineRule="auto"/>
            </w:pPr>
            <w:r/>
            <w:r>
              <w:rPr>
                <w:rFonts w:ascii="Arial" w:hAnsi="Arial"/>
                <w:b w:val="0"/>
                <w:color w:val="202A33"/>
                <w:sz w:val="14"/>
              </w:rPr>
              <w:t>−15.447,583</w:t>
            </w:r>
          </w:p>
        </w:tc>
      </w:tr>
      <w:tr>
        <w:tc>
          <w:tcPr>
            <w:tcW w:type="dxa" w:w="680"/>
            <w:vAlign w:val="center"/>
          </w:tcPr>
          <w:p>
            <w:pPr>
              <w:spacing w:after="20" w:before="20" w:line="240" w:lineRule="auto"/>
            </w:pPr>
            <w:r/>
            <w:r>
              <w:rPr>
                <w:rFonts w:ascii="Arial" w:hAnsi="Arial"/>
                <w:b w:val="0"/>
                <w:color w:val="202A33"/>
                <w:sz w:val="14"/>
              </w:rPr>
              <w:t>2</w:t>
            </w:r>
          </w:p>
        </w:tc>
        <w:tc>
          <w:tcPr>
            <w:tcW w:type="dxa" w:w="907"/>
            <w:vAlign w:val="center"/>
          </w:tcPr>
          <w:p>
            <w:pPr>
              <w:spacing w:after="20" w:before="20" w:line="240" w:lineRule="auto"/>
            </w:pPr>
            <w:r/>
            <w:r>
              <w:rPr>
                <w:rFonts w:ascii="Arial" w:hAnsi="Arial"/>
                <w:b w:val="0"/>
                <w:color w:val="202A33"/>
                <w:sz w:val="14"/>
              </w:rPr>
              <w:t>2–3</w:t>
            </w:r>
          </w:p>
        </w:tc>
        <w:tc>
          <w:tcPr>
            <w:tcW w:type="dxa" w:w="1701"/>
            <w:vAlign w:val="center"/>
          </w:tcPr>
          <w:p>
            <w:pPr>
              <w:spacing w:after="20" w:before="20" w:line="240" w:lineRule="auto"/>
            </w:pPr>
            <w:r/>
            <w:r>
              <w:rPr>
                <w:rFonts w:ascii="Arial" w:hAnsi="Arial"/>
                <w:b w:val="0"/>
                <w:color w:val="202A33"/>
                <w:sz w:val="14"/>
              </w:rPr>
              <w:t>−336,706</w:t>
            </w:r>
          </w:p>
        </w:tc>
        <w:tc>
          <w:tcPr>
            <w:tcW w:type="dxa" w:w="1701"/>
            <w:vAlign w:val="center"/>
          </w:tcPr>
          <w:p>
            <w:pPr>
              <w:spacing w:after="20" w:before="20" w:line="240" w:lineRule="auto"/>
            </w:pPr>
            <w:r/>
            <w:r>
              <w:rPr>
                <w:rFonts w:ascii="Arial" w:hAnsi="Arial"/>
                <w:b w:val="0"/>
                <w:color w:val="202A33"/>
                <w:sz w:val="14"/>
              </w:rPr>
              <w:t>−81,295</w:t>
            </w:r>
          </w:p>
        </w:tc>
        <w:tc>
          <w:tcPr>
            <w:tcW w:type="dxa" w:w="1814"/>
            <w:vAlign w:val="center"/>
          </w:tcPr>
          <w:p>
            <w:pPr>
              <w:spacing w:after="20" w:before="20" w:line="240" w:lineRule="auto"/>
            </w:pPr>
            <w:r/>
            <w:r>
              <w:rPr>
                <w:rFonts w:ascii="Arial" w:hAnsi="Arial"/>
                <w:b w:val="0"/>
                <w:color w:val="202A33"/>
                <w:sz w:val="14"/>
              </w:rPr>
              <w:t>−14.802,730</w:t>
            </w:r>
          </w:p>
        </w:tc>
        <w:tc>
          <w:tcPr>
            <w:tcW w:type="dxa" w:w="1814"/>
            <w:vAlign w:val="center"/>
          </w:tcPr>
          <w:p>
            <w:pPr>
              <w:spacing w:after="20" w:before="20" w:line="240" w:lineRule="auto"/>
            </w:pPr>
            <w:r/>
            <w:r>
              <w:rPr>
                <w:rFonts w:ascii="Arial" w:hAnsi="Arial"/>
                <w:b w:val="0"/>
                <w:color w:val="202A33"/>
                <w:sz w:val="14"/>
              </w:rPr>
              <w:t>−5.386,420</w:t>
            </w:r>
          </w:p>
        </w:tc>
      </w:tr>
      <w:tr>
        <w:tc>
          <w:tcPr>
            <w:tcW w:type="dxa" w:w="680"/>
            <w:vAlign w:val="center"/>
            <w:shd w:fill="F4F7F9"/>
          </w:tcPr>
          <w:p>
            <w:pPr>
              <w:spacing w:after="20" w:before="20" w:line="240" w:lineRule="auto"/>
            </w:pPr>
            <w:r/>
            <w:r>
              <w:rPr>
                <w:rFonts w:ascii="Arial" w:hAnsi="Arial"/>
                <w:b w:val="0"/>
                <w:color w:val="202A33"/>
                <w:sz w:val="14"/>
              </w:rPr>
              <w:t>2</w:t>
            </w:r>
          </w:p>
        </w:tc>
        <w:tc>
          <w:tcPr>
            <w:tcW w:type="dxa" w:w="907"/>
            <w:vAlign w:val="center"/>
            <w:shd w:fill="F4F7F9"/>
          </w:tcPr>
          <w:p>
            <w:pPr>
              <w:spacing w:after="20" w:before="20" w:line="240" w:lineRule="auto"/>
            </w:pPr>
            <w:r/>
            <w:r>
              <w:rPr>
                <w:rFonts w:ascii="Arial" w:hAnsi="Arial"/>
                <w:b w:val="0"/>
                <w:color w:val="202A33"/>
                <w:sz w:val="14"/>
              </w:rPr>
              <w:t>3–4</w:t>
            </w:r>
          </w:p>
        </w:tc>
        <w:tc>
          <w:tcPr>
            <w:tcW w:type="dxa" w:w="1701"/>
            <w:vAlign w:val="center"/>
            <w:shd w:fill="F4F7F9"/>
          </w:tcPr>
          <w:p>
            <w:pPr>
              <w:spacing w:after="20" w:before="20" w:line="240" w:lineRule="auto"/>
            </w:pPr>
            <w:r/>
            <w:r>
              <w:rPr>
                <w:rFonts w:ascii="Arial" w:hAnsi="Arial"/>
                <w:b w:val="0"/>
                <w:color w:val="202A33"/>
                <w:sz w:val="14"/>
              </w:rPr>
              <w:t>−116,575</w:t>
            </w:r>
          </w:p>
        </w:tc>
        <w:tc>
          <w:tcPr>
            <w:tcW w:type="dxa" w:w="1701"/>
            <w:vAlign w:val="center"/>
            <w:shd w:fill="F4F7F9"/>
          </w:tcPr>
          <w:p>
            <w:pPr>
              <w:spacing w:after="20" w:before="20" w:line="240" w:lineRule="auto"/>
            </w:pPr>
            <w:r/>
            <w:r>
              <w:rPr>
                <w:rFonts w:ascii="Arial" w:hAnsi="Arial"/>
                <w:b w:val="0"/>
                <w:color w:val="202A33"/>
                <w:sz w:val="14"/>
              </w:rPr>
              <w:t>0,000</w:t>
            </w:r>
          </w:p>
        </w:tc>
        <w:tc>
          <w:tcPr>
            <w:tcW w:type="dxa" w:w="1814"/>
            <w:vAlign w:val="center"/>
            <w:shd w:fill="F4F7F9"/>
          </w:tcPr>
          <w:p>
            <w:pPr>
              <w:spacing w:after="20" w:before="20" w:line="240" w:lineRule="auto"/>
            </w:pPr>
            <w:r/>
            <w:r>
              <w:rPr>
                <w:rFonts w:ascii="Arial" w:hAnsi="Arial"/>
                <w:b w:val="0"/>
                <w:color w:val="202A33"/>
                <w:sz w:val="14"/>
              </w:rPr>
              <w:t>−5.124,990</w:t>
            </w:r>
          </w:p>
        </w:tc>
        <w:tc>
          <w:tcPr>
            <w:tcW w:type="dxa" w:w="1814"/>
            <w:vAlign w:val="center"/>
            <w:shd w:fill="F4F7F9"/>
          </w:tcPr>
          <w:p>
            <w:pPr>
              <w:spacing w:after="20" w:before="20" w:line="240" w:lineRule="auto"/>
            </w:pPr>
            <w:r/>
            <w:r>
              <w:rPr>
                <w:rFonts w:ascii="Arial" w:hAnsi="Arial"/>
                <w:b w:val="0"/>
                <w:color w:val="202A33"/>
                <w:sz w:val="14"/>
              </w:rPr>
              <w:t>21,426</w:t>
            </w:r>
          </w:p>
        </w:tc>
      </w:tr>
      <w:tr>
        <w:tc>
          <w:tcPr>
            <w:tcW w:type="dxa" w:w="680"/>
            <w:vAlign w:val="center"/>
          </w:tcPr>
          <w:p>
            <w:pPr>
              <w:spacing w:after="20" w:before="20" w:line="240" w:lineRule="auto"/>
            </w:pPr>
            <w:r/>
            <w:r>
              <w:rPr>
                <w:rFonts w:ascii="Arial" w:hAnsi="Arial"/>
                <w:b w:val="0"/>
                <w:color w:val="202A33"/>
                <w:sz w:val="14"/>
              </w:rPr>
              <w:t>3</w:t>
            </w:r>
          </w:p>
        </w:tc>
        <w:tc>
          <w:tcPr>
            <w:tcW w:type="dxa" w:w="907"/>
            <w:vAlign w:val="center"/>
          </w:tcPr>
          <w:p>
            <w:pPr>
              <w:spacing w:after="20" w:before="20" w:line="240" w:lineRule="auto"/>
            </w:pPr>
            <w:r/>
            <w:r>
              <w:rPr>
                <w:rFonts w:ascii="Arial" w:hAnsi="Arial"/>
                <w:b w:val="0"/>
                <w:color w:val="202A33"/>
                <w:sz w:val="14"/>
              </w:rPr>
              <w:t>1–2</w:t>
            </w:r>
          </w:p>
        </w:tc>
        <w:tc>
          <w:tcPr>
            <w:tcW w:type="dxa" w:w="1701"/>
            <w:vAlign w:val="center"/>
          </w:tcPr>
          <w:p>
            <w:pPr>
              <w:spacing w:after="20" w:before="20" w:line="240" w:lineRule="auto"/>
            </w:pPr>
            <w:r/>
            <w:r>
              <w:rPr>
                <w:rFonts w:ascii="Arial" w:hAnsi="Arial"/>
                <w:b w:val="0"/>
                <w:color w:val="202A33"/>
                <w:sz w:val="14"/>
              </w:rPr>
              <w:t>−632,100</w:t>
            </w:r>
          </w:p>
        </w:tc>
        <w:tc>
          <w:tcPr>
            <w:tcW w:type="dxa" w:w="1701"/>
            <w:vAlign w:val="center"/>
          </w:tcPr>
          <w:p>
            <w:pPr>
              <w:spacing w:after="20" w:before="20" w:line="240" w:lineRule="auto"/>
            </w:pPr>
            <w:r/>
            <w:r>
              <w:rPr>
                <w:rFonts w:ascii="Arial" w:hAnsi="Arial"/>
                <w:b w:val="0"/>
                <w:color w:val="202A33"/>
                <w:sz w:val="14"/>
              </w:rPr>
              <w:t>−309,209</w:t>
            </w:r>
          </w:p>
        </w:tc>
        <w:tc>
          <w:tcPr>
            <w:tcW w:type="dxa" w:w="1814"/>
            <w:vAlign w:val="center"/>
          </w:tcPr>
          <w:p>
            <w:pPr>
              <w:spacing w:after="20" w:before="20" w:line="240" w:lineRule="auto"/>
            </w:pPr>
            <w:r/>
            <w:r>
              <w:rPr>
                <w:rFonts w:ascii="Arial" w:hAnsi="Arial"/>
                <w:b w:val="0"/>
                <w:color w:val="202A33"/>
                <w:sz w:val="14"/>
              </w:rPr>
              <w:t>−23.033,353</w:t>
            </w:r>
          </w:p>
        </w:tc>
        <w:tc>
          <w:tcPr>
            <w:tcW w:type="dxa" w:w="1814"/>
            <w:vAlign w:val="center"/>
          </w:tcPr>
          <w:p>
            <w:pPr>
              <w:spacing w:after="20" w:before="20" w:line="240" w:lineRule="auto"/>
            </w:pPr>
            <w:r/>
            <w:r>
              <w:rPr>
                <w:rFonts w:ascii="Arial" w:hAnsi="Arial"/>
                <w:b w:val="0"/>
                <w:color w:val="202A33"/>
                <w:sz w:val="14"/>
              </w:rPr>
              <w:t>−15.488,605</w:t>
            </w:r>
          </w:p>
        </w:tc>
      </w:tr>
      <w:tr>
        <w:tc>
          <w:tcPr>
            <w:tcW w:type="dxa" w:w="680"/>
            <w:vAlign w:val="center"/>
            <w:shd w:fill="F4F7F9"/>
          </w:tcPr>
          <w:p>
            <w:pPr>
              <w:spacing w:after="20" w:before="20" w:line="240" w:lineRule="auto"/>
            </w:pPr>
            <w:r/>
            <w:r>
              <w:rPr>
                <w:rFonts w:ascii="Arial" w:hAnsi="Arial"/>
                <w:b w:val="0"/>
                <w:color w:val="202A33"/>
                <w:sz w:val="14"/>
              </w:rPr>
              <w:t>3</w:t>
            </w:r>
          </w:p>
        </w:tc>
        <w:tc>
          <w:tcPr>
            <w:tcW w:type="dxa" w:w="907"/>
            <w:vAlign w:val="center"/>
            <w:shd w:fill="F4F7F9"/>
          </w:tcPr>
          <w:p>
            <w:pPr>
              <w:spacing w:after="20" w:before="20" w:line="240" w:lineRule="auto"/>
            </w:pPr>
            <w:r/>
            <w:r>
              <w:rPr>
                <w:rFonts w:ascii="Arial" w:hAnsi="Arial"/>
                <w:b w:val="0"/>
                <w:color w:val="202A33"/>
                <w:sz w:val="14"/>
              </w:rPr>
              <w:t>2–3</w:t>
            </w:r>
          </w:p>
        </w:tc>
        <w:tc>
          <w:tcPr>
            <w:tcW w:type="dxa" w:w="1701"/>
            <w:vAlign w:val="center"/>
            <w:shd w:fill="F4F7F9"/>
          </w:tcPr>
          <w:p>
            <w:pPr>
              <w:spacing w:after="20" w:before="20" w:line="240" w:lineRule="auto"/>
            </w:pPr>
            <w:r/>
            <w:r>
              <w:rPr>
                <w:rFonts w:ascii="Arial" w:hAnsi="Arial"/>
                <w:b w:val="0"/>
                <w:color w:val="202A33"/>
                <w:sz w:val="14"/>
              </w:rPr>
              <w:t>−309,209</w:t>
            </w:r>
          </w:p>
        </w:tc>
        <w:tc>
          <w:tcPr>
            <w:tcW w:type="dxa" w:w="1701"/>
            <w:vAlign w:val="center"/>
            <w:shd w:fill="F4F7F9"/>
          </w:tcPr>
          <w:p>
            <w:pPr>
              <w:spacing w:after="20" w:before="20" w:line="240" w:lineRule="auto"/>
            </w:pPr>
            <w:r/>
            <w:r>
              <w:rPr>
                <w:rFonts w:ascii="Arial" w:hAnsi="Arial"/>
                <w:b w:val="0"/>
                <w:color w:val="202A33"/>
                <w:sz w:val="14"/>
              </w:rPr>
              <w:t>−123,450</w:t>
            </w:r>
          </w:p>
        </w:tc>
        <w:tc>
          <w:tcPr>
            <w:tcW w:type="dxa" w:w="1814"/>
            <w:vAlign w:val="center"/>
            <w:shd w:fill="F4F7F9"/>
          </w:tcPr>
          <w:p>
            <w:pPr>
              <w:spacing w:after="20" w:before="20" w:line="240" w:lineRule="auto"/>
            </w:pPr>
            <w:r/>
            <w:r>
              <w:rPr>
                <w:rFonts w:ascii="Arial" w:hAnsi="Arial"/>
                <w:b w:val="0"/>
                <w:color w:val="202A33"/>
                <w:sz w:val="14"/>
              </w:rPr>
              <w:t>−14.729,438</w:t>
            </w:r>
          </w:p>
        </w:tc>
        <w:tc>
          <w:tcPr>
            <w:tcW w:type="dxa" w:w="1814"/>
            <w:vAlign w:val="center"/>
            <w:shd w:fill="F4F7F9"/>
          </w:tcPr>
          <w:p>
            <w:pPr>
              <w:spacing w:after="20" w:before="20" w:line="240" w:lineRule="auto"/>
            </w:pPr>
            <w:r/>
            <w:r>
              <w:rPr>
                <w:rFonts w:ascii="Arial" w:hAnsi="Arial"/>
                <w:b w:val="0"/>
                <w:color w:val="202A33"/>
                <w:sz w:val="14"/>
              </w:rPr>
              <w:t>−5.440,188</w:t>
            </w:r>
          </w:p>
        </w:tc>
      </w:tr>
      <w:tr>
        <w:tc>
          <w:tcPr>
            <w:tcW w:type="dxa" w:w="680"/>
            <w:vAlign w:val="center"/>
          </w:tcPr>
          <w:p>
            <w:pPr>
              <w:spacing w:after="20" w:before="20" w:line="240" w:lineRule="auto"/>
            </w:pPr>
            <w:r/>
            <w:r>
              <w:rPr>
                <w:rFonts w:ascii="Arial" w:hAnsi="Arial"/>
                <w:b w:val="0"/>
                <w:color w:val="202A33"/>
                <w:sz w:val="14"/>
              </w:rPr>
              <w:t>3</w:t>
            </w:r>
          </w:p>
        </w:tc>
        <w:tc>
          <w:tcPr>
            <w:tcW w:type="dxa" w:w="907"/>
            <w:vAlign w:val="center"/>
          </w:tcPr>
          <w:p>
            <w:pPr>
              <w:spacing w:after="20" w:before="20" w:line="240" w:lineRule="auto"/>
            </w:pPr>
            <w:r/>
            <w:r>
              <w:rPr>
                <w:rFonts w:ascii="Arial" w:hAnsi="Arial"/>
                <w:b w:val="0"/>
                <w:color w:val="202A33"/>
                <w:sz w:val="14"/>
              </w:rPr>
              <w:t>3–4</w:t>
            </w:r>
          </w:p>
        </w:tc>
        <w:tc>
          <w:tcPr>
            <w:tcW w:type="dxa" w:w="1701"/>
            <w:vAlign w:val="center"/>
          </w:tcPr>
          <w:p>
            <w:pPr>
              <w:spacing w:after="20" w:before="20" w:line="240" w:lineRule="auto"/>
            </w:pPr>
            <w:r/>
            <w:r>
              <w:rPr>
                <w:rFonts w:ascii="Arial" w:hAnsi="Arial"/>
                <w:b w:val="0"/>
                <w:color w:val="202A33"/>
                <w:sz w:val="14"/>
              </w:rPr>
              <w:t>−88,170</w:t>
            </w:r>
          </w:p>
        </w:tc>
        <w:tc>
          <w:tcPr>
            <w:tcW w:type="dxa" w:w="1701"/>
            <w:vAlign w:val="center"/>
          </w:tcPr>
          <w:p>
            <w:pPr>
              <w:spacing w:after="20" w:before="20" w:line="240" w:lineRule="auto"/>
            </w:pPr>
            <w:r/>
            <w:r>
              <w:rPr>
                <w:rFonts w:ascii="Arial" w:hAnsi="Arial"/>
                <w:b w:val="0"/>
                <w:color w:val="202A33"/>
                <w:sz w:val="14"/>
              </w:rPr>
              <w:t>0,000</w:t>
            </w:r>
          </w:p>
        </w:tc>
        <w:tc>
          <w:tcPr>
            <w:tcW w:type="dxa" w:w="1814"/>
            <w:vAlign w:val="center"/>
          </w:tcPr>
          <w:p>
            <w:pPr>
              <w:spacing w:after="20" w:before="20" w:line="240" w:lineRule="auto"/>
            </w:pPr>
            <w:r/>
            <w:r>
              <w:rPr>
                <w:rFonts w:ascii="Arial" w:hAnsi="Arial"/>
                <w:b w:val="0"/>
                <w:color w:val="202A33"/>
                <w:sz w:val="14"/>
              </w:rPr>
              <w:t>−5.107,922</w:t>
            </w:r>
          </w:p>
        </w:tc>
        <w:tc>
          <w:tcPr>
            <w:tcW w:type="dxa" w:w="1814"/>
            <w:vAlign w:val="center"/>
          </w:tcPr>
          <w:p>
            <w:pPr>
              <w:spacing w:after="20" w:before="20" w:line="240" w:lineRule="auto"/>
            </w:pPr>
            <w:r/>
            <w:r>
              <w:rPr>
                <w:rFonts w:ascii="Arial" w:hAnsi="Arial"/>
                <w:b w:val="0"/>
                <w:color w:val="202A33"/>
                <w:sz w:val="14"/>
              </w:rPr>
              <w:t>21,535</w:t>
            </w:r>
          </w:p>
        </w:tc>
      </w:tr>
      <w:tr>
        <w:tc>
          <w:tcPr>
            <w:tcW w:type="dxa" w:w="680"/>
            <w:vAlign w:val="center"/>
            <w:shd w:fill="F4F7F9"/>
          </w:tcPr>
          <w:p>
            <w:pPr>
              <w:spacing w:after="20" w:before="20" w:line="240" w:lineRule="auto"/>
            </w:pPr>
            <w:r/>
            <w:r>
              <w:rPr>
                <w:rFonts w:ascii="Arial" w:hAnsi="Arial"/>
                <w:b w:val="0"/>
                <w:color w:val="202A33"/>
                <w:sz w:val="14"/>
              </w:rPr>
              <w:t>4</w:t>
            </w:r>
          </w:p>
        </w:tc>
        <w:tc>
          <w:tcPr>
            <w:tcW w:type="dxa" w:w="907"/>
            <w:vAlign w:val="center"/>
            <w:shd w:fill="F4F7F9"/>
          </w:tcPr>
          <w:p>
            <w:pPr>
              <w:spacing w:after="20" w:before="20" w:line="240" w:lineRule="auto"/>
            </w:pPr>
            <w:r/>
            <w:r>
              <w:rPr>
                <w:rFonts w:ascii="Arial" w:hAnsi="Arial"/>
                <w:b w:val="0"/>
                <w:color w:val="202A33"/>
                <w:sz w:val="14"/>
              </w:rPr>
              <w:t>1–2</w:t>
            </w:r>
          </w:p>
        </w:tc>
        <w:tc>
          <w:tcPr>
            <w:tcW w:type="dxa" w:w="1701"/>
            <w:vAlign w:val="center"/>
            <w:shd w:fill="F4F7F9"/>
          </w:tcPr>
          <w:p>
            <w:pPr>
              <w:spacing w:after="20" w:before="20" w:line="240" w:lineRule="auto"/>
            </w:pPr>
            <w:r/>
            <w:r>
              <w:rPr>
                <w:rFonts w:ascii="Arial" w:hAnsi="Arial"/>
                <w:b w:val="0"/>
                <w:color w:val="202A33"/>
                <w:sz w:val="14"/>
              </w:rPr>
              <w:t>−613,784</w:t>
            </w:r>
          </w:p>
        </w:tc>
        <w:tc>
          <w:tcPr>
            <w:tcW w:type="dxa" w:w="1701"/>
            <w:vAlign w:val="center"/>
            <w:shd w:fill="F4F7F9"/>
          </w:tcPr>
          <w:p>
            <w:pPr>
              <w:spacing w:after="20" w:before="20" w:line="240" w:lineRule="auto"/>
            </w:pPr>
            <w:r/>
            <w:r>
              <w:rPr>
                <w:rFonts w:ascii="Arial" w:hAnsi="Arial"/>
                <w:b w:val="0"/>
                <w:color w:val="202A33"/>
                <w:sz w:val="14"/>
              </w:rPr>
              <w:t>−361,469</w:t>
            </w:r>
          </w:p>
        </w:tc>
        <w:tc>
          <w:tcPr>
            <w:tcW w:type="dxa" w:w="1814"/>
            <w:vAlign w:val="center"/>
            <w:shd w:fill="F4F7F9"/>
          </w:tcPr>
          <w:p>
            <w:pPr>
              <w:spacing w:after="20" w:before="20" w:line="240" w:lineRule="auto"/>
            </w:pPr>
            <w:r/>
            <w:r>
              <w:rPr>
                <w:rFonts w:ascii="Arial" w:hAnsi="Arial"/>
                <w:b w:val="0"/>
                <w:color w:val="202A33"/>
                <w:sz w:val="14"/>
              </w:rPr>
              <w:t>−22.866,057</w:t>
            </w:r>
          </w:p>
        </w:tc>
        <w:tc>
          <w:tcPr>
            <w:tcW w:type="dxa" w:w="1814"/>
            <w:vAlign w:val="center"/>
            <w:shd w:fill="F4F7F9"/>
          </w:tcPr>
          <w:p>
            <w:pPr>
              <w:spacing w:after="20" w:before="20" w:line="240" w:lineRule="auto"/>
            </w:pPr>
            <w:r/>
            <w:r>
              <w:rPr>
                <w:rFonts w:ascii="Arial" w:hAnsi="Arial"/>
                <w:b w:val="0"/>
                <w:color w:val="202A33"/>
                <w:sz w:val="14"/>
              </w:rPr>
              <w:t>−15.427,961</w:t>
            </w:r>
          </w:p>
        </w:tc>
      </w:tr>
      <w:tr>
        <w:tc>
          <w:tcPr>
            <w:tcW w:type="dxa" w:w="680"/>
            <w:vAlign w:val="center"/>
          </w:tcPr>
          <w:p>
            <w:pPr>
              <w:spacing w:after="20" w:before="20" w:line="240" w:lineRule="auto"/>
            </w:pPr>
            <w:r/>
            <w:r>
              <w:rPr>
                <w:rFonts w:ascii="Arial" w:hAnsi="Arial"/>
                <w:b w:val="0"/>
                <w:color w:val="202A33"/>
                <w:sz w:val="14"/>
              </w:rPr>
              <w:t>4</w:t>
            </w:r>
          </w:p>
        </w:tc>
        <w:tc>
          <w:tcPr>
            <w:tcW w:type="dxa" w:w="907"/>
            <w:vAlign w:val="center"/>
          </w:tcPr>
          <w:p>
            <w:pPr>
              <w:spacing w:after="20" w:before="20" w:line="240" w:lineRule="auto"/>
            </w:pPr>
            <w:r/>
            <w:r>
              <w:rPr>
                <w:rFonts w:ascii="Arial" w:hAnsi="Arial"/>
                <w:b w:val="0"/>
                <w:color w:val="202A33"/>
                <w:sz w:val="14"/>
              </w:rPr>
              <w:t>2–3</w:t>
            </w:r>
          </w:p>
        </w:tc>
        <w:tc>
          <w:tcPr>
            <w:tcW w:type="dxa" w:w="1701"/>
            <w:vAlign w:val="center"/>
          </w:tcPr>
          <w:p>
            <w:pPr>
              <w:spacing w:after="20" w:before="20" w:line="240" w:lineRule="auto"/>
            </w:pPr>
            <w:r/>
            <w:r>
              <w:rPr>
                <w:rFonts w:ascii="Arial" w:hAnsi="Arial"/>
                <w:b w:val="0"/>
                <w:color w:val="202A33"/>
                <w:sz w:val="14"/>
              </w:rPr>
              <w:t>−260,669</w:t>
            </w:r>
          </w:p>
        </w:tc>
        <w:tc>
          <w:tcPr>
            <w:tcW w:type="dxa" w:w="1701"/>
            <w:vAlign w:val="center"/>
          </w:tcPr>
          <w:p>
            <w:pPr>
              <w:spacing w:after="20" w:before="20" w:line="240" w:lineRule="auto"/>
            </w:pPr>
            <w:r/>
            <w:r>
              <w:rPr>
                <w:rFonts w:ascii="Arial" w:hAnsi="Arial"/>
                <w:b w:val="0"/>
                <w:color w:val="202A33"/>
                <w:sz w:val="14"/>
              </w:rPr>
              <w:t>−134,324</w:t>
            </w:r>
          </w:p>
        </w:tc>
        <w:tc>
          <w:tcPr>
            <w:tcW w:type="dxa" w:w="1814"/>
            <w:vAlign w:val="center"/>
          </w:tcPr>
          <w:p>
            <w:pPr>
              <w:spacing w:after="20" w:before="20" w:line="240" w:lineRule="auto"/>
            </w:pPr>
            <w:r/>
            <w:r>
              <w:rPr>
                <w:rFonts w:ascii="Arial" w:hAnsi="Arial"/>
                <w:b w:val="0"/>
                <w:color w:val="202A33"/>
                <w:sz w:val="14"/>
              </w:rPr>
              <w:t>−14.937,162</w:t>
            </w:r>
          </w:p>
        </w:tc>
        <w:tc>
          <w:tcPr>
            <w:tcW w:type="dxa" w:w="1814"/>
            <w:vAlign w:val="center"/>
          </w:tcPr>
          <w:p>
            <w:pPr>
              <w:spacing w:after="20" w:before="20" w:line="240" w:lineRule="auto"/>
            </w:pPr>
            <w:r/>
            <w:r>
              <w:rPr>
                <w:rFonts w:ascii="Arial" w:hAnsi="Arial"/>
                <w:b w:val="0"/>
                <w:color w:val="202A33"/>
                <w:sz w:val="14"/>
              </w:rPr>
              <w:t>−5.313,322</w:t>
            </w:r>
          </w:p>
        </w:tc>
      </w:tr>
      <w:tr>
        <w:tc>
          <w:tcPr>
            <w:tcW w:type="dxa" w:w="680"/>
            <w:vAlign w:val="center"/>
            <w:shd w:fill="F4F7F9"/>
          </w:tcPr>
          <w:p>
            <w:pPr>
              <w:spacing w:after="20" w:before="20" w:line="240" w:lineRule="auto"/>
            </w:pPr>
            <w:r/>
            <w:r>
              <w:rPr>
                <w:rFonts w:ascii="Arial" w:hAnsi="Arial"/>
                <w:b w:val="0"/>
                <w:color w:val="202A33"/>
                <w:sz w:val="14"/>
              </w:rPr>
              <w:t>4</w:t>
            </w:r>
          </w:p>
        </w:tc>
        <w:tc>
          <w:tcPr>
            <w:tcW w:type="dxa" w:w="907"/>
            <w:vAlign w:val="center"/>
            <w:shd w:fill="F4F7F9"/>
          </w:tcPr>
          <w:p>
            <w:pPr>
              <w:spacing w:after="20" w:before="20" w:line="240" w:lineRule="auto"/>
            </w:pPr>
            <w:r/>
            <w:r>
              <w:rPr>
                <w:rFonts w:ascii="Arial" w:hAnsi="Arial"/>
                <w:b w:val="0"/>
                <w:color w:val="202A33"/>
                <w:sz w:val="14"/>
              </w:rPr>
              <w:t>3–4</w:t>
            </w:r>
          </w:p>
        </w:tc>
        <w:tc>
          <w:tcPr>
            <w:tcW w:type="dxa" w:w="1701"/>
            <w:vAlign w:val="center"/>
            <w:shd w:fill="F4F7F9"/>
          </w:tcPr>
          <w:p>
            <w:pPr>
              <w:spacing w:after="20" w:before="20" w:line="240" w:lineRule="auto"/>
            </w:pPr>
            <w:r/>
            <w:r>
              <w:rPr>
                <w:rFonts w:ascii="Arial" w:hAnsi="Arial"/>
                <w:b w:val="0"/>
                <w:color w:val="202A33"/>
                <w:sz w:val="14"/>
              </w:rPr>
              <w:t>−68,804</w:t>
            </w:r>
          </w:p>
        </w:tc>
        <w:tc>
          <w:tcPr>
            <w:tcW w:type="dxa" w:w="1701"/>
            <w:vAlign w:val="center"/>
            <w:shd w:fill="F4F7F9"/>
          </w:tcPr>
          <w:p>
            <w:pPr>
              <w:spacing w:after="20" w:before="20" w:line="240" w:lineRule="auto"/>
            </w:pPr>
            <w:r/>
            <w:r>
              <w:rPr>
                <w:rFonts w:ascii="Arial" w:hAnsi="Arial"/>
                <w:b w:val="0"/>
                <w:color w:val="202A33"/>
                <w:sz w:val="14"/>
              </w:rPr>
              <w:t>−65,520</w:t>
            </w:r>
          </w:p>
        </w:tc>
        <w:tc>
          <w:tcPr>
            <w:tcW w:type="dxa" w:w="1814"/>
            <w:vAlign w:val="center"/>
            <w:shd w:fill="F4F7F9"/>
          </w:tcPr>
          <w:p>
            <w:pPr>
              <w:spacing w:after="20" w:before="20" w:line="240" w:lineRule="auto"/>
            </w:pPr>
            <w:r/>
            <w:r>
              <w:rPr>
                <w:rFonts w:ascii="Arial" w:hAnsi="Arial"/>
                <w:b w:val="0"/>
                <w:color w:val="202A33"/>
                <w:sz w:val="14"/>
              </w:rPr>
              <w:t>−5.105,840</w:t>
            </w:r>
          </w:p>
        </w:tc>
        <w:tc>
          <w:tcPr>
            <w:tcW w:type="dxa" w:w="1814"/>
            <w:vAlign w:val="center"/>
            <w:shd w:fill="F4F7F9"/>
          </w:tcPr>
          <w:p>
            <w:pPr>
              <w:spacing w:after="20" w:before="20" w:line="240" w:lineRule="auto"/>
            </w:pPr>
            <w:r/>
            <w:r>
              <w:rPr>
                <w:rFonts w:ascii="Arial" w:hAnsi="Arial"/>
                <w:b w:val="0"/>
                <w:color w:val="202A33"/>
                <w:sz w:val="14"/>
              </w:rPr>
              <w:t>−28,634</w:t>
            </w:r>
          </w:p>
        </w:tc>
      </w:tr>
    </w:tbl>
    <w:p>
      <w:pPr>
        <w:spacing w:after="20"/>
      </w:pPr>
    </w:p>
    <w:p>
      <w:r>
        <w:t>Observa-se que, neste cenário, a análise de segunda ordem linearizada amplia fortemente os módulos dos momentos. Na base do primeiro trecho, os momentos de primeira ordem variam aproximadamente entre −614 e −640 kN·m, enquanto os valores recuperados de segunda ordem ficam próximos de −22.900 a −23.000 kN·m. Essa amplificação, associada ao fator crítico modal próximo de 1, evidencia que os valores não devem ser tratados como esforços de dimensionamento sem uma verificação independente e uma formulação mais robusta de segunda ordem.</w:t>
      </w:r>
    </w:p>
    <w:p>
      <w:pPr>
        <w:spacing w:after="20"/>
        <w:jc w:val="center"/>
      </w:pPr>
      <w:r>
        <w:drawing>
          <wp:inline xmlns:a="http://schemas.openxmlformats.org/drawingml/2006/main" xmlns:pic="http://schemas.openxmlformats.org/drawingml/2006/picture">
            <wp:extent cx="5669280" cy="2645664"/>
            <wp:docPr id="4" name="Picture 4"/>
            <wp:cNvGraphicFramePr>
              <a:graphicFrameLocks noChangeAspect="1"/>
            </wp:cNvGraphicFramePr>
            <a:graphic>
              <a:graphicData uri="http://schemas.openxmlformats.org/drawingml/2006/picture">
                <pic:pic>
                  <pic:nvPicPr>
                    <pic:cNvPr id="0" name="momentos_segunda_ordem.png"/>
                    <pic:cNvPicPr/>
                  </pic:nvPicPr>
                  <pic:blipFill>
                    <a:blip r:embed="rId14"/>
                    <a:stretch>
                      <a:fillRect/>
                    </a:stretch>
                  </pic:blipFill>
                  <pic:spPr>
                    <a:xfrm>
                      <a:off x="0" y="0"/>
                      <a:ext cx="5669280" cy="2645664"/>
                    </a:xfrm>
                    <a:prstGeom prst="rect"/>
                  </pic:spPr>
                </pic:pic>
              </a:graphicData>
            </a:graphic>
          </wp:inline>
        </w:drawing>
      </w:r>
    </w:p>
    <w:p>
      <w:pPr>
        <w:pStyle w:val="CaptionCustom"/>
      </w:pPr>
      <w:r>
        <w:t>Figura 4 - Comparação dos maiores momentos de segunda ordem registrados para cada configuração. A escala logarítmica é utilizada para permitir a visualização conjunta das ordens de grandeza; os valores de E3 são alertas do modelo e não esforços validados para dimensionamento.</w:t>
      </w:r>
    </w:p>
    <w:p>
      <w:pPr>
        <w:pStyle w:val="Heading2"/>
      </w:pPr>
      <w:r>
        <w:t>5.9 Envoltórias e combinações governantes</w:t>
      </w:r>
    </w:p>
    <w:p>
      <w:r>
        <w:t>As envoltórias foram construídas considerando os sinais positivos e negativos do vento, os sentidos da imperfeição e os padrões de sobrecarga parcial nos vãos. A memória distingue as envoltórias regulares dos diagnósticos de casos quase críticos. Para E3, entretanto, a envoltória classificada como regular ainda contém momentos muito elevados: aproximadamente 95.130 kN·m para E3/F1 e 106.133 kN·m para E3/F2. Esses valores devem ser considerados saídas numéricas sensíveis do modelo e não esforços validados para dimensionamento.</w:t>
      </w:r>
    </w:p>
    <w:p>
      <w:r>
        <w:t>Os casos governantes variam conforme a grandeza analisada. Na memória, as maiores solicitações de primeira ordem são associadas principalmente à combinação C3, com vento principal, distribuição V1 e padrões específicos de sobrecarga parcial. Os máximos de γz aparecem em cenários C2 com vento acompanhante, enquanto as menores relações β de Hogeslag são associadas à combinação C1, com sobrecarga principal e sem vento. As maiores forças normais de base são associadas à combinação C1 e a distribuições de Q que carregam os vãos de maior contribuição vertical.</w:t>
      </w:r>
    </w:p>
    <w:p>
      <w:r>
        <w:t>A identificação automática dos casos governantes é útil para rastrear as distribuições que controlam cada resposta. Entretanto, a governança de γz, de Hogeslag, dos deslocamentos e dos momentos deve permanecer separada: o caso que maximiza um indicador não necessariamente maximiza os demais.</w:t>
      </w:r>
    </w:p>
    <w:p>
      <w:pPr>
        <w:pStyle w:val="Heading1"/>
      </w:pPr>
      <w:r>
        <w:t>6. DISCUSSÃO COMPARATIVA</w:t>
      </w:r>
    </w:p>
    <w:p>
      <w:pPr>
        <w:pStyle w:val="Heading2"/>
      </w:pPr>
      <w:r>
        <w:t>6.1 Estruturas E1 e E2</w:t>
      </w:r>
    </w:p>
    <w:p>
      <w:r>
        <w:t>E1 apresentou o comportamento global mais rígido, com menores deslocamentos relativos, baixos valores de γz e maiores margens em relação à perda de positividade da matriz geométrica. A diferença entre F1 e F2 é perceptível nos deslocamentos, mas não altera a classificação de estabilidade linearizada dos cenários avaliados.</w:t>
      </w:r>
    </w:p>
    <w:p>
      <w:r>
        <w:t>E2 apresenta aumento expressivo dos deslocamentos e dos momentos em relação a E1. A influência da fundação F2 se torna mais evidente: o maior deslocamento relativo sobe de 227,370 mm para 268,959 mm e o maior γz finito registrado passa de 1,581 para 1,864. A menor rigidez rotacional da base reduz a rigidez lateral global e aumenta a sensibilidade do sistema aos efeitos de segunda ordem.</w:t>
      </w:r>
    </w:p>
    <w:p>
      <w:pPr>
        <w:pStyle w:val="Heading2"/>
      </w:pPr>
      <w:r>
        <w:t>6.2 Estrutura E3</w:t>
      </w:r>
    </w:p>
    <w:p>
      <w:r>
        <w:t>E3 concentra os principais problemas de estabilidade. Mesmo com F1, 3.870 cenários foram classificados como instáveis ou sem solução estável de segunda ordem. Com F2, esse número chega a 8.376. A estrutura de maior altura combina maiores cargas verticais acumuladas, deslocamentos laterais mais elevados e maior influência dos efeitos geométricos de segunda ordem.</w:t>
      </w:r>
    </w:p>
    <w:p>
      <w:r>
        <w:t>Os valores de β de Hogeslag inferiores a 1 (mínimos de 0,395 em F1 e 0,367 em F2) são coerentes com a indicação de que a carga de cálculo supera a força de referência do modelo simplificado nos cenários críticos. A análise modal também apresenta menores autovalores normalizados e valores negativos nos casos governantes das estruturas E3. Esses indicadores convergem para a conclusão de que a configuração inicial de 40 × 40 cm deve ser investigada com especial atenção, mas não permitem, isoladamente, definir uma nova seção final.</w:t>
      </w:r>
    </w:p>
    <w:p>
      <w:pPr>
        <w:pStyle w:val="Heading2"/>
      </w:pPr>
      <w:r>
        <w:t>6.3 Influência da distribuição de carregamento</w:t>
      </w:r>
    </w:p>
    <w:p>
      <w:r>
        <w:t>O carregamento parcial das sobrecargas modifica as reações individuais e os momentos excêntricos transmitidos aos pilares. Nos pilares internos, a combinação algébrica das reações de vãos adjacentes pode aumentar, reduzir ou inverter o momento resultante. Por isso, a análise de todas as distribuições parciais é relevante para formar as envoltórias de momentos e identificar os casos governantes locais.</w:t>
      </w:r>
    </w:p>
    <w:p>
      <w:r>
        <w:t>As combinações C1 a C4 também controlam diferentes grandezas. C1 tende a governar forças normais verticais em situações com Q principal e sem vento; C3, com vento principal e Q acompanhante, aparece em vários casos governantes de momentos; C2 pode controlar razões de estabilidade que combinam Q principal e vento acompanhante. Essa separação confirma que a análise deve considerar múltiplas combinações e não apenas um único cenário de referência.</w:t>
      </w:r>
    </w:p>
    <w:p>
      <w:pPr>
        <w:pStyle w:val="Heading1"/>
      </w:pPr>
      <w:r>
        <w:t>7. LIMITAÇÕES E CUIDADOS NA UTILIZAÇÃO DOS RESULTADOS</w:t>
      </w:r>
    </w:p>
    <w:p>
      <w:pPr>
        <w:pStyle w:val="ListBullet"/>
        <w:spacing w:after="60"/>
      </w:pPr>
      <w:r>
        <w:t>O coeficiente γz é utilizado como comparação didática, pois as estruturas estudadas possuem menos de quatro pavimentos, conforme a ressalva do enunciado.</w:t>
      </w:r>
    </w:p>
    <w:p>
      <w:pPr>
        <w:pStyle w:val="ListBullet"/>
        <w:spacing w:after="60"/>
      </w:pPr>
      <w:r>
        <w:t>Os parâmetros de Hogeslag dependem das equivalências adotadas para (EI)eq, comprimento de flambagem ℓe e altura equivalente Hf. A adaptação a cargas em vários níveis e fundações com molas exige fundamentação na bibliografia indicada.</w:t>
      </w:r>
    </w:p>
    <w:p>
      <w:pPr>
        <w:pStyle w:val="ListBullet"/>
        <w:spacing w:after="60"/>
      </w:pPr>
      <w:r>
        <w:t>A análise (K_E − K_G)d = F mantém as forças normais de primeira ordem constantes. Não incorpora, por si só, não linearidade material, grandes rotações, redistribuição não linear de esforços normais ou todos os efeitos locais de segunda ordem.</w:t>
      </w:r>
    </w:p>
    <w:p>
      <w:pPr>
        <w:pStyle w:val="ListBullet"/>
        <w:spacing w:after="60"/>
      </w:pPr>
      <w:r>
        <w:t>A positividade de K_E − K_G é condição necessária para a solução linearizada, mas não constitui verificação normativa completa nem garantia de resposta fisicamente admissível.</w:t>
      </w:r>
    </w:p>
    <w:p>
      <w:pPr>
        <w:pStyle w:val="ListBullet"/>
        <w:spacing w:after="60"/>
      </w:pPr>
      <w:r>
        <w:t>A memória registra deslocamentos de segunda ordem muito elevados no caso detalhado e momentos muito altos nas envoltórias de E3. Esses resultados devem ser tratados como indicação de sensibilidade/limitação do modelo, não como esforços definitivos de dimensionamento.</w:t>
      </w:r>
    </w:p>
    <w:p>
      <w:pPr>
        <w:pStyle w:val="ListBullet"/>
        <w:spacing w:after="60"/>
      </w:pPr>
      <w:r>
        <w:t>A análise por autovalores é uma referência complementar. Ela não substitui Hogeslag nem uma análise P–Δ não linear independente.</w:t>
      </w:r>
    </w:p>
    <w:p>
      <w:pPr>
        <w:pStyle w:val="ListBullet"/>
        <w:spacing w:after="60"/>
      </w:pPr>
      <w:r>
        <w:t>As curvas de momentos são amostradas ao longo dos elementos. A localização de extremos internos depende da resolução espacial adotada e da validação do procedimento de recuperação de esforços.</w:t>
      </w:r>
    </w:p>
    <w:p>
      <w:pPr>
        <w:pStyle w:val="ListBullet"/>
        <w:spacing w:after="60"/>
      </w:pPr>
      <w:r>
        <w:t>A verificação de ações permanentes favoráveis depende do coeficiente informado pelo usuário e de sua fonte normativa. A memória final registra essa condição como hipótese/validação pendente; portanto, não se deve afirmar que todas as combinações favoráveis foram verificadas nesta execução.</w:t>
      </w:r>
    </w:p>
    <w:p>
      <w:pPr>
        <w:pStyle w:val="ListBullet"/>
        <w:spacing w:after="60"/>
      </w:pPr>
      <w:r>
        <w:t>A busca progressiva de seções não foi solicitada na execução que gerou a memória final. Assim, este relatório não apresenta uma seção alternativa como solução dimensionada.</w:t>
      </w:r>
    </w:p>
    <w:p>
      <w:r>
        <w:br w:type="page"/>
      </w:r>
    </w:p>
    <w:tbl>
      <w:tblPr>
        <w:tblW w:type="auto" w:w="0"/>
        <w:jc w:val="center"/>
        <w:tblLayout w:type="fixed"/>
        <w:tblLook w:firstColumn="1" w:firstRow="1" w:lastColumn="0" w:lastRow="0" w:noHBand="0" w:noVBand="1" w:val="04A0"/>
      </w:tblPr>
      <w:tblGrid>
        <w:gridCol w:w="9354"/>
      </w:tblGrid>
      <w:tr>
        <w:tc>
          <w:tcPr>
            <w:tcW w:type="dxa" w:w="9859"/>
            <w:shd w:fill="EAF1F5"/>
          </w:tcPr>
          <w:p>
            <w:pPr>
              <w:spacing w:after="40"/>
            </w:pPr>
            <w:r/>
            <w:r>
              <w:rPr>
                <w:rFonts w:ascii="Arial" w:hAnsi="Arial"/>
                <w:b/>
                <w:color w:val="1F6E73"/>
                <w:sz w:val="20"/>
              </w:rPr>
              <w:t>Limite de interpretação</w:t>
              <w:br/>
            </w:r>
            <w:r>
              <w:rPr>
                <w:rFonts w:ascii="Arial" w:hAnsi="Arial"/>
                <w:sz w:val="18"/>
              </w:rPr>
              <w:t>Os resultados numéricos são adequados para a comparação acadêmica proposta dentro das hipóteses documentadas, mas não equivalem a um projeto estrutural executivo nem a uma verificação completa segundo as normas. A seção final dos pilares somente poderá ser definida após análise independente e verificações de resistência, estabilidade local e detalhamento.</w:t>
            </w:r>
          </w:p>
        </w:tc>
      </w:tr>
    </w:tbl>
    <w:p>
      <w:pPr>
        <w:spacing w:after="20"/>
      </w:pPr>
    </w:p>
    <w:p>
      <w:pPr>
        <w:pStyle w:val="Heading1"/>
      </w:pPr>
      <w:r>
        <w:t>8. CONCLUSÕES E RECOMENDAÇÕES</w:t>
      </w:r>
    </w:p>
    <w:p>
      <w:r>
        <w:t>A análise realizada demonstra que a estabilidade global é sensível ao número de pavimentos, à distribuição das ações e à rigidez rotacional das fundações. A estrutura E1 apresentou a resposta mais favorável, seguida por E2. A estrutura E3 concentrou a maior quantidade de cenários com perda de positividade da matriz geométrica e os maiores indicadores de deslocamento e momento de segunda ordem.</w:t>
      </w:r>
    </w:p>
    <w:p>
      <w:r>
        <w:t>A comparação entre F1 e F2 mostrou que a flexibilidade rotacional da fundação tende a aumentar os deslocamentos e a agravar os indicadores de estabilidade. Esse efeito foi particularmente intenso em E3: a proporção de cenários classificados como instáveis passou de aproximadamente 41,9% em F1 para 90,8% em F2. Portanto, a rigidez das fundações deve ser considerada na avaliação da estabilidade global, e não tratada como detalhe secundário do modelo.</w:t>
      </w:r>
    </w:p>
    <w:p>
      <w:r>
        <w:t>O parâmetro γz foi calculado a partir dos deslocamentos de primeira ordem, de acordo com o enunciado, e é apresentado como indicador comparativo. Para o cenário detalhado E3/F2/C2/V1, obteve-se γz = 6,425. O valor elevado revela grande sensibilidade dos efeitos globais de segunda ordem. Contudo, o número de pavimentos das estruturas estudadas limita a interpretação normativa do coeficiente, conforme explicitado no enunciado.</w:t>
      </w:r>
    </w:p>
    <w:p>
      <w:r>
        <w:t>O procedimento de Hogeslag resultou em β = 0,468 no cenário detalhado, abaixo da unidade, não sendo possível obter multiplicador γH positivo e finito pela expressão fornecida. Esse resultado reforça a necessidade de verificar a adequação do modelo equivalente, especialmente a representação da fundação e das cargas aplicadas em vários níveis. A análise modal, com λcr = 1,025, também indica proximidade da condição crítica para o caso detalhado.</w:t>
      </w:r>
    </w:p>
    <w:p>
      <w:r>
        <w:t>Os resultados de segunda ordem linearizada para E3 incluem deslocamentos e momentos de grande magnitude. Embora alguns casos permaneçam matematicamente resolvíveis, sua interpretação física é limitada pela proximidade da carga crítica e pelas hipóteses da formulação. Por essa razão, tais resultados devem ser apresentados como alertas de comportamento crítico do modelo, e não como esforços finais de dimensionamento.</w:t>
      </w:r>
    </w:p>
    <w:p>
      <w:pPr>
        <w:pStyle w:val="Heading2"/>
      </w:pPr>
      <w:r>
        <w:t>8.1 Recomendações</w:t>
      </w:r>
    </w:p>
    <w:p>
      <w:pPr>
        <w:pStyle w:val="ListNumber"/>
        <w:spacing w:after="60"/>
      </w:pPr>
      <w:r>
        <w:t>Manter a versão 1.3 do programa como ferramenta acadêmica para reprodução das combinações, obtenção dos indicadores e organização dos resultados, com as hipóteses e limitações registradas.</w:t>
      </w:r>
    </w:p>
    <w:p>
      <w:pPr>
        <w:pStyle w:val="ListNumber"/>
        <w:spacing w:after="60"/>
      </w:pPr>
      <w:r>
        <w:t>Para E3, realizar uma análise independente de segunda ordem (preferencialmente P–Δ ou não linear geométrica), conferindo os deslocamentos, os esforços recuperados e a proximidade à carga crítica.</w:t>
      </w:r>
    </w:p>
    <w:p>
      <w:pPr>
        <w:pStyle w:val="ListNumber"/>
        <w:spacing w:after="60"/>
      </w:pPr>
      <w:r>
        <w:t>Fundamentar as equivalências de Hogeslag com a bibliografia indicada no enunciado antes de atribuir interpretação conclusiva a β e γH.</w:t>
      </w:r>
    </w:p>
    <w:p>
      <w:pPr>
        <w:pStyle w:val="ListNumber"/>
        <w:spacing w:after="60"/>
      </w:pPr>
      <w:r>
        <w:t>Investigar seções maiores para E3, conforme solicitado no enunciado, mas tratar qualquer aumento de seção como estudo paramétrico preliminar, não como dimensionamento final.</w:t>
      </w:r>
    </w:p>
    <w:p>
      <w:pPr>
        <w:pStyle w:val="ListNumber"/>
        <w:spacing w:after="60"/>
      </w:pPr>
      <w:r>
        <w:t>Completar a verificação das ações permanentes favoráveis com os coeficientes e critérios normativos aplicáveis, registrando-os explicitamente.</w:t>
      </w:r>
    </w:p>
    <w:p>
      <w:pPr>
        <w:pStyle w:val="ListNumber"/>
        <w:spacing w:after="60"/>
      </w:pPr>
      <w:r>
        <w:t>Na entrega acadêmica, anexar a memória de cálculo gerada pelo programa e disponibilizar o código-fonte com instruções de execução.</w:t>
      </w:r>
    </w:p>
    <w:p>
      <w:r>
        <w:br w:type="page"/>
      </w:r>
    </w:p>
    <w:p>
      <w:pPr>
        <w:pStyle w:val="Heading1"/>
      </w:pPr>
      <w:r>
        <w:t>9. ATENDIMENTO AOS RESULTADOS SOLICITADOS</w:t>
      </w:r>
    </w:p>
    <w:tbl>
      <w:tblPr>
        <w:tblStyle w:val="TableGrid"/>
        <w:tblW w:type="auto" w:w="0"/>
        <w:jc w:val="center"/>
        <w:tblLayout w:type="fixed"/>
        <w:tblLook w:firstColumn="1" w:firstRow="1" w:lastColumn="0" w:lastRow="0" w:noHBand="0" w:noVBand="1" w:val="04A0"/>
      </w:tblPr>
      <w:tblGrid>
        <w:gridCol w:w="3286"/>
        <w:gridCol w:w="3286"/>
        <w:gridCol w:w="3286"/>
      </w:tblGrid>
      <w:tr>
        <w:trPr>
          <w:tblHeader w:val="true"/>
        </w:trPr>
        <w:tc>
          <w:tcPr>
            <w:tcW w:type="dxa" w:w="2381"/>
            <w:vAlign w:val="center"/>
            <w:shd w:fill="16324F"/>
          </w:tcPr>
          <w:p>
            <w:pPr>
              <w:spacing w:after="20" w:before="20" w:line="240" w:lineRule="auto"/>
              <w:jc w:val="center"/>
            </w:pPr>
            <w:r/>
            <w:r>
              <w:rPr>
                <w:rFonts w:ascii="Arial" w:hAnsi="Arial"/>
                <w:b/>
                <w:color w:val="FFFFFF"/>
                <w:sz w:val="14"/>
              </w:rPr>
              <w:t>Item do enunciado</w:t>
            </w:r>
          </w:p>
        </w:tc>
        <w:tc>
          <w:tcPr>
            <w:tcW w:type="dxa" w:w="2324"/>
            <w:vAlign w:val="center"/>
            <w:shd w:fill="16324F"/>
          </w:tcPr>
          <w:p>
            <w:pPr>
              <w:spacing w:after="20" w:before="20" w:line="240" w:lineRule="auto"/>
              <w:jc w:val="center"/>
            </w:pPr>
            <w:r/>
            <w:r>
              <w:rPr>
                <w:rFonts w:ascii="Arial" w:hAnsi="Arial"/>
                <w:b/>
                <w:color w:val="FFFFFF"/>
                <w:sz w:val="14"/>
              </w:rPr>
              <w:t>Onde está documentado</w:t>
            </w:r>
          </w:p>
        </w:tc>
        <w:tc>
          <w:tcPr>
            <w:tcW w:type="dxa" w:w="4025"/>
            <w:vAlign w:val="center"/>
            <w:shd w:fill="16324F"/>
          </w:tcPr>
          <w:p>
            <w:pPr>
              <w:spacing w:after="20" w:before="20" w:line="240" w:lineRule="auto"/>
              <w:jc w:val="center"/>
            </w:pPr>
            <w:r/>
            <w:r>
              <w:rPr>
                <w:rFonts w:ascii="Arial" w:hAnsi="Arial"/>
                <w:b/>
                <w:color w:val="FFFFFF"/>
                <w:sz w:val="14"/>
              </w:rPr>
              <w:t>Observação</w:t>
            </w:r>
          </w:p>
        </w:tc>
      </w:tr>
      <w:tr>
        <w:tc>
          <w:tcPr>
            <w:tcW w:type="dxa" w:w="2381"/>
            <w:vAlign w:val="center"/>
          </w:tcPr>
          <w:p>
            <w:pPr>
              <w:spacing w:after="20" w:before="20" w:line="240" w:lineRule="auto"/>
            </w:pPr>
            <w:r/>
            <w:r>
              <w:rPr>
                <w:rFonts w:ascii="Arial" w:hAnsi="Arial"/>
                <w:b w:val="0"/>
                <w:color w:val="202A33"/>
                <w:sz w:val="14"/>
              </w:rPr>
              <w:t>1. Reações, forças normais e momentos de 1ª ordem</w:t>
            </w:r>
          </w:p>
        </w:tc>
        <w:tc>
          <w:tcPr>
            <w:tcW w:type="dxa" w:w="2324"/>
            <w:vAlign w:val="center"/>
          </w:tcPr>
          <w:p>
            <w:pPr>
              <w:spacing w:after="20" w:before="20" w:line="240" w:lineRule="auto"/>
            </w:pPr>
            <w:r/>
            <w:r>
              <w:rPr>
                <w:rFonts w:ascii="Arial" w:hAnsi="Arial"/>
                <w:b w:val="0"/>
                <w:color w:val="202A33"/>
                <w:sz w:val="14"/>
              </w:rPr>
              <w:t>Memória, p. 3–6; Seção 5.7–5.8 deste relatório</w:t>
            </w:r>
          </w:p>
        </w:tc>
        <w:tc>
          <w:tcPr>
            <w:tcW w:type="dxa" w:w="4025"/>
            <w:vAlign w:val="center"/>
          </w:tcPr>
          <w:p>
            <w:pPr>
              <w:spacing w:after="20" w:before="20" w:line="240" w:lineRule="auto"/>
            </w:pPr>
            <w:r/>
            <w:r>
              <w:rPr>
                <w:rFonts w:ascii="Arial" w:hAnsi="Arial"/>
                <w:b w:val="0"/>
                <w:color w:val="202A33"/>
                <w:sz w:val="14"/>
              </w:rPr>
              <w:t>Resultados por pilar/trecho no caso detalhado e casos governantes na varredura.</w:t>
            </w:r>
          </w:p>
        </w:tc>
      </w:tr>
      <w:tr>
        <w:tc>
          <w:tcPr>
            <w:tcW w:type="dxa" w:w="2381"/>
            <w:vAlign w:val="center"/>
            <w:shd w:fill="F4F7F9"/>
          </w:tcPr>
          <w:p>
            <w:pPr>
              <w:spacing w:after="20" w:before="20" w:line="240" w:lineRule="auto"/>
            </w:pPr>
            <w:r/>
            <w:r>
              <w:rPr>
                <w:rFonts w:ascii="Arial" w:hAnsi="Arial"/>
                <w:b w:val="0"/>
                <w:color w:val="202A33"/>
                <w:sz w:val="14"/>
              </w:rPr>
              <w:t>2. Deslocamentos e derivas</w:t>
            </w:r>
          </w:p>
        </w:tc>
        <w:tc>
          <w:tcPr>
            <w:tcW w:type="dxa" w:w="2324"/>
            <w:vAlign w:val="center"/>
            <w:shd w:fill="F4F7F9"/>
          </w:tcPr>
          <w:p>
            <w:pPr>
              <w:spacing w:after="20" w:before="20" w:line="240" w:lineRule="auto"/>
            </w:pPr>
            <w:r/>
            <w:r>
              <w:rPr>
                <w:rFonts w:ascii="Arial" w:hAnsi="Arial"/>
                <w:b w:val="0"/>
                <w:color w:val="202A33"/>
                <w:sz w:val="14"/>
              </w:rPr>
              <w:t>Memória, p. 4; Seção 5.6</w:t>
            </w:r>
          </w:p>
        </w:tc>
        <w:tc>
          <w:tcPr>
            <w:tcW w:type="dxa" w:w="4025"/>
            <w:vAlign w:val="center"/>
            <w:shd w:fill="F4F7F9"/>
          </w:tcPr>
          <w:p>
            <w:pPr>
              <w:spacing w:after="20" w:before="20" w:line="240" w:lineRule="auto"/>
            </w:pPr>
            <w:r/>
            <w:r>
              <w:rPr>
                <w:rFonts w:ascii="Arial" w:hAnsi="Arial"/>
                <w:b w:val="0"/>
                <w:color w:val="202A33"/>
                <w:sz w:val="14"/>
              </w:rPr>
              <w:t>Inclui primeira ordem e solução linearizada de segunda ordem, com ressalva para valores extremos.</w:t>
            </w:r>
          </w:p>
        </w:tc>
      </w:tr>
      <w:tr>
        <w:tc>
          <w:tcPr>
            <w:tcW w:type="dxa" w:w="2381"/>
            <w:vAlign w:val="center"/>
          </w:tcPr>
          <w:p>
            <w:pPr>
              <w:spacing w:after="20" w:before="20" w:line="240" w:lineRule="auto"/>
            </w:pPr>
            <w:r/>
            <w:r>
              <w:rPr>
                <w:rFonts w:ascii="Arial" w:hAnsi="Arial"/>
                <w:b w:val="0"/>
                <w:color w:val="202A33"/>
                <w:sz w:val="14"/>
              </w:rPr>
              <w:t>3. Hogeslag e γz</w:t>
            </w:r>
          </w:p>
        </w:tc>
        <w:tc>
          <w:tcPr>
            <w:tcW w:type="dxa" w:w="2324"/>
            <w:vAlign w:val="center"/>
          </w:tcPr>
          <w:p>
            <w:pPr>
              <w:spacing w:after="20" w:before="20" w:line="240" w:lineRule="auto"/>
            </w:pPr>
            <w:r/>
            <w:r>
              <w:rPr>
                <w:rFonts w:ascii="Arial" w:hAnsi="Arial"/>
                <w:b w:val="0"/>
                <w:color w:val="202A33"/>
                <w:sz w:val="14"/>
              </w:rPr>
              <w:t>Memória, p. 5–6; Seções 3.4, 3.5 e 5.7</w:t>
            </w:r>
          </w:p>
        </w:tc>
        <w:tc>
          <w:tcPr>
            <w:tcW w:type="dxa" w:w="4025"/>
            <w:vAlign w:val="center"/>
          </w:tcPr>
          <w:p>
            <w:pPr>
              <w:spacing w:after="20" w:before="20" w:line="240" w:lineRule="auto"/>
            </w:pPr>
            <w:r/>
            <w:r>
              <w:rPr>
                <w:rFonts w:ascii="Arial" w:hAnsi="Arial"/>
                <w:b w:val="0"/>
                <w:color w:val="202A33"/>
                <w:sz w:val="14"/>
              </w:rPr>
              <w:t>Identifica β ≤ 1 e limitações das equivalências.</w:t>
            </w:r>
          </w:p>
        </w:tc>
      </w:tr>
      <w:tr>
        <w:tc>
          <w:tcPr>
            <w:tcW w:type="dxa" w:w="2381"/>
            <w:vAlign w:val="center"/>
            <w:shd w:fill="F4F7F9"/>
          </w:tcPr>
          <w:p>
            <w:pPr>
              <w:spacing w:after="20" w:before="20" w:line="240" w:lineRule="auto"/>
            </w:pPr>
            <w:r/>
            <w:r>
              <w:rPr>
                <w:rFonts w:ascii="Arial" w:hAnsi="Arial"/>
                <w:b w:val="0"/>
                <w:color w:val="202A33"/>
                <w:sz w:val="14"/>
              </w:rPr>
              <w:t>4. Diagramas de momentos</w:t>
            </w:r>
          </w:p>
        </w:tc>
        <w:tc>
          <w:tcPr>
            <w:tcW w:type="dxa" w:w="2324"/>
            <w:vAlign w:val="center"/>
            <w:shd w:fill="F4F7F9"/>
          </w:tcPr>
          <w:p>
            <w:pPr>
              <w:spacing w:after="20" w:before="20" w:line="240" w:lineRule="auto"/>
            </w:pPr>
            <w:r/>
            <w:r>
              <w:rPr>
                <w:rFonts w:ascii="Arial" w:hAnsi="Arial"/>
                <w:b w:val="0"/>
                <w:color w:val="202A33"/>
                <w:sz w:val="14"/>
              </w:rPr>
              <w:t>Memória, p. 6–7; Seção 5.8</w:t>
            </w:r>
          </w:p>
        </w:tc>
        <w:tc>
          <w:tcPr>
            <w:tcW w:type="dxa" w:w="4025"/>
            <w:vAlign w:val="center"/>
            <w:shd w:fill="F4F7F9"/>
          </w:tcPr>
          <w:p>
            <w:pPr>
              <w:spacing w:after="20" w:before="20" w:line="240" w:lineRule="auto"/>
            </w:pPr>
            <w:r/>
            <w:r>
              <w:rPr>
                <w:rFonts w:ascii="Arial" w:hAnsi="Arial"/>
                <w:b w:val="0"/>
                <w:color w:val="202A33"/>
                <w:sz w:val="14"/>
              </w:rPr>
              <w:t>A recuperação dos diagramas de segunda ordem requer validação independente.</w:t>
            </w:r>
          </w:p>
        </w:tc>
      </w:tr>
      <w:tr>
        <w:tc>
          <w:tcPr>
            <w:tcW w:type="dxa" w:w="2381"/>
            <w:vAlign w:val="center"/>
          </w:tcPr>
          <w:p>
            <w:pPr>
              <w:spacing w:after="20" w:before="20" w:line="240" w:lineRule="auto"/>
            </w:pPr>
            <w:r/>
            <w:r>
              <w:rPr>
                <w:rFonts w:ascii="Arial" w:hAnsi="Arial"/>
                <w:b w:val="0"/>
                <w:color w:val="202A33"/>
                <w:sz w:val="14"/>
              </w:rPr>
              <w:t>5. Envoltórias positivas e negativas</w:t>
            </w:r>
          </w:p>
        </w:tc>
        <w:tc>
          <w:tcPr>
            <w:tcW w:type="dxa" w:w="2324"/>
            <w:vAlign w:val="center"/>
          </w:tcPr>
          <w:p>
            <w:pPr>
              <w:spacing w:after="20" w:before="20" w:line="240" w:lineRule="auto"/>
            </w:pPr>
            <w:r/>
            <w:r>
              <w:rPr>
                <w:rFonts w:ascii="Arial" w:hAnsi="Arial"/>
                <w:b w:val="0"/>
                <w:color w:val="202A33"/>
                <w:sz w:val="14"/>
              </w:rPr>
              <w:t>Memória, p. 11–17; Seção 5.9</w:t>
            </w:r>
          </w:p>
        </w:tc>
        <w:tc>
          <w:tcPr>
            <w:tcW w:type="dxa" w:w="4025"/>
            <w:vAlign w:val="center"/>
          </w:tcPr>
          <w:p>
            <w:pPr>
              <w:spacing w:after="20" w:before="20" w:line="240" w:lineRule="auto"/>
            </w:pPr>
            <w:r/>
            <w:r>
              <w:rPr>
                <w:rFonts w:ascii="Arial" w:hAnsi="Arial"/>
                <w:b w:val="0"/>
                <w:color w:val="202A33"/>
                <w:sz w:val="14"/>
              </w:rPr>
              <w:t>Abrange sentidos do vento e carregamento parcial; E3 requer cautela.</w:t>
            </w:r>
          </w:p>
        </w:tc>
      </w:tr>
      <w:tr>
        <w:tc>
          <w:tcPr>
            <w:tcW w:type="dxa" w:w="2381"/>
            <w:vAlign w:val="center"/>
            <w:shd w:fill="F4F7F9"/>
          </w:tcPr>
          <w:p>
            <w:pPr>
              <w:spacing w:after="20" w:before="20" w:line="240" w:lineRule="auto"/>
            </w:pPr>
            <w:r/>
            <w:r>
              <w:rPr>
                <w:rFonts w:ascii="Arial" w:hAnsi="Arial"/>
                <w:b w:val="0"/>
                <w:color w:val="202A33"/>
                <w:sz w:val="14"/>
              </w:rPr>
              <w:t>6. Comparação E1/E2/E3 e F1/F2</w:t>
            </w:r>
          </w:p>
        </w:tc>
        <w:tc>
          <w:tcPr>
            <w:tcW w:type="dxa" w:w="2324"/>
            <w:vAlign w:val="center"/>
            <w:shd w:fill="F4F7F9"/>
          </w:tcPr>
          <w:p>
            <w:pPr>
              <w:spacing w:after="20" w:before="20" w:line="240" w:lineRule="auto"/>
            </w:pPr>
            <w:r/>
            <w:r>
              <w:rPr>
                <w:rFonts w:ascii="Arial" w:hAnsi="Arial"/>
                <w:b w:val="0"/>
                <w:color w:val="202A33"/>
                <w:sz w:val="14"/>
              </w:rPr>
              <w:t>Memória, p. 8–9; Seção 5.2 e 6</w:t>
            </w:r>
          </w:p>
        </w:tc>
        <w:tc>
          <w:tcPr>
            <w:tcW w:type="dxa" w:w="4025"/>
            <w:vAlign w:val="center"/>
            <w:shd w:fill="F4F7F9"/>
          </w:tcPr>
          <w:p>
            <w:pPr>
              <w:spacing w:after="20" w:before="20" w:line="240" w:lineRule="auto"/>
            </w:pPr>
            <w:r/>
            <w:r>
              <w:rPr>
                <w:rFonts w:ascii="Arial" w:hAnsi="Arial"/>
                <w:b w:val="0"/>
                <w:color w:val="202A33"/>
                <w:sz w:val="14"/>
              </w:rPr>
              <w:t>Comparação consolidada para as seis configurações.</w:t>
            </w:r>
          </w:p>
        </w:tc>
      </w:tr>
      <w:tr>
        <w:tc>
          <w:tcPr>
            <w:tcW w:type="dxa" w:w="2381"/>
            <w:vAlign w:val="center"/>
          </w:tcPr>
          <w:p>
            <w:pPr>
              <w:spacing w:after="20" w:before="20" w:line="240" w:lineRule="auto"/>
            </w:pPr>
            <w:r/>
            <w:r>
              <w:rPr>
                <w:rFonts w:ascii="Arial" w:hAnsi="Arial"/>
                <w:b w:val="0"/>
                <w:color w:val="202A33"/>
                <w:sz w:val="14"/>
              </w:rPr>
              <w:t>7. Combinações e distribuições governantes</w:t>
            </w:r>
          </w:p>
        </w:tc>
        <w:tc>
          <w:tcPr>
            <w:tcW w:type="dxa" w:w="2324"/>
            <w:vAlign w:val="center"/>
          </w:tcPr>
          <w:p>
            <w:pPr>
              <w:spacing w:after="20" w:before="20" w:line="240" w:lineRule="auto"/>
            </w:pPr>
            <w:r/>
            <w:r>
              <w:rPr>
                <w:rFonts w:ascii="Arial" w:hAnsi="Arial"/>
                <w:b w:val="0"/>
                <w:color w:val="202A33"/>
                <w:sz w:val="14"/>
              </w:rPr>
              <w:t>Memória, p. 8–11; Seção 5.9</w:t>
            </w:r>
          </w:p>
        </w:tc>
        <w:tc>
          <w:tcPr>
            <w:tcW w:type="dxa" w:w="4025"/>
            <w:vAlign w:val="center"/>
          </w:tcPr>
          <w:p>
            <w:pPr>
              <w:spacing w:after="20" w:before="20" w:line="240" w:lineRule="auto"/>
            </w:pPr>
            <w:r/>
            <w:r>
              <w:rPr>
                <w:rFonts w:ascii="Arial" w:hAnsi="Arial"/>
                <w:b w:val="0"/>
                <w:color w:val="202A33"/>
                <w:sz w:val="14"/>
              </w:rPr>
              <w:t>Identifica combinação, vento, imperfeição e padrão de sobrecarga.</w:t>
            </w:r>
          </w:p>
        </w:tc>
      </w:tr>
      <w:tr>
        <w:tc>
          <w:tcPr>
            <w:tcW w:type="dxa" w:w="2381"/>
            <w:vAlign w:val="center"/>
            <w:shd w:fill="F4F7F9"/>
          </w:tcPr>
          <w:p>
            <w:pPr>
              <w:spacing w:after="20" w:before="20" w:line="240" w:lineRule="auto"/>
            </w:pPr>
            <w:r/>
            <w:r>
              <w:rPr>
                <w:rFonts w:ascii="Arial" w:hAnsi="Arial"/>
                <w:b w:val="0"/>
                <w:color w:val="202A33"/>
                <w:sz w:val="14"/>
              </w:rPr>
              <w:t>8. Limitações e alterações de seção</w:t>
            </w:r>
          </w:p>
        </w:tc>
        <w:tc>
          <w:tcPr>
            <w:tcW w:type="dxa" w:w="2324"/>
            <w:vAlign w:val="center"/>
            <w:shd w:fill="F4F7F9"/>
          </w:tcPr>
          <w:p>
            <w:pPr>
              <w:spacing w:after="20" w:before="20" w:line="240" w:lineRule="auto"/>
            </w:pPr>
            <w:r/>
            <w:r>
              <w:rPr>
                <w:rFonts w:ascii="Arial" w:hAnsi="Arial"/>
                <w:b w:val="0"/>
                <w:color w:val="202A33"/>
                <w:sz w:val="14"/>
              </w:rPr>
              <w:t>Seções 7 e 8 deste relatório</w:t>
            </w:r>
          </w:p>
        </w:tc>
        <w:tc>
          <w:tcPr>
            <w:tcW w:type="dxa" w:w="4025"/>
            <w:vAlign w:val="center"/>
            <w:shd w:fill="F4F7F9"/>
          </w:tcPr>
          <w:p>
            <w:pPr>
              <w:spacing w:after="20" w:before="20" w:line="240" w:lineRule="auto"/>
            </w:pPr>
            <w:r/>
            <w:r>
              <w:rPr>
                <w:rFonts w:ascii="Arial" w:hAnsi="Arial"/>
                <w:b w:val="0"/>
                <w:color w:val="202A33"/>
                <w:sz w:val="14"/>
              </w:rPr>
              <w:t>A busca de seção não foi executada na memória final; não há seção final dimensionada.</w:t>
            </w:r>
          </w:p>
        </w:tc>
      </w:tr>
    </w:tbl>
    <w:p>
      <w:pPr>
        <w:spacing w:after="20"/>
      </w:pPr>
    </w:p>
    <w:p>
      <w:pPr>
        <w:pStyle w:val="Heading1"/>
      </w:pPr>
      <w:r>
        <w:t>REFERÊNCIAS</w:t>
      </w:r>
    </w:p>
    <w:p>
      <w:pPr>
        <w:spacing w:after="120"/>
        <w:ind w:left="283" w:hanging="283"/>
      </w:pPr>
      <w:r>
        <w:t>[1] EXERCÍCIO DE ESTABILIDADE — HOGESLAG E γz. Estabilidade global de estruturas pré-moldadas: comparação pelos procedimentos de Hogeslag e γz em estruturas com um, dois e três pavimentos. Enunciado fornecido para a atividade, 6 p., 22 out. 2026.</w:t>
      </w:r>
    </w:p>
    <w:p>
      <w:pPr>
        <w:spacing w:after="120"/>
        <w:ind w:left="283" w:hanging="283"/>
      </w:pPr>
      <w:r>
        <w:t>[2] MEMÓRIA DE CÁLCULO. Estabilidade global de estruturas pré-moldadas: comparação dos procedimentos de Hogeslag e γz, com análise complementar de segunda ordem geométrica linearizada. Documento gerado pelo aplicativo, versão com desaprumo informado de 2,357 mrad, 19 p., 30 out. 2026.</w:t>
      </w:r>
    </w:p>
    <w:p>
      <w:pPr>
        <w:spacing w:after="120"/>
        <w:ind w:left="283" w:hanging="283"/>
      </w:pPr>
      <w:r>
        <w:t>[3] HOGESLAG, A. J. Stability of precast concrete structures. In: PREFABRICATION OF CONCRETE STRUCTURES. Delft University Press, 1990. p. 29–40.</w:t>
      </w:r>
    </w:p>
    <w:p>
      <w:pPr>
        <w:spacing w:after="120"/>
        <w:ind w:left="283" w:hanging="283"/>
      </w:pPr>
      <w:r>
        <w:t>[4] EL DEBS, M. K. Concreto pré-moldado: fundamentos e aplicações. 2. ed. São Paulo: Oficina de Textos, 2017.</w:t>
      </w:r>
    </w:p>
    <w:p>
      <w:pPr>
        <w:spacing w:after="120"/>
        <w:ind w:left="283" w:hanging="283"/>
      </w:pPr>
      <w:r>
        <w:t>[5] MARIN, M. C.; EL DEBS, M. K. Contribuição para a avaliação da redução da rigidez de elementos estruturais de concreto pré-moldado de edifícios de múltiplos pavimentos para análise da estabilidade global. 2012. Referência indicada no enunciado; completar dados editoriais a partir da publicação consultada.</w:t>
      </w:r>
    </w:p>
    <w:p>
      <w:pPr>
        <w:spacing w:after="120"/>
        <w:ind w:left="283" w:hanging="283"/>
      </w:pPr>
      <w:r>
        <w:t>[6] ABNT. NBR 6118: Projeto de estruturas de concreto. Edição de 2023 com Emenda 1:2026, conforme referência indicada no enunciado.</w:t>
      </w:r>
    </w:p>
    <w:p>
      <w:pPr>
        <w:spacing w:after="120"/>
        <w:ind w:left="283" w:hanging="283"/>
      </w:pPr>
      <w:r>
        <w:t>[7] ABNT. NBR 8681: Ações e segurança nas estruturas. 2025, conforme referência indicada no enunciado.</w:t>
      </w:r>
    </w:p>
    <w:p>
      <w:pPr>
        <w:spacing w:after="120"/>
        <w:ind w:left="283" w:hanging="283"/>
      </w:pPr>
      <w:r>
        <w:t>[8] ABNT. NBR 9062: Projeto e execução de estruturas de concreto pré-moldado. 2017, conforme referência indicada no enunciado.</w:t>
      </w:r>
    </w:p>
    <w:p>
      <w:pPr>
        <w:pStyle w:val="CaptionCustom"/>
      </w:pPr>
      <w:r>
        <w:t>Nota bibliográfica: as referências normativas e bibliográficas acima foram transcritas da lista fornecida no enunciado. A conferência das edições, emendas, cláusulas específicas e dados editoriais deve ser feita nos documentos efetivamente consultados antes da submissão final.</w:t>
      </w:r>
    </w:p>
    <w:p>
      <w:r>
        <w:br w:type="page"/>
      </w:r>
    </w:p>
    <w:p>
      <w:pPr>
        <w:pStyle w:val="Heading1"/>
      </w:pPr>
      <w:r>
        <w:t>APÊNDICE A - RASTREABILIDADE DO CASO DETALHADO</w:t>
      </w:r>
    </w:p>
    <w:p>
      <w:r>
        <w:t>Para facilitar a reprodução do caso detalhado, registra-se abaixo a identificação utilizada na memória de cálculo final:</w:t>
      </w:r>
    </w:p>
    <w:tbl>
      <w:tblPr>
        <w:tblStyle w:val="TableGrid"/>
        <w:tblW w:type="auto" w:w="0"/>
        <w:jc w:val="center"/>
        <w:tblLayout w:type="fixed"/>
        <w:tblLook w:firstColumn="1" w:firstRow="1" w:lastColumn="0" w:lastRow="0" w:noHBand="0" w:noVBand="1" w:val="04A0"/>
      </w:tblPr>
      <w:tblGrid>
        <w:gridCol w:w="4929"/>
        <w:gridCol w:w="4929"/>
      </w:tblGrid>
      <w:tr>
        <w:trPr>
          <w:tblHeader w:val="true"/>
        </w:trPr>
        <w:tc>
          <w:tcPr>
            <w:tcW w:type="dxa" w:w="3969"/>
            <w:vAlign w:val="center"/>
            <w:shd w:fill="16324F"/>
          </w:tcPr>
          <w:p>
            <w:pPr>
              <w:spacing w:after="20" w:before="20" w:line="240" w:lineRule="auto"/>
              <w:jc w:val="center"/>
            </w:pPr>
            <w:r/>
            <w:r>
              <w:rPr>
                <w:rFonts w:ascii="Arial" w:hAnsi="Arial"/>
                <w:b/>
                <w:color w:val="FFFFFF"/>
                <w:sz w:val="16"/>
              </w:rPr>
              <w:t>Campo</w:t>
            </w:r>
          </w:p>
        </w:tc>
        <w:tc>
          <w:tcPr>
            <w:tcW w:type="dxa" w:w="5102"/>
            <w:vAlign w:val="center"/>
            <w:shd w:fill="16324F"/>
          </w:tcPr>
          <w:p>
            <w:pPr>
              <w:spacing w:after="20" w:before="20" w:line="240" w:lineRule="auto"/>
              <w:jc w:val="center"/>
            </w:pPr>
            <w:r/>
            <w:r>
              <w:rPr>
                <w:rFonts w:ascii="Arial" w:hAnsi="Arial"/>
                <w:b/>
                <w:color w:val="FFFFFF"/>
                <w:sz w:val="16"/>
              </w:rPr>
              <w:t>Valor</w:t>
            </w:r>
          </w:p>
        </w:tc>
      </w:tr>
      <w:tr>
        <w:tc>
          <w:tcPr>
            <w:tcW w:type="dxa" w:w="3969"/>
            <w:vAlign w:val="center"/>
          </w:tcPr>
          <w:p>
            <w:pPr>
              <w:spacing w:after="20" w:before="20" w:line="240" w:lineRule="auto"/>
            </w:pPr>
            <w:r/>
            <w:r>
              <w:rPr>
                <w:rFonts w:ascii="Arial" w:hAnsi="Arial"/>
                <w:b w:val="0"/>
                <w:color w:val="202A33"/>
                <w:sz w:val="16"/>
              </w:rPr>
              <w:t>Estrutura / fundação</w:t>
            </w:r>
          </w:p>
        </w:tc>
        <w:tc>
          <w:tcPr>
            <w:tcW w:type="dxa" w:w="5102"/>
            <w:vAlign w:val="center"/>
          </w:tcPr>
          <w:p>
            <w:pPr>
              <w:spacing w:after="20" w:before="20" w:line="240" w:lineRule="auto"/>
            </w:pPr>
            <w:r/>
            <w:r>
              <w:rPr>
                <w:rFonts w:ascii="Arial" w:hAnsi="Arial"/>
                <w:b w:val="0"/>
                <w:color w:val="202A33"/>
                <w:sz w:val="16"/>
              </w:rPr>
              <w:t>E3 / F2</w:t>
            </w:r>
          </w:p>
        </w:tc>
      </w:tr>
      <w:tr>
        <w:tc>
          <w:tcPr>
            <w:tcW w:type="dxa" w:w="3969"/>
            <w:vAlign w:val="center"/>
            <w:shd w:fill="F4F7F9"/>
          </w:tcPr>
          <w:p>
            <w:pPr>
              <w:spacing w:after="20" w:before="20" w:line="240" w:lineRule="auto"/>
            </w:pPr>
            <w:r/>
            <w:r>
              <w:rPr>
                <w:rFonts w:ascii="Arial" w:hAnsi="Arial"/>
                <w:b w:val="0"/>
                <w:color w:val="202A33"/>
                <w:sz w:val="16"/>
              </w:rPr>
              <w:t>Combinação</w:t>
            </w:r>
          </w:p>
        </w:tc>
        <w:tc>
          <w:tcPr>
            <w:tcW w:type="dxa" w:w="5102"/>
            <w:vAlign w:val="center"/>
            <w:shd w:fill="F4F7F9"/>
          </w:tcPr>
          <w:p>
            <w:pPr>
              <w:spacing w:after="20" w:before="20" w:line="240" w:lineRule="auto"/>
            </w:pPr>
            <w:r/>
            <w:r>
              <w:rPr>
                <w:rFonts w:ascii="Arial" w:hAnsi="Arial"/>
                <w:b w:val="0"/>
                <w:color w:val="202A33"/>
                <w:sz w:val="16"/>
              </w:rPr>
              <w:t>C2</w:t>
            </w:r>
          </w:p>
        </w:tc>
      </w:tr>
      <w:tr>
        <w:tc>
          <w:tcPr>
            <w:tcW w:type="dxa" w:w="3969"/>
            <w:vAlign w:val="center"/>
          </w:tcPr>
          <w:p>
            <w:pPr>
              <w:spacing w:after="20" w:before="20" w:line="240" w:lineRule="auto"/>
            </w:pPr>
            <w:r/>
            <w:r>
              <w:rPr>
                <w:rFonts w:ascii="Arial" w:hAnsi="Arial"/>
                <w:b w:val="0"/>
                <w:color w:val="202A33"/>
                <w:sz w:val="16"/>
              </w:rPr>
              <w:t>Distribuição de vento</w:t>
            </w:r>
          </w:p>
        </w:tc>
        <w:tc>
          <w:tcPr>
            <w:tcW w:type="dxa" w:w="5102"/>
            <w:vAlign w:val="center"/>
          </w:tcPr>
          <w:p>
            <w:pPr>
              <w:spacing w:after="20" w:before="20" w:line="240" w:lineRule="auto"/>
            </w:pPr>
            <w:r/>
            <w:r>
              <w:rPr>
                <w:rFonts w:ascii="Arial" w:hAnsi="Arial"/>
                <w:b w:val="0"/>
                <w:color w:val="202A33"/>
                <w:sz w:val="16"/>
              </w:rPr>
              <w:t>V1</w:t>
            </w:r>
          </w:p>
        </w:tc>
      </w:tr>
      <w:tr>
        <w:tc>
          <w:tcPr>
            <w:tcW w:type="dxa" w:w="3969"/>
            <w:vAlign w:val="center"/>
            <w:shd w:fill="F4F7F9"/>
          </w:tcPr>
          <w:p>
            <w:pPr>
              <w:spacing w:after="20" w:before="20" w:line="240" w:lineRule="auto"/>
            </w:pPr>
            <w:r/>
            <w:r>
              <w:rPr>
                <w:rFonts w:ascii="Arial" w:hAnsi="Arial"/>
                <w:b w:val="0"/>
                <w:color w:val="202A33"/>
                <w:sz w:val="16"/>
              </w:rPr>
              <w:t>Sentido do vento</w:t>
            </w:r>
          </w:p>
        </w:tc>
        <w:tc>
          <w:tcPr>
            <w:tcW w:type="dxa" w:w="5102"/>
            <w:vAlign w:val="center"/>
            <w:shd w:fill="F4F7F9"/>
          </w:tcPr>
          <w:p>
            <w:pPr>
              <w:spacing w:after="20" w:before="20" w:line="240" w:lineRule="auto"/>
            </w:pPr>
            <w:r/>
            <w:r>
              <w:rPr>
                <w:rFonts w:ascii="Arial" w:hAnsi="Arial"/>
                <w:b w:val="0"/>
                <w:color w:val="202A33"/>
                <w:sz w:val="16"/>
              </w:rPr>
              <w:t>Positivo</w:t>
            </w:r>
          </w:p>
        </w:tc>
      </w:tr>
      <w:tr>
        <w:tc>
          <w:tcPr>
            <w:tcW w:type="dxa" w:w="3969"/>
            <w:vAlign w:val="center"/>
          </w:tcPr>
          <w:p>
            <w:pPr>
              <w:spacing w:after="20" w:before="20" w:line="240" w:lineRule="auto"/>
            </w:pPr>
            <w:r/>
            <w:r>
              <w:rPr>
                <w:rFonts w:ascii="Arial" w:hAnsi="Arial"/>
                <w:b w:val="0"/>
                <w:color w:val="202A33"/>
                <w:sz w:val="16"/>
              </w:rPr>
              <w:t>Sentido da imperfeição</w:t>
            </w:r>
          </w:p>
        </w:tc>
        <w:tc>
          <w:tcPr>
            <w:tcW w:type="dxa" w:w="5102"/>
            <w:vAlign w:val="center"/>
          </w:tcPr>
          <w:p>
            <w:pPr>
              <w:spacing w:after="20" w:before="20" w:line="240" w:lineRule="auto"/>
            </w:pPr>
            <w:r/>
            <w:r>
              <w:rPr>
                <w:rFonts w:ascii="Arial" w:hAnsi="Arial"/>
                <w:b w:val="0"/>
                <w:color w:val="202A33"/>
                <w:sz w:val="16"/>
              </w:rPr>
              <w:t>Positivo</w:t>
            </w:r>
          </w:p>
        </w:tc>
      </w:tr>
      <w:tr>
        <w:tc>
          <w:tcPr>
            <w:tcW w:type="dxa" w:w="3969"/>
            <w:vAlign w:val="center"/>
            <w:shd w:fill="F4F7F9"/>
          </w:tcPr>
          <w:p>
            <w:pPr>
              <w:spacing w:after="20" w:before="20" w:line="240" w:lineRule="auto"/>
            </w:pPr>
            <w:r/>
            <w:r>
              <w:rPr>
                <w:rFonts w:ascii="Arial" w:hAnsi="Arial"/>
                <w:b w:val="0"/>
                <w:color w:val="202A33"/>
                <w:sz w:val="16"/>
              </w:rPr>
              <w:t>Sobrecarga no nível 1</w:t>
            </w:r>
          </w:p>
        </w:tc>
        <w:tc>
          <w:tcPr>
            <w:tcW w:type="dxa" w:w="5102"/>
            <w:vAlign w:val="center"/>
            <w:shd w:fill="F4F7F9"/>
          </w:tcPr>
          <w:p>
            <w:pPr>
              <w:spacing w:after="20" w:before="20" w:line="240" w:lineRule="auto"/>
            </w:pPr>
            <w:r/>
            <w:r>
              <w:rPr>
                <w:rFonts w:ascii="Arial" w:hAnsi="Arial"/>
                <w:b w:val="0"/>
                <w:color w:val="202A33"/>
                <w:sz w:val="16"/>
              </w:rPr>
              <w:t>Vãos V2 e V3</w:t>
            </w:r>
          </w:p>
        </w:tc>
      </w:tr>
      <w:tr>
        <w:tc>
          <w:tcPr>
            <w:tcW w:type="dxa" w:w="3969"/>
            <w:vAlign w:val="center"/>
          </w:tcPr>
          <w:p>
            <w:pPr>
              <w:spacing w:after="20" w:before="20" w:line="240" w:lineRule="auto"/>
            </w:pPr>
            <w:r/>
            <w:r>
              <w:rPr>
                <w:rFonts w:ascii="Arial" w:hAnsi="Arial"/>
                <w:b w:val="0"/>
                <w:color w:val="202A33"/>
                <w:sz w:val="16"/>
              </w:rPr>
              <w:t>Sobrecarga no nível 2</w:t>
            </w:r>
          </w:p>
        </w:tc>
        <w:tc>
          <w:tcPr>
            <w:tcW w:type="dxa" w:w="5102"/>
            <w:vAlign w:val="center"/>
          </w:tcPr>
          <w:p>
            <w:pPr>
              <w:spacing w:after="20" w:before="20" w:line="240" w:lineRule="auto"/>
            </w:pPr>
            <w:r/>
            <w:r>
              <w:rPr>
                <w:rFonts w:ascii="Arial" w:hAnsi="Arial"/>
                <w:b w:val="0"/>
                <w:color w:val="202A33"/>
                <w:sz w:val="16"/>
              </w:rPr>
              <w:t>Vão V2</w:t>
            </w:r>
          </w:p>
        </w:tc>
      </w:tr>
      <w:tr>
        <w:tc>
          <w:tcPr>
            <w:tcW w:type="dxa" w:w="3969"/>
            <w:vAlign w:val="center"/>
            <w:shd w:fill="F4F7F9"/>
          </w:tcPr>
          <w:p>
            <w:pPr>
              <w:spacing w:after="20" w:before="20" w:line="240" w:lineRule="auto"/>
            </w:pPr>
            <w:r/>
            <w:r>
              <w:rPr>
                <w:rFonts w:ascii="Arial" w:hAnsi="Arial"/>
                <w:b w:val="0"/>
                <w:color w:val="202A33"/>
                <w:sz w:val="16"/>
              </w:rPr>
              <w:t>Sobrecarga no nível 3</w:t>
            </w:r>
          </w:p>
        </w:tc>
        <w:tc>
          <w:tcPr>
            <w:tcW w:type="dxa" w:w="5102"/>
            <w:vAlign w:val="center"/>
            <w:shd w:fill="F4F7F9"/>
          </w:tcPr>
          <w:p>
            <w:pPr>
              <w:spacing w:after="20" w:before="20" w:line="240" w:lineRule="auto"/>
            </w:pPr>
            <w:r/>
            <w:r>
              <w:rPr>
                <w:rFonts w:ascii="Arial" w:hAnsi="Arial"/>
                <w:b w:val="0"/>
                <w:color w:val="202A33"/>
                <w:sz w:val="16"/>
              </w:rPr>
              <w:t>Sem sobrecarga</w:t>
            </w:r>
          </w:p>
        </w:tc>
      </w:tr>
      <w:tr>
        <w:tc>
          <w:tcPr>
            <w:tcW w:type="dxa" w:w="3969"/>
            <w:vAlign w:val="center"/>
          </w:tcPr>
          <w:p>
            <w:pPr>
              <w:spacing w:after="20" w:before="20" w:line="240" w:lineRule="auto"/>
            </w:pPr>
            <w:r/>
            <w:r>
              <w:rPr>
                <w:rFonts w:ascii="Arial" w:hAnsi="Arial"/>
                <w:b w:val="0"/>
                <w:color w:val="202A33"/>
                <w:sz w:val="16"/>
              </w:rPr>
              <w:t>Desaprumo</w:t>
            </w:r>
          </w:p>
        </w:tc>
        <w:tc>
          <w:tcPr>
            <w:tcW w:type="dxa" w:w="5102"/>
            <w:vAlign w:val="center"/>
          </w:tcPr>
          <w:p>
            <w:pPr>
              <w:spacing w:after="20" w:before="20" w:line="240" w:lineRule="auto"/>
            </w:pPr>
            <w:r/>
            <w:r>
              <w:rPr>
                <w:rFonts w:ascii="Arial" w:hAnsi="Arial"/>
                <w:b w:val="0"/>
                <w:color w:val="202A33"/>
                <w:sz w:val="16"/>
              </w:rPr>
              <w:t>2,357 mrad</w:t>
            </w:r>
          </w:p>
        </w:tc>
      </w:tr>
      <w:tr>
        <w:tc>
          <w:tcPr>
            <w:tcW w:type="dxa" w:w="3969"/>
            <w:vAlign w:val="center"/>
            <w:shd w:fill="F4F7F9"/>
          </w:tcPr>
          <w:p>
            <w:pPr>
              <w:spacing w:after="20" w:before="20" w:line="240" w:lineRule="auto"/>
            </w:pPr>
            <w:r/>
            <w:r>
              <w:rPr>
                <w:rFonts w:ascii="Arial" w:hAnsi="Arial"/>
                <w:b w:val="0"/>
                <w:color w:val="202A33"/>
                <w:sz w:val="16"/>
              </w:rPr>
              <w:t>Seção de pilares</w:t>
            </w:r>
          </w:p>
        </w:tc>
        <w:tc>
          <w:tcPr>
            <w:tcW w:type="dxa" w:w="5102"/>
            <w:vAlign w:val="center"/>
            <w:shd w:fill="F4F7F9"/>
          </w:tcPr>
          <w:p>
            <w:pPr>
              <w:spacing w:after="20" w:before="20" w:line="240" w:lineRule="auto"/>
            </w:pPr>
            <w:r/>
            <w:r>
              <w:rPr>
                <w:rFonts w:ascii="Arial" w:hAnsi="Arial"/>
                <w:b w:val="0"/>
                <w:color w:val="202A33"/>
                <w:sz w:val="16"/>
              </w:rPr>
              <w:t>40 × 40 cm</w:t>
            </w:r>
          </w:p>
        </w:tc>
      </w:tr>
    </w:tbl>
    <w:p>
      <w:pPr>
        <w:spacing w:after="20"/>
      </w:pPr>
    </w:p>
    <w:p>
      <w:r>
        <w:t>O caso foi selecionado pelo critério automático “caso representativo (γz mediano; 2ª ordem regular)”. A classificação interna do programa não elimina a necessidade de interpretar a grandeza dos deslocamentos e a proximidade da carga crítica. Para o cenário selecionado, os valores de segunda ordem devem ser tratados com a ressalva indicada na Seção 5.6.</w:t>
      </w:r>
    </w:p>
    <w:sectPr w:rsidR="00FC693F" w:rsidRPr="0006063C" w:rsidSect="00034616">
      <w:headerReference w:type="default" r:id="rId9"/>
      <w:footerReference w:type="default" r:id="rId10"/>
      <w:pgSz w:w="12240" w:h="15840"/>
      <w:pgMar w:top="1134" w:right="1134" w:bottom="1020" w:left="1247" w:header="482"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670"/>
        <w:sz w:val="16"/>
      </w:rPr>
      <w:t xml:space="preserve">Análise acadêmica - verificar hipóteses e limitações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F6E73"/>
      </w:pBdr>
    </w:pPr>
    <w:r>
      <w:rPr>
        <w:rFonts w:ascii="Arial" w:hAnsi="Arial"/>
        <w:b/>
        <w:color w:val="1F6E73"/>
        <w:sz w:val="16"/>
      </w:rPr>
      <w:t>RELATÓRIO TÉCNICO | ESTABILIDADE GLOBAL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02A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6324F"/>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6E73"/>
      <w:sz w:val="24"/>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2D5D7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632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pPr>
      <w:spacing w:after="100"/>
    </w:pPr>
    <w:rPr>
      <w:rFonts w:ascii="Arial" w:hAnsi="Arial"/>
      <w:i/>
      <w:color w:val="5C667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técnico-acadêmico - Estabilidade global de estruturas pré-moldadas</dc:title>
  <dc:subject>Comparação de Hogeslag e γz em estruturas pré-moldadas E1, E2 e E3</dc:subject>
  <dc:creator/>
  <cp:keywords>estabilidade global, estruturas pré-moldadas, Hogeslag, gamma z</cp:keywords>
  <dc:description>generated by python-docx</dc:description>
  <cp:lastModifiedBy/>
  <cp:revision>1</cp:revision>
  <dcterms:created xsi:type="dcterms:W3CDTF">2013-12-23T23:15:00Z</dcterms:created>
  <dcterms:modified xsi:type="dcterms:W3CDTF">2013-12-23T23:15:00Z</dcterms:modified>
  <cp:category/>
</cp:coreProperties>
</file>