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FLORIDA BLANCA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180381,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RODRIGUEZ CADENA JENNIFER TATIANA,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1098683680,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FLORIDA BLANCA,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GYS188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NISSAN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PLATA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2021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VERSA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180381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$ 11.871.626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GYS188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CRA 28A 194-35, VILLA PIEDRA DEL SOL, FLORIDA BLANCA,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jennyrodriguez0206@gmail.com.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