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NEMOCOM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207914,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ANGEL ALVAREZ AURORA,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51906603,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NEMOCOM,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JVK427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 AZUL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HFC1120KN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PÚBLICO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207914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$ 64.053.160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JVK427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VEREDA '' VEREDA ORATORIO FINCA EL LLANO, NEMOCOM,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aurora.angel2010@hotmail.com.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